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charts/chart21.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2.xml" ContentType="application/vnd.openxmlformats-officedocument.themeOverrid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3.xml" ContentType="application/vnd.openxmlformats-officedocument.themeOverrid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A4674A" w14:textId="77777777" w:rsidR="00FA1D61" w:rsidRDefault="00FA1D61" w:rsidP="00FA1D61">
      <w:pPr>
        <w:pStyle w:val="Title"/>
        <w:jc w:val="center"/>
      </w:pPr>
    </w:p>
    <w:p w14:paraId="47CBFA36" w14:textId="77777777" w:rsidR="00FA1D61" w:rsidRPr="00CA00C1" w:rsidRDefault="5F884969" w:rsidP="002F7C2E">
      <w:pPr>
        <w:spacing w:after="0"/>
        <w:jc w:val="center"/>
        <w:outlineLvl w:val="0"/>
        <w:rPr>
          <w:rFonts w:ascii="Garamond" w:hAnsi="Garamond"/>
          <w:b/>
          <w:bCs/>
          <w:sz w:val="40"/>
          <w:szCs w:val="40"/>
        </w:rPr>
      </w:pPr>
      <w:r w:rsidRPr="5F884969">
        <w:rPr>
          <w:rFonts w:ascii="Garamond" w:hAnsi="Garamond"/>
          <w:b/>
          <w:bCs/>
          <w:sz w:val="40"/>
          <w:szCs w:val="40"/>
        </w:rPr>
        <w:t>Assessment of Fair Housing</w:t>
      </w:r>
    </w:p>
    <w:p w14:paraId="774ABD75" w14:textId="77777777" w:rsidR="00FA1D61" w:rsidRPr="00CA00C1" w:rsidRDefault="5F884969" w:rsidP="002F7C2E">
      <w:pPr>
        <w:spacing w:after="0"/>
        <w:jc w:val="center"/>
        <w:outlineLvl w:val="0"/>
        <w:rPr>
          <w:rFonts w:ascii="Garamond" w:hAnsi="Garamond"/>
          <w:b/>
          <w:bCs/>
          <w:sz w:val="40"/>
          <w:szCs w:val="40"/>
        </w:rPr>
      </w:pPr>
      <w:r w:rsidRPr="5F884969">
        <w:rPr>
          <w:rFonts w:ascii="Garamond" w:hAnsi="Garamond"/>
          <w:b/>
          <w:bCs/>
          <w:sz w:val="40"/>
          <w:szCs w:val="40"/>
        </w:rPr>
        <w:t>City of Burlington, Vermont</w:t>
      </w:r>
    </w:p>
    <w:p w14:paraId="591F4DA2" w14:textId="2D5C24FE" w:rsidR="00FA1D61" w:rsidRDefault="006C4504" w:rsidP="00FA1D61">
      <w:pPr>
        <w:spacing w:after="0"/>
        <w:jc w:val="center"/>
        <w:rPr>
          <w:b/>
          <w:sz w:val="40"/>
          <w:szCs w:val="40"/>
        </w:rPr>
      </w:pPr>
      <w:r>
        <w:rPr>
          <w:rFonts w:ascii="Garamond" w:hAnsi="Garamond"/>
          <w:b/>
          <w:bCs/>
          <w:sz w:val="40"/>
          <w:szCs w:val="40"/>
        </w:rPr>
        <w:t>December 2017 – December 2022</w:t>
      </w:r>
      <w:bookmarkStart w:id="0" w:name="_GoBack"/>
      <w:bookmarkEnd w:id="0"/>
    </w:p>
    <w:p w14:paraId="20F22468" w14:textId="77777777" w:rsidR="00FA1D61" w:rsidRDefault="00FA1D61" w:rsidP="00FA1D61">
      <w:pPr>
        <w:spacing w:after="0"/>
        <w:jc w:val="center"/>
        <w:rPr>
          <w:b/>
          <w:sz w:val="40"/>
          <w:szCs w:val="40"/>
        </w:rPr>
      </w:pPr>
    </w:p>
    <w:p w14:paraId="046B7A7C" w14:textId="77777777" w:rsidR="00FA1D61" w:rsidRDefault="00FA1D61" w:rsidP="00FA1D61">
      <w:pPr>
        <w:spacing w:after="0"/>
        <w:jc w:val="center"/>
        <w:rPr>
          <w:b/>
          <w:sz w:val="40"/>
          <w:szCs w:val="40"/>
        </w:rPr>
      </w:pPr>
    </w:p>
    <w:p w14:paraId="2A468C37" w14:textId="77777777" w:rsidR="00FA1D61" w:rsidRDefault="00FA1D61" w:rsidP="00FA1D61">
      <w:pPr>
        <w:spacing w:after="0"/>
        <w:jc w:val="center"/>
        <w:rPr>
          <w:b/>
          <w:sz w:val="40"/>
          <w:szCs w:val="40"/>
        </w:rPr>
      </w:pPr>
    </w:p>
    <w:p w14:paraId="48C9CCF8" w14:textId="77777777" w:rsidR="00FA1D61" w:rsidRDefault="00FA1D61" w:rsidP="00FA1D61">
      <w:pPr>
        <w:spacing w:after="0"/>
        <w:jc w:val="center"/>
        <w:rPr>
          <w:b/>
          <w:sz w:val="40"/>
          <w:szCs w:val="40"/>
        </w:rPr>
      </w:pPr>
    </w:p>
    <w:p w14:paraId="00C919A5" w14:textId="77777777" w:rsidR="00FA1D61" w:rsidRDefault="00FA1D61" w:rsidP="00FA1D61">
      <w:pPr>
        <w:spacing w:after="0"/>
        <w:jc w:val="center"/>
        <w:rPr>
          <w:b/>
          <w:sz w:val="40"/>
          <w:szCs w:val="40"/>
        </w:rPr>
      </w:pPr>
    </w:p>
    <w:p w14:paraId="3DE9705C" w14:textId="77777777" w:rsidR="00FA1D61" w:rsidRDefault="00FA1D61" w:rsidP="00FA1D61">
      <w:pPr>
        <w:spacing w:after="0"/>
        <w:jc w:val="center"/>
        <w:rPr>
          <w:b/>
          <w:sz w:val="40"/>
          <w:szCs w:val="40"/>
        </w:rPr>
      </w:pPr>
    </w:p>
    <w:p w14:paraId="3F8853B6" w14:textId="77777777" w:rsidR="00FA1D61" w:rsidRDefault="00FA1D61" w:rsidP="00FA1D61">
      <w:pPr>
        <w:spacing w:after="0"/>
        <w:jc w:val="center"/>
        <w:rPr>
          <w:b/>
          <w:sz w:val="40"/>
          <w:szCs w:val="40"/>
        </w:rPr>
      </w:pPr>
    </w:p>
    <w:p w14:paraId="6C004DB3" w14:textId="77777777" w:rsidR="00FA1D61" w:rsidRDefault="00FA1D61" w:rsidP="00FA1D61">
      <w:pPr>
        <w:spacing w:after="0"/>
        <w:jc w:val="center"/>
        <w:rPr>
          <w:b/>
          <w:sz w:val="40"/>
          <w:szCs w:val="40"/>
        </w:rPr>
      </w:pPr>
    </w:p>
    <w:p w14:paraId="62B1AB09" w14:textId="215A543F" w:rsidR="00FA1D61" w:rsidRDefault="00FA1D61" w:rsidP="00FA1D61">
      <w:pPr>
        <w:spacing w:after="0"/>
        <w:jc w:val="center"/>
        <w:rPr>
          <w:b/>
          <w:sz w:val="40"/>
          <w:szCs w:val="40"/>
        </w:rPr>
      </w:pPr>
    </w:p>
    <w:p w14:paraId="54FB5E65" w14:textId="1A2E07A4" w:rsidR="00FA1D61" w:rsidRDefault="00430BD7" w:rsidP="00FA1D61">
      <w:pPr>
        <w:spacing w:after="0"/>
        <w:jc w:val="center"/>
        <w:rPr>
          <w:b/>
          <w:sz w:val="40"/>
          <w:szCs w:val="40"/>
        </w:rPr>
      </w:pPr>
      <w:r>
        <w:rPr>
          <w:b/>
          <w:noProof/>
          <w:sz w:val="40"/>
          <w:szCs w:val="40"/>
          <w:lang w:eastAsia="en-US"/>
        </w:rPr>
        <w:drawing>
          <wp:inline distT="0" distB="0" distL="0" distR="0" wp14:anchorId="72E7EC20" wp14:editId="1A16C1F8">
            <wp:extent cx="1371600"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DO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r>
        <w:rPr>
          <w:b/>
          <w:noProof/>
          <w:sz w:val="40"/>
          <w:szCs w:val="40"/>
          <w:lang w:eastAsia="en-US"/>
        </w:rPr>
        <w:drawing>
          <wp:inline distT="0" distB="0" distL="0" distR="0" wp14:anchorId="17D0AC00" wp14:editId="43DFBD7C">
            <wp:extent cx="1523744" cy="1291172"/>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imary Logo BH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8739" cy="1295405"/>
                    </a:xfrm>
                    <a:prstGeom prst="rect">
                      <a:avLst/>
                    </a:prstGeom>
                  </pic:spPr>
                </pic:pic>
              </a:graphicData>
            </a:graphic>
          </wp:inline>
        </w:drawing>
      </w:r>
    </w:p>
    <w:p w14:paraId="0EC686EE" w14:textId="754758A7" w:rsidR="00FA1D61" w:rsidRDefault="00992489">
      <w:pPr>
        <w:pStyle w:val="Title"/>
      </w:pPr>
      <w:r>
        <w:t xml:space="preserve">                           </w:t>
      </w:r>
      <w:r w:rsidR="00430BD7">
        <w:rPr>
          <w:noProof/>
          <w:lang w:eastAsia="en-US"/>
        </w:rPr>
        <w:drawing>
          <wp:inline distT="0" distB="0" distL="0" distR="0" wp14:anchorId="51AC1B35" wp14:editId="5C0A0550">
            <wp:extent cx="3371850" cy="914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WHA.png"/>
                    <pic:cNvPicPr/>
                  </pic:nvPicPr>
                  <pic:blipFill>
                    <a:blip r:embed="rId13">
                      <a:extLst>
                        <a:ext uri="{28A0092B-C50C-407E-A947-70E740481C1C}">
                          <a14:useLocalDpi xmlns:a14="http://schemas.microsoft.com/office/drawing/2010/main" val="0"/>
                        </a:ext>
                      </a:extLst>
                    </a:blip>
                    <a:stretch>
                      <a:fillRect/>
                    </a:stretch>
                  </pic:blipFill>
                  <pic:spPr>
                    <a:xfrm>
                      <a:off x="0" y="0"/>
                      <a:ext cx="3371850" cy="914400"/>
                    </a:xfrm>
                    <a:prstGeom prst="rect">
                      <a:avLst/>
                    </a:prstGeom>
                  </pic:spPr>
                </pic:pic>
              </a:graphicData>
            </a:graphic>
          </wp:inline>
        </w:drawing>
      </w:r>
    </w:p>
    <w:p w14:paraId="71331766" w14:textId="77777777" w:rsidR="00FA1D61" w:rsidRDefault="00FA1D61">
      <w:pPr>
        <w:pStyle w:val="Title"/>
      </w:pPr>
    </w:p>
    <w:p w14:paraId="58E9761C" w14:textId="0F64EE23" w:rsidR="00FA1D61" w:rsidRPr="002043DC" w:rsidRDefault="002043DC" w:rsidP="002043DC">
      <w:pPr>
        <w:rPr>
          <w:rFonts w:asciiTheme="majorHAnsi" w:eastAsiaTheme="majorEastAsia" w:hAnsiTheme="majorHAnsi" w:cstheme="majorBidi"/>
          <w:color w:val="374C80" w:themeColor="accent1" w:themeShade="BF"/>
          <w:spacing w:val="-10"/>
          <w:sz w:val="52"/>
          <w:szCs w:val="52"/>
        </w:rPr>
      </w:pPr>
      <w:r>
        <w:br w:type="page"/>
      </w:r>
    </w:p>
    <w:sdt>
      <w:sdtPr>
        <w:rPr>
          <w:rFonts w:ascii="Garamond" w:eastAsiaTheme="minorEastAsia" w:hAnsi="Garamond" w:cs="Times New Roman"/>
          <w:color w:val="auto"/>
          <w:sz w:val="22"/>
          <w:szCs w:val="22"/>
          <w:lang w:eastAsia="en-US"/>
        </w:rPr>
        <w:id w:val="-1285426306"/>
        <w:docPartObj>
          <w:docPartGallery w:val="Table of Contents"/>
          <w:docPartUnique/>
        </w:docPartObj>
      </w:sdtPr>
      <w:sdtEndPr>
        <w:rPr>
          <w:rFonts w:cstheme="minorBidi"/>
          <w:lang w:eastAsia="ja-JP"/>
        </w:rPr>
      </w:sdtEndPr>
      <w:sdtContent>
        <w:p w14:paraId="6F35BEFB" w14:textId="77777777" w:rsidR="00FA1D61" w:rsidRPr="009E392A" w:rsidRDefault="5F884969" w:rsidP="002F7C2E">
          <w:pPr>
            <w:pStyle w:val="TOCHeading"/>
            <w:outlineLvl w:val="0"/>
            <w:rPr>
              <w:rFonts w:ascii="Garamond" w:hAnsi="Garamond"/>
              <w:b/>
              <w:bCs/>
              <w:sz w:val="32"/>
              <w:szCs w:val="32"/>
            </w:rPr>
          </w:pPr>
          <w:r w:rsidRPr="5F884969">
            <w:rPr>
              <w:rFonts w:ascii="Garamond" w:hAnsi="Garamond"/>
              <w:b/>
              <w:bCs/>
              <w:sz w:val="32"/>
              <w:szCs w:val="32"/>
            </w:rPr>
            <w:t>Table of Contents</w:t>
          </w:r>
        </w:p>
        <w:p w14:paraId="7BEC8F27" w14:textId="43F70876" w:rsidR="00FA1D61" w:rsidRPr="009B4BEA" w:rsidRDefault="009E392A" w:rsidP="5F884969">
          <w:pPr>
            <w:pStyle w:val="TOC1"/>
            <w:rPr>
              <w:rFonts w:ascii="Garamond" w:hAnsi="Garamond"/>
            </w:rPr>
          </w:pPr>
          <w:r w:rsidRPr="009B4BEA">
            <w:rPr>
              <w:rFonts w:ascii="Garamond" w:hAnsi="Garamond"/>
              <w:b/>
              <w:bCs/>
            </w:rPr>
            <w:t>I</w:t>
          </w:r>
          <w:r w:rsidR="00FA1D61" w:rsidRPr="009B4BEA">
            <w:rPr>
              <w:rFonts w:ascii="Garamond" w:hAnsi="Garamond"/>
              <w:b/>
              <w:bCs/>
            </w:rPr>
            <w:t>.</w:t>
          </w:r>
          <w:r w:rsidR="00FA1D61" w:rsidRPr="009B4BEA">
            <w:rPr>
              <w:rFonts w:ascii="Garamond" w:hAnsi="Garamond"/>
            </w:rPr>
            <w:t xml:space="preserve"> </w:t>
          </w:r>
          <w:r w:rsidRPr="009B4BEA">
            <w:rPr>
              <w:rFonts w:ascii="Garamond" w:hAnsi="Garamond"/>
            </w:rPr>
            <w:tab/>
          </w:r>
          <w:hyperlink w:anchor="Coversheet" w:history="1">
            <w:r w:rsidR="00FA1D61" w:rsidRPr="00050A00">
              <w:rPr>
                <w:rStyle w:val="Hyperlink"/>
                <w:rFonts w:ascii="Garamond" w:hAnsi="Garamond"/>
                <w:b/>
                <w:bCs/>
              </w:rPr>
              <w:t>Cover Sheet</w:t>
            </w:r>
          </w:hyperlink>
          <w:r w:rsidR="00FA1D61" w:rsidRPr="009B4BEA">
            <w:rPr>
              <w:rFonts w:ascii="Garamond" w:hAnsi="Garamond"/>
            </w:rPr>
            <w:t xml:space="preserve"> </w:t>
          </w:r>
          <w:r w:rsidR="00FA1D61" w:rsidRPr="009B4BEA">
            <w:rPr>
              <w:rFonts w:ascii="Garamond" w:hAnsi="Garamond"/>
            </w:rPr>
            <w:ptab w:relativeTo="margin" w:alignment="right" w:leader="dot"/>
          </w:r>
          <w:r w:rsidR="00FA1D61" w:rsidRPr="009B4BEA">
            <w:rPr>
              <w:rFonts w:ascii="Garamond" w:hAnsi="Garamond"/>
              <w:b/>
              <w:bCs/>
            </w:rPr>
            <w:t>3</w:t>
          </w:r>
        </w:p>
        <w:p w14:paraId="3D3CC1A1" w14:textId="0B8206A5" w:rsidR="00FA1D61" w:rsidRPr="009B4BEA" w:rsidRDefault="00FA1D61" w:rsidP="5F884969">
          <w:pPr>
            <w:pStyle w:val="TOC1"/>
            <w:rPr>
              <w:rFonts w:ascii="Garamond" w:hAnsi="Garamond"/>
            </w:rPr>
          </w:pPr>
          <w:r w:rsidRPr="009B4BEA">
            <w:rPr>
              <w:rFonts w:ascii="Garamond" w:hAnsi="Garamond"/>
              <w:b/>
              <w:bCs/>
            </w:rPr>
            <w:t>II</w:t>
          </w:r>
          <w:r w:rsidRPr="009B4BEA">
            <w:rPr>
              <w:rFonts w:ascii="Garamond" w:hAnsi="Garamond"/>
            </w:rPr>
            <w:t>.</w:t>
          </w:r>
          <w:r w:rsidR="009E392A" w:rsidRPr="009B4BEA">
            <w:rPr>
              <w:rFonts w:ascii="Garamond" w:hAnsi="Garamond"/>
            </w:rPr>
            <w:tab/>
          </w:r>
          <w:hyperlink w:anchor="ExecSumm" w:history="1">
            <w:r w:rsidRPr="00050A00">
              <w:rPr>
                <w:rStyle w:val="Hyperlink"/>
                <w:rFonts w:ascii="Garamond" w:hAnsi="Garamond"/>
                <w:b/>
                <w:bCs/>
              </w:rPr>
              <w:t>Executive Summary</w:t>
            </w:r>
          </w:hyperlink>
          <w:r w:rsidRPr="009B4BEA">
            <w:rPr>
              <w:rFonts w:ascii="Garamond" w:hAnsi="Garamond"/>
            </w:rPr>
            <w:ptab w:relativeTo="margin" w:alignment="right" w:leader="dot"/>
          </w:r>
          <w:r w:rsidR="00376ECB" w:rsidRPr="009B4BEA">
            <w:rPr>
              <w:rFonts w:ascii="Garamond" w:hAnsi="Garamond"/>
              <w:b/>
              <w:bCs/>
            </w:rPr>
            <w:t>5</w:t>
          </w:r>
        </w:p>
        <w:p w14:paraId="5EDD1E12" w14:textId="103A1AC8" w:rsidR="009E392A" w:rsidRPr="009B4BEA" w:rsidRDefault="009E392A" w:rsidP="5F884969">
          <w:pPr>
            <w:pStyle w:val="TOC1"/>
            <w:rPr>
              <w:rFonts w:ascii="Garamond" w:hAnsi="Garamond"/>
              <w:b/>
              <w:bCs/>
            </w:rPr>
          </w:pPr>
          <w:r w:rsidRPr="009B4BEA">
            <w:rPr>
              <w:rFonts w:ascii="Garamond" w:hAnsi="Garamond"/>
              <w:b/>
              <w:bCs/>
            </w:rPr>
            <w:t xml:space="preserve">III. </w:t>
          </w:r>
          <w:hyperlink w:anchor="ComPartProcess" w:history="1">
            <w:r w:rsidR="00135AD9" w:rsidRPr="00050A00">
              <w:rPr>
                <w:rStyle w:val="Hyperlink"/>
                <w:rFonts w:ascii="Garamond" w:hAnsi="Garamond"/>
                <w:b/>
                <w:bCs/>
              </w:rPr>
              <w:t>Community Participation Process</w:t>
            </w:r>
          </w:hyperlink>
          <w:r w:rsidRPr="009B4BEA">
            <w:rPr>
              <w:rFonts w:ascii="Garamond" w:hAnsi="Garamond"/>
            </w:rPr>
            <w:ptab w:relativeTo="margin" w:alignment="right" w:leader="dot"/>
          </w:r>
          <w:r w:rsidR="009E5977" w:rsidRPr="009B4BEA">
            <w:rPr>
              <w:rFonts w:ascii="Garamond" w:hAnsi="Garamond"/>
              <w:b/>
              <w:bCs/>
            </w:rPr>
            <w:t>8</w:t>
          </w:r>
        </w:p>
        <w:p w14:paraId="63D7778C" w14:textId="79EEEB84" w:rsidR="009E392A" w:rsidRPr="009B4BEA" w:rsidRDefault="009E392A" w:rsidP="5F884969">
          <w:pPr>
            <w:pStyle w:val="TOC1"/>
            <w:rPr>
              <w:rFonts w:ascii="Garamond" w:hAnsi="Garamond"/>
              <w:b/>
              <w:bCs/>
            </w:rPr>
          </w:pPr>
          <w:r w:rsidRPr="009B4BEA">
            <w:rPr>
              <w:rFonts w:ascii="Garamond" w:hAnsi="Garamond"/>
              <w:b/>
              <w:bCs/>
            </w:rPr>
            <w:t>IV.</w:t>
          </w:r>
          <w:hyperlink w:anchor="AssessmentPastGoals" w:history="1">
            <w:r w:rsidRPr="00670DC1">
              <w:rPr>
                <w:rStyle w:val="Hyperlink"/>
                <w:rFonts w:ascii="Garamond" w:hAnsi="Garamond"/>
                <w:b/>
                <w:bCs/>
              </w:rPr>
              <w:t xml:space="preserve"> </w:t>
            </w:r>
            <w:r w:rsidRPr="00670DC1">
              <w:rPr>
                <w:rStyle w:val="Hyperlink"/>
                <w:rFonts w:ascii="Garamond" w:hAnsi="Garamond"/>
                <w:b/>
              </w:rPr>
              <w:tab/>
            </w:r>
            <w:r w:rsidR="00135AD9" w:rsidRPr="00670DC1">
              <w:rPr>
                <w:rStyle w:val="Hyperlink"/>
                <w:rFonts w:ascii="Garamond" w:hAnsi="Garamond"/>
                <w:b/>
                <w:bCs/>
              </w:rPr>
              <w:t>Assessment of Past Goals and Actions</w:t>
            </w:r>
          </w:hyperlink>
          <w:r w:rsidRPr="009B4BEA">
            <w:rPr>
              <w:rFonts w:ascii="Garamond" w:hAnsi="Garamond"/>
            </w:rPr>
            <w:ptab w:relativeTo="margin" w:alignment="right" w:leader="dot"/>
          </w:r>
          <w:r w:rsidR="009B4BEA" w:rsidRPr="009B4BEA">
            <w:rPr>
              <w:rFonts w:ascii="Garamond" w:hAnsi="Garamond"/>
              <w:b/>
              <w:bCs/>
            </w:rPr>
            <w:t>13</w:t>
          </w:r>
        </w:p>
        <w:p w14:paraId="5C121BFC" w14:textId="7DCA6C90" w:rsidR="009E392A" w:rsidRPr="009B4BEA" w:rsidRDefault="009E392A" w:rsidP="5F884969">
          <w:pPr>
            <w:pStyle w:val="TOC1"/>
            <w:rPr>
              <w:rFonts w:ascii="Garamond" w:hAnsi="Garamond"/>
              <w:b/>
              <w:bCs/>
            </w:rPr>
          </w:pPr>
          <w:r w:rsidRPr="009B4BEA">
            <w:rPr>
              <w:rFonts w:ascii="Garamond" w:hAnsi="Garamond"/>
              <w:b/>
              <w:bCs/>
            </w:rPr>
            <w:t xml:space="preserve">V. </w:t>
          </w:r>
          <w:r w:rsidRPr="009B4BEA">
            <w:rPr>
              <w:rFonts w:ascii="Garamond" w:hAnsi="Garamond"/>
              <w:b/>
            </w:rPr>
            <w:tab/>
          </w:r>
          <w:hyperlink w:anchor="FairHousingAnalysis" w:history="1">
            <w:r w:rsidR="00135AD9" w:rsidRPr="00670DC1">
              <w:rPr>
                <w:rStyle w:val="Hyperlink"/>
                <w:rFonts w:ascii="Garamond" w:hAnsi="Garamond"/>
                <w:b/>
                <w:bCs/>
              </w:rPr>
              <w:t>Fair Housing Analysis</w:t>
            </w:r>
          </w:hyperlink>
          <w:r w:rsidRPr="009B4BEA">
            <w:rPr>
              <w:rFonts w:ascii="Garamond" w:hAnsi="Garamond"/>
            </w:rPr>
            <w:ptab w:relativeTo="margin" w:alignment="right" w:leader="dot"/>
          </w:r>
          <w:r w:rsidR="009B4BEA" w:rsidRPr="009B4BEA">
            <w:rPr>
              <w:rFonts w:ascii="Garamond" w:hAnsi="Garamond"/>
              <w:b/>
              <w:bCs/>
            </w:rPr>
            <w:t>23</w:t>
          </w:r>
        </w:p>
        <w:p w14:paraId="3DC8827D" w14:textId="7D8069C1" w:rsidR="009E392A" w:rsidRPr="009B4BEA" w:rsidRDefault="009E392A" w:rsidP="0085598F">
          <w:pPr>
            <w:pStyle w:val="TOC2"/>
            <w:rPr>
              <w:rFonts w:ascii="Garamond" w:hAnsi="Garamond"/>
            </w:rPr>
          </w:pPr>
          <w:r w:rsidRPr="009B4BEA">
            <w:rPr>
              <w:rFonts w:ascii="Garamond" w:hAnsi="Garamond"/>
            </w:rPr>
            <w:t xml:space="preserve">A. </w:t>
          </w:r>
          <w:hyperlink w:anchor="DemographicSummary" w:history="1">
            <w:r w:rsidR="00135AD9" w:rsidRPr="00670DC1">
              <w:rPr>
                <w:rStyle w:val="Hyperlink"/>
                <w:rFonts w:ascii="Garamond" w:hAnsi="Garamond"/>
              </w:rPr>
              <w:t>Demographic Summary</w:t>
            </w:r>
          </w:hyperlink>
          <w:r w:rsidRPr="009B4BEA">
            <w:rPr>
              <w:rFonts w:ascii="Garamond" w:hAnsi="Garamond"/>
            </w:rPr>
            <w:ptab w:relativeTo="margin" w:alignment="right" w:leader="dot"/>
          </w:r>
          <w:r w:rsidR="009B4BEA" w:rsidRPr="009B4BEA">
            <w:rPr>
              <w:rFonts w:ascii="Garamond" w:hAnsi="Garamond"/>
            </w:rPr>
            <w:t>23</w:t>
          </w:r>
        </w:p>
        <w:p w14:paraId="5042DD7C" w14:textId="56141C8D" w:rsidR="009E392A" w:rsidRPr="009B4BEA" w:rsidRDefault="009E392A" w:rsidP="0085598F">
          <w:pPr>
            <w:pStyle w:val="TOC2"/>
            <w:rPr>
              <w:rFonts w:ascii="Garamond" w:hAnsi="Garamond"/>
            </w:rPr>
          </w:pPr>
          <w:r w:rsidRPr="009B4BEA">
            <w:rPr>
              <w:rFonts w:ascii="Garamond" w:hAnsi="Garamond"/>
            </w:rPr>
            <w:t xml:space="preserve">B. </w:t>
          </w:r>
          <w:hyperlink w:anchor="GeneralIssues" w:history="1">
            <w:r w:rsidR="00135AD9" w:rsidRPr="00670DC1">
              <w:rPr>
                <w:rStyle w:val="Hyperlink"/>
                <w:rFonts w:ascii="Garamond" w:hAnsi="Garamond"/>
              </w:rPr>
              <w:t>General Issues</w:t>
            </w:r>
          </w:hyperlink>
          <w:r w:rsidRPr="009B4BEA">
            <w:rPr>
              <w:rFonts w:ascii="Garamond" w:hAnsi="Garamond"/>
            </w:rPr>
            <w:ptab w:relativeTo="margin" w:alignment="right" w:leader="dot"/>
          </w:r>
          <w:r w:rsidR="009B4BEA" w:rsidRPr="009B4BEA">
            <w:rPr>
              <w:rFonts w:ascii="Garamond" w:hAnsi="Garamond"/>
            </w:rPr>
            <w:t>38</w:t>
          </w:r>
        </w:p>
        <w:p w14:paraId="3037C35A" w14:textId="030CD36C" w:rsidR="009E392A" w:rsidRPr="009B4BEA" w:rsidRDefault="009E392A" w:rsidP="5F884969">
          <w:pPr>
            <w:ind w:left="708" w:firstLine="708"/>
            <w:rPr>
              <w:rFonts w:ascii="Garamond" w:hAnsi="Garamond"/>
              <w:lang w:eastAsia="en-US"/>
            </w:rPr>
          </w:pPr>
          <w:r w:rsidRPr="009B4BEA">
            <w:rPr>
              <w:rFonts w:ascii="Garamond" w:hAnsi="Garamond"/>
            </w:rPr>
            <w:t>i.</w:t>
          </w:r>
          <w:r w:rsidR="00135AD9" w:rsidRPr="009B4BEA">
            <w:rPr>
              <w:rFonts w:ascii="Garamond" w:hAnsi="Garamond"/>
            </w:rPr>
            <w:t xml:space="preserve"> </w:t>
          </w:r>
          <w:hyperlink w:anchor="SegregationIntegration" w:history="1">
            <w:r w:rsidR="00135AD9" w:rsidRPr="00CD2842">
              <w:rPr>
                <w:rStyle w:val="Hyperlink"/>
                <w:rFonts w:ascii="Garamond" w:hAnsi="Garamond"/>
              </w:rPr>
              <w:t>Segregation/Integration</w:t>
            </w:r>
          </w:hyperlink>
          <w:r w:rsidRPr="009B4BEA">
            <w:rPr>
              <w:rFonts w:ascii="Garamond" w:hAnsi="Garamond"/>
            </w:rPr>
            <w:ptab w:relativeTo="margin" w:alignment="right" w:leader="dot"/>
          </w:r>
          <w:r w:rsidR="009B4BEA" w:rsidRPr="009B4BEA">
            <w:rPr>
              <w:rFonts w:ascii="Garamond" w:hAnsi="Garamond"/>
            </w:rPr>
            <w:t>38</w:t>
          </w:r>
        </w:p>
        <w:p w14:paraId="664E1D59" w14:textId="1DA87557" w:rsidR="009E392A" w:rsidRPr="009B4BEA" w:rsidRDefault="009E392A" w:rsidP="5F884969">
          <w:pPr>
            <w:ind w:left="708" w:firstLine="708"/>
            <w:rPr>
              <w:rFonts w:ascii="Garamond" w:hAnsi="Garamond"/>
              <w:lang w:eastAsia="en-US"/>
            </w:rPr>
          </w:pPr>
          <w:r w:rsidRPr="009B4BEA">
            <w:rPr>
              <w:rFonts w:ascii="Garamond" w:hAnsi="Garamond"/>
            </w:rPr>
            <w:t>ii.</w:t>
          </w:r>
          <w:r w:rsidR="00135AD9" w:rsidRPr="009B4BEA">
            <w:rPr>
              <w:rFonts w:ascii="Garamond" w:hAnsi="Garamond"/>
            </w:rPr>
            <w:t xml:space="preserve"> </w:t>
          </w:r>
          <w:hyperlink w:anchor="RECAPs" w:history="1">
            <w:r w:rsidR="00135AD9" w:rsidRPr="00CD2842">
              <w:rPr>
                <w:rStyle w:val="Hyperlink"/>
                <w:rFonts w:ascii="Garamond" w:hAnsi="Garamond"/>
              </w:rPr>
              <w:t>Racially or Ethnically Concentrated Areas of Poverty (R/ECAPs</w:t>
            </w:r>
            <w:proofErr w:type="gramStart"/>
            <w:r w:rsidR="00135AD9" w:rsidRPr="00CD2842">
              <w:rPr>
                <w:rStyle w:val="Hyperlink"/>
                <w:rFonts w:ascii="Garamond" w:hAnsi="Garamond"/>
              </w:rPr>
              <w:t>)</w:t>
            </w:r>
            <w:proofErr w:type="gramEnd"/>
          </w:hyperlink>
          <w:r w:rsidRPr="009B4BEA">
            <w:rPr>
              <w:rFonts w:ascii="Garamond" w:hAnsi="Garamond"/>
            </w:rPr>
            <w:ptab w:relativeTo="margin" w:alignment="right" w:leader="dot"/>
          </w:r>
          <w:r w:rsidR="009B4BEA" w:rsidRPr="009B4BEA">
            <w:rPr>
              <w:rFonts w:ascii="Garamond" w:hAnsi="Garamond"/>
            </w:rPr>
            <w:t>48</w:t>
          </w:r>
        </w:p>
        <w:p w14:paraId="5BD35236" w14:textId="103EB57A" w:rsidR="00AD4833" w:rsidRPr="009B4BEA" w:rsidRDefault="009E392A" w:rsidP="5F884969">
          <w:pPr>
            <w:ind w:left="708" w:firstLine="708"/>
            <w:rPr>
              <w:rFonts w:ascii="Garamond" w:hAnsi="Garamond"/>
            </w:rPr>
          </w:pPr>
          <w:r w:rsidRPr="009B4BEA">
            <w:rPr>
              <w:rFonts w:ascii="Garamond" w:hAnsi="Garamond"/>
            </w:rPr>
            <w:t>iii.</w:t>
          </w:r>
          <w:r w:rsidR="00135AD9" w:rsidRPr="009B4BEA">
            <w:rPr>
              <w:rFonts w:ascii="Garamond" w:hAnsi="Garamond"/>
            </w:rPr>
            <w:t xml:space="preserve"> </w:t>
          </w:r>
          <w:hyperlink w:anchor="DisparitiesInAccesstoOpportunity" w:history="1">
            <w:r w:rsidR="00135AD9" w:rsidRPr="00CD2842">
              <w:rPr>
                <w:rStyle w:val="Hyperlink"/>
                <w:rFonts w:ascii="Garamond" w:hAnsi="Garamond"/>
              </w:rPr>
              <w:t>Disparities in Access to Opportunity</w:t>
            </w:r>
          </w:hyperlink>
          <w:r w:rsidRPr="009B4BEA">
            <w:rPr>
              <w:rFonts w:ascii="Garamond" w:hAnsi="Garamond"/>
            </w:rPr>
            <w:ptab w:relativeTo="margin" w:alignment="right" w:leader="dot"/>
          </w:r>
          <w:r w:rsidR="009B4BEA" w:rsidRPr="009B4BEA">
            <w:rPr>
              <w:rFonts w:ascii="Garamond" w:hAnsi="Garamond"/>
            </w:rPr>
            <w:t>49</w:t>
          </w:r>
        </w:p>
        <w:p w14:paraId="6A1B7DA0" w14:textId="5C019E41" w:rsidR="00AD4833" w:rsidRPr="009B4BEA" w:rsidRDefault="00AD4833" w:rsidP="5F884969">
          <w:pPr>
            <w:ind w:left="810" w:firstLine="708"/>
            <w:rPr>
              <w:rFonts w:ascii="Garamond" w:hAnsi="Garamond"/>
            </w:rPr>
          </w:pPr>
          <w:r w:rsidRPr="009B4BEA">
            <w:rPr>
              <w:rFonts w:ascii="Garamond" w:hAnsi="Garamond"/>
            </w:rPr>
            <w:tab/>
            <w:t xml:space="preserve">a. </w:t>
          </w:r>
          <w:hyperlink w:anchor="EducationalOpportunities" w:history="1">
            <w:r w:rsidRPr="00CD2842">
              <w:rPr>
                <w:rStyle w:val="Hyperlink"/>
                <w:rFonts w:ascii="Garamond" w:hAnsi="Garamond"/>
              </w:rPr>
              <w:t>Educational Opportunities</w:t>
            </w:r>
          </w:hyperlink>
          <w:r w:rsidRPr="009B4BEA">
            <w:rPr>
              <w:rFonts w:ascii="Garamond" w:hAnsi="Garamond"/>
            </w:rPr>
            <w:ptab w:relativeTo="margin" w:alignment="right" w:leader="dot"/>
          </w:r>
          <w:r w:rsidR="009B4BEA" w:rsidRPr="009B4BEA">
            <w:rPr>
              <w:rFonts w:ascii="Garamond" w:hAnsi="Garamond"/>
            </w:rPr>
            <w:t>51</w:t>
          </w:r>
        </w:p>
        <w:p w14:paraId="3B0875DE" w14:textId="3C20BEF6" w:rsidR="00AD4833" w:rsidRPr="009B4BEA" w:rsidRDefault="00AD4833" w:rsidP="5F884969">
          <w:pPr>
            <w:ind w:left="810" w:firstLine="708"/>
            <w:rPr>
              <w:rFonts w:ascii="Garamond" w:hAnsi="Garamond"/>
            </w:rPr>
          </w:pPr>
          <w:r w:rsidRPr="009B4BEA">
            <w:rPr>
              <w:rFonts w:ascii="Garamond" w:hAnsi="Garamond"/>
            </w:rPr>
            <w:tab/>
            <w:t xml:space="preserve">b. </w:t>
          </w:r>
          <w:hyperlink w:anchor="EmploymentOpportunities" w:history="1">
            <w:r w:rsidRPr="00CD2842">
              <w:rPr>
                <w:rStyle w:val="Hyperlink"/>
                <w:rFonts w:ascii="Garamond" w:hAnsi="Garamond"/>
              </w:rPr>
              <w:t>Employment Opportunities</w:t>
            </w:r>
          </w:hyperlink>
          <w:r w:rsidRPr="009B4BEA">
            <w:rPr>
              <w:rFonts w:ascii="Garamond" w:hAnsi="Garamond"/>
            </w:rPr>
            <w:ptab w:relativeTo="margin" w:alignment="right" w:leader="dot"/>
          </w:r>
          <w:r w:rsidR="009B4BEA" w:rsidRPr="009B4BEA">
            <w:rPr>
              <w:rFonts w:ascii="Garamond" w:hAnsi="Garamond"/>
            </w:rPr>
            <w:t>56</w:t>
          </w:r>
        </w:p>
        <w:p w14:paraId="42C95A6A" w14:textId="3ECC6BFA" w:rsidR="00AD4833" w:rsidRPr="009B4BEA" w:rsidRDefault="00AD4833" w:rsidP="5F884969">
          <w:pPr>
            <w:ind w:left="810" w:firstLine="708"/>
            <w:rPr>
              <w:rFonts w:ascii="Garamond" w:hAnsi="Garamond"/>
            </w:rPr>
          </w:pPr>
          <w:r w:rsidRPr="009B4BEA">
            <w:rPr>
              <w:rFonts w:ascii="Garamond" w:hAnsi="Garamond"/>
            </w:rPr>
            <w:tab/>
            <w:t xml:space="preserve">c. </w:t>
          </w:r>
          <w:hyperlink w:anchor="TransportationOpportunities" w:history="1">
            <w:r w:rsidRPr="00CD2842">
              <w:rPr>
                <w:rStyle w:val="Hyperlink"/>
                <w:rFonts w:ascii="Garamond" w:hAnsi="Garamond"/>
              </w:rPr>
              <w:t>Transportation Opportunities</w:t>
            </w:r>
          </w:hyperlink>
          <w:r w:rsidRPr="009B4BEA">
            <w:rPr>
              <w:rFonts w:ascii="Garamond" w:hAnsi="Garamond"/>
            </w:rPr>
            <w:ptab w:relativeTo="margin" w:alignment="right" w:leader="dot"/>
          </w:r>
          <w:r w:rsidR="00F06D56" w:rsidRPr="009B4BEA">
            <w:rPr>
              <w:rFonts w:ascii="Garamond" w:hAnsi="Garamond"/>
            </w:rPr>
            <w:t>61</w:t>
          </w:r>
        </w:p>
        <w:p w14:paraId="6DF5FB3E" w14:textId="5DA6C5C1" w:rsidR="00AD4833" w:rsidRPr="009B4BEA" w:rsidRDefault="00AD4833" w:rsidP="5F884969">
          <w:pPr>
            <w:ind w:left="810" w:firstLine="708"/>
            <w:rPr>
              <w:rFonts w:ascii="Garamond" w:hAnsi="Garamond"/>
            </w:rPr>
          </w:pPr>
          <w:r w:rsidRPr="009B4BEA">
            <w:rPr>
              <w:rFonts w:ascii="Garamond" w:hAnsi="Garamond"/>
            </w:rPr>
            <w:tab/>
            <w:t xml:space="preserve">d. </w:t>
          </w:r>
          <w:hyperlink w:anchor="LowPovertyExposureOpportunities" w:history="1">
            <w:r w:rsidR="00640FD8" w:rsidRPr="00640FD8">
              <w:rPr>
                <w:rStyle w:val="Hyperlink"/>
                <w:rFonts w:ascii="Garamond" w:hAnsi="Garamond"/>
              </w:rPr>
              <w:t>Access to Low Poverty Neighborhoods</w:t>
            </w:r>
          </w:hyperlink>
          <w:r w:rsidRPr="009B4BEA">
            <w:rPr>
              <w:rFonts w:ascii="Garamond" w:hAnsi="Garamond"/>
            </w:rPr>
            <w:ptab w:relativeTo="margin" w:alignment="right" w:leader="dot"/>
          </w:r>
          <w:r w:rsidR="00F06D56" w:rsidRPr="009B4BEA">
            <w:rPr>
              <w:rFonts w:ascii="Garamond" w:hAnsi="Garamond"/>
            </w:rPr>
            <w:t>67</w:t>
          </w:r>
        </w:p>
        <w:p w14:paraId="4604002A" w14:textId="718F9E9D" w:rsidR="00AD4833" w:rsidRPr="009B4BEA" w:rsidRDefault="00AD4833" w:rsidP="5F884969">
          <w:pPr>
            <w:ind w:left="810" w:firstLine="708"/>
            <w:rPr>
              <w:rFonts w:ascii="Garamond" w:hAnsi="Garamond"/>
            </w:rPr>
          </w:pPr>
          <w:r w:rsidRPr="009B4BEA">
            <w:rPr>
              <w:rFonts w:ascii="Garamond" w:hAnsi="Garamond"/>
            </w:rPr>
            <w:tab/>
            <w:t xml:space="preserve">e. </w:t>
          </w:r>
          <w:hyperlink w:anchor="AccessEnvironmenallyHealthy" w:history="1">
            <w:r w:rsidR="00640FD8" w:rsidRPr="00640FD8">
              <w:rPr>
                <w:rStyle w:val="Hyperlink"/>
                <w:rFonts w:ascii="Garamond" w:hAnsi="Garamond"/>
              </w:rPr>
              <w:t>Access to Environmentally Healthy Neighborhoods</w:t>
            </w:r>
          </w:hyperlink>
          <w:r w:rsidRPr="009B4BEA">
            <w:rPr>
              <w:rFonts w:ascii="Garamond" w:hAnsi="Garamond"/>
            </w:rPr>
            <w:ptab w:relativeTo="margin" w:alignment="right" w:leader="dot"/>
          </w:r>
          <w:r w:rsidR="00F06D56" w:rsidRPr="009B4BEA">
            <w:rPr>
              <w:rFonts w:ascii="Garamond" w:hAnsi="Garamond"/>
            </w:rPr>
            <w:t>71</w:t>
          </w:r>
        </w:p>
        <w:p w14:paraId="3186A253" w14:textId="72DCCE20" w:rsidR="00AD4833" w:rsidRPr="009B4BEA" w:rsidRDefault="00AD4833" w:rsidP="5F884969">
          <w:pPr>
            <w:ind w:left="810" w:firstLine="708"/>
            <w:rPr>
              <w:rFonts w:ascii="Garamond" w:hAnsi="Garamond"/>
            </w:rPr>
          </w:pPr>
          <w:r w:rsidRPr="009B4BEA">
            <w:rPr>
              <w:rFonts w:ascii="Garamond" w:hAnsi="Garamond"/>
            </w:rPr>
            <w:tab/>
            <w:t xml:space="preserve">f. </w:t>
          </w:r>
          <w:hyperlink w:anchor="PatternsInDisparitytoOpportunity" w:history="1">
            <w:r w:rsidRPr="00CD2842">
              <w:rPr>
                <w:rStyle w:val="Hyperlink"/>
                <w:rFonts w:ascii="Garamond" w:hAnsi="Garamond"/>
              </w:rPr>
              <w:t>Patterns in Disparity to Opportunity</w:t>
            </w:r>
          </w:hyperlink>
          <w:r w:rsidRPr="009B4BEA">
            <w:rPr>
              <w:rFonts w:ascii="Garamond" w:hAnsi="Garamond"/>
            </w:rPr>
            <w:ptab w:relativeTo="margin" w:alignment="right" w:leader="dot"/>
          </w:r>
          <w:r w:rsidR="00F06D56" w:rsidRPr="009B4BEA">
            <w:rPr>
              <w:rFonts w:ascii="Garamond" w:hAnsi="Garamond"/>
            </w:rPr>
            <w:t>74</w:t>
          </w:r>
        </w:p>
        <w:p w14:paraId="7BA21A0E" w14:textId="6385B160" w:rsidR="009E392A" w:rsidRPr="009B4BEA" w:rsidRDefault="009E392A" w:rsidP="5F884969">
          <w:pPr>
            <w:ind w:left="708" w:firstLine="708"/>
            <w:rPr>
              <w:rFonts w:ascii="Garamond" w:hAnsi="Garamond"/>
              <w:lang w:eastAsia="en-US"/>
            </w:rPr>
          </w:pPr>
          <w:r w:rsidRPr="009B4BEA">
            <w:rPr>
              <w:rFonts w:ascii="Garamond" w:hAnsi="Garamond"/>
            </w:rPr>
            <w:t>iv.</w:t>
          </w:r>
          <w:r w:rsidR="00135AD9" w:rsidRPr="009B4BEA">
            <w:rPr>
              <w:rFonts w:ascii="Garamond" w:hAnsi="Garamond"/>
            </w:rPr>
            <w:t xml:space="preserve"> </w:t>
          </w:r>
          <w:hyperlink w:anchor="DisproportionateHousingNeeds" w:history="1">
            <w:r w:rsidR="00135AD9" w:rsidRPr="00CD2842">
              <w:rPr>
                <w:rStyle w:val="Hyperlink"/>
                <w:rFonts w:ascii="Garamond" w:hAnsi="Garamond"/>
              </w:rPr>
              <w:t>Disproportionate Housing Needs</w:t>
            </w:r>
          </w:hyperlink>
          <w:r w:rsidRPr="009B4BEA">
            <w:rPr>
              <w:rFonts w:ascii="Garamond" w:hAnsi="Garamond"/>
            </w:rPr>
            <w:ptab w:relativeTo="margin" w:alignment="right" w:leader="dot"/>
          </w:r>
          <w:r w:rsidR="00F06D56" w:rsidRPr="009B4BEA">
            <w:rPr>
              <w:rFonts w:ascii="Garamond" w:hAnsi="Garamond"/>
            </w:rPr>
            <w:t>76</w:t>
          </w:r>
        </w:p>
        <w:p w14:paraId="14CE7B7B" w14:textId="76C2BFF9" w:rsidR="009E392A" w:rsidRPr="009B4BEA" w:rsidRDefault="009E392A" w:rsidP="0085598F">
          <w:pPr>
            <w:pStyle w:val="TOC2"/>
            <w:rPr>
              <w:rFonts w:ascii="Garamond" w:hAnsi="Garamond"/>
            </w:rPr>
          </w:pPr>
          <w:r w:rsidRPr="009B4BEA">
            <w:rPr>
              <w:rFonts w:ascii="Garamond" w:hAnsi="Garamond"/>
            </w:rPr>
            <w:t xml:space="preserve">C. </w:t>
          </w:r>
          <w:hyperlink w:anchor="PublicallySupportedHousingAnalysis" w:history="1">
            <w:r w:rsidR="00135AD9" w:rsidRPr="00CD2842">
              <w:rPr>
                <w:rStyle w:val="Hyperlink"/>
                <w:rFonts w:ascii="Garamond" w:hAnsi="Garamond"/>
              </w:rPr>
              <w:t>Publicly Supported Housing Analysis</w:t>
            </w:r>
          </w:hyperlink>
          <w:r w:rsidRPr="009B4BEA">
            <w:rPr>
              <w:rFonts w:ascii="Garamond" w:hAnsi="Garamond"/>
            </w:rPr>
            <w:ptab w:relativeTo="margin" w:alignment="right" w:leader="dot"/>
          </w:r>
          <w:r w:rsidR="009B4BEA" w:rsidRPr="009B4BEA">
            <w:rPr>
              <w:rFonts w:ascii="Garamond" w:hAnsi="Garamond"/>
            </w:rPr>
            <w:t>83</w:t>
          </w:r>
        </w:p>
        <w:p w14:paraId="5063E2D7" w14:textId="650F2845" w:rsidR="009E392A" w:rsidRPr="009B4BEA" w:rsidRDefault="009E392A" w:rsidP="0085598F">
          <w:pPr>
            <w:pStyle w:val="TOC2"/>
            <w:rPr>
              <w:rFonts w:ascii="Garamond" w:hAnsi="Garamond"/>
            </w:rPr>
          </w:pPr>
          <w:r w:rsidRPr="009B4BEA">
            <w:rPr>
              <w:rFonts w:ascii="Garamond" w:hAnsi="Garamond"/>
            </w:rPr>
            <w:t xml:space="preserve">D. </w:t>
          </w:r>
          <w:hyperlink w:anchor="DisabilityandAccessAnalysis" w:history="1">
            <w:r w:rsidR="00135AD9" w:rsidRPr="00640FD8">
              <w:rPr>
                <w:rStyle w:val="Hyperlink"/>
                <w:rFonts w:ascii="Garamond" w:hAnsi="Garamond"/>
              </w:rPr>
              <w:t>Disability and Access Analysi</w:t>
            </w:r>
          </w:hyperlink>
          <w:r w:rsidR="00135AD9" w:rsidRPr="009B4BEA">
            <w:rPr>
              <w:rFonts w:ascii="Garamond" w:hAnsi="Garamond"/>
            </w:rPr>
            <w:t>s</w:t>
          </w:r>
          <w:r w:rsidRPr="009B4BEA">
            <w:rPr>
              <w:rFonts w:ascii="Garamond" w:hAnsi="Garamond"/>
            </w:rPr>
            <w:ptab w:relativeTo="margin" w:alignment="right" w:leader="dot"/>
          </w:r>
          <w:r w:rsidR="00800081">
            <w:rPr>
              <w:rFonts w:ascii="Garamond" w:hAnsi="Garamond"/>
            </w:rPr>
            <w:t>93</w:t>
          </w:r>
        </w:p>
        <w:p w14:paraId="2302450C" w14:textId="41D3E422" w:rsidR="009E392A" w:rsidRPr="009B4BEA" w:rsidRDefault="009E392A" w:rsidP="0085598F">
          <w:pPr>
            <w:pStyle w:val="TOC2"/>
            <w:rPr>
              <w:rFonts w:ascii="Garamond" w:hAnsi="Garamond"/>
            </w:rPr>
          </w:pPr>
          <w:r w:rsidRPr="009B4BEA">
            <w:rPr>
              <w:rFonts w:ascii="Garamond" w:hAnsi="Garamond"/>
            </w:rPr>
            <w:t xml:space="preserve">E. </w:t>
          </w:r>
          <w:hyperlink w:anchor="FairHousingEnforcementOutreachCapacity" w:history="1">
            <w:r w:rsidR="00135AD9" w:rsidRPr="00CD2842">
              <w:rPr>
                <w:rStyle w:val="Hyperlink"/>
                <w:rFonts w:ascii="Garamond" w:hAnsi="Garamond"/>
              </w:rPr>
              <w:t>Fair Housing Enforcement, Outreach Capacity, and Resources</w:t>
            </w:r>
          </w:hyperlink>
          <w:r w:rsidRPr="009B4BEA">
            <w:rPr>
              <w:rFonts w:ascii="Garamond" w:hAnsi="Garamond"/>
            </w:rPr>
            <w:ptab w:relativeTo="margin" w:alignment="right" w:leader="dot"/>
          </w:r>
          <w:r w:rsidR="00800081">
            <w:rPr>
              <w:rFonts w:ascii="Garamond" w:hAnsi="Garamond"/>
            </w:rPr>
            <w:t>100</w:t>
          </w:r>
        </w:p>
        <w:p w14:paraId="4BFDAB4A" w14:textId="4EAB084D" w:rsidR="002F7C2E" w:rsidRPr="009B4BEA" w:rsidRDefault="002F7C2E" w:rsidP="002F7C2E">
          <w:pPr>
            <w:pStyle w:val="TOC2"/>
            <w:rPr>
              <w:rFonts w:ascii="Garamond" w:hAnsi="Garamond"/>
            </w:rPr>
          </w:pPr>
          <w:r w:rsidRPr="009B4BEA">
            <w:rPr>
              <w:rFonts w:ascii="Garamond" w:hAnsi="Garamond"/>
            </w:rPr>
            <w:t xml:space="preserve">F. </w:t>
          </w:r>
          <w:hyperlink w:anchor="Winooski" w:history="1">
            <w:r w:rsidR="00CB21B4" w:rsidRPr="00CD2842">
              <w:rPr>
                <w:rStyle w:val="Hyperlink"/>
                <w:rFonts w:ascii="Garamond" w:hAnsi="Garamond"/>
              </w:rPr>
              <w:t>1,250 Units or Fewer Winooski Housing Authority Insert</w:t>
            </w:r>
          </w:hyperlink>
          <w:r w:rsidRPr="009B4BEA">
            <w:rPr>
              <w:rFonts w:ascii="Garamond" w:hAnsi="Garamond"/>
            </w:rPr>
            <w:ptab w:relativeTo="margin" w:alignment="right" w:leader="dot"/>
          </w:r>
          <w:r w:rsidR="00800081">
            <w:rPr>
              <w:rFonts w:ascii="Garamond" w:hAnsi="Garamond"/>
            </w:rPr>
            <w:t>104</w:t>
          </w:r>
        </w:p>
        <w:p w14:paraId="226C6D2E" w14:textId="79E4BB86" w:rsidR="00745C27" w:rsidRPr="009B4BEA" w:rsidRDefault="00745C27" w:rsidP="5F884969">
          <w:pPr>
            <w:pStyle w:val="TOC1"/>
            <w:rPr>
              <w:rFonts w:ascii="Garamond" w:hAnsi="Garamond"/>
              <w:b/>
              <w:bCs/>
            </w:rPr>
          </w:pPr>
          <w:r w:rsidRPr="009B4BEA">
            <w:rPr>
              <w:rFonts w:ascii="Garamond" w:hAnsi="Garamond"/>
              <w:b/>
              <w:bCs/>
            </w:rPr>
            <w:t xml:space="preserve">VI. </w:t>
          </w:r>
          <w:r w:rsidRPr="009B4BEA">
            <w:rPr>
              <w:rFonts w:ascii="Garamond" w:hAnsi="Garamond"/>
              <w:b/>
            </w:rPr>
            <w:tab/>
          </w:r>
          <w:hyperlink w:anchor="FairHousingGoalsandPriorities" w:history="1">
            <w:r w:rsidRPr="00640FD8">
              <w:rPr>
                <w:rStyle w:val="Hyperlink"/>
                <w:rFonts w:ascii="Garamond" w:hAnsi="Garamond"/>
                <w:b/>
                <w:bCs/>
              </w:rPr>
              <w:t>Fair Housing Goals and Priorities</w:t>
            </w:r>
          </w:hyperlink>
          <w:r w:rsidRPr="009B4BEA">
            <w:rPr>
              <w:rFonts w:ascii="Garamond" w:hAnsi="Garamond"/>
            </w:rPr>
            <w:ptab w:relativeTo="margin" w:alignment="right" w:leader="dot"/>
          </w:r>
          <w:r w:rsidR="00800081">
            <w:rPr>
              <w:rFonts w:ascii="Garamond" w:hAnsi="Garamond"/>
              <w:b/>
              <w:bCs/>
            </w:rPr>
            <w:t>131</w:t>
          </w:r>
        </w:p>
        <w:p w14:paraId="291FA943" w14:textId="0E4F02D0" w:rsidR="00FA1D61" w:rsidRPr="00745C27" w:rsidRDefault="00E67926" w:rsidP="00745C27">
          <w:pPr>
            <w:rPr>
              <w:lang w:eastAsia="en-US"/>
            </w:rPr>
          </w:pPr>
        </w:p>
      </w:sdtContent>
    </w:sdt>
    <w:p w14:paraId="3EAD4941" w14:textId="77777777" w:rsidR="00FA1D61" w:rsidRDefault="00FA1D61" w:rsidP="00FA1D61">
      <w:pPr>
        <w:rPr>
          <w:rFonts w:ascii="Garamond" w:hAnsi="Garamond"/>
        </w:rPr>
      </w:pPr>
    </w:p>
    <w:p w14:paraId="18E01B42" w14:textId="77777777" w:rsidR="00135AD9" w:rsidRDefault="00135AD9" w:rsidP="00FA1D61">
      <w:pPr>
        <w:rPr>
          <w:rFonts w:ascii="Garamond" w:hAnsi="Garamond"/>
        </w:rPr>
      </w:pPr>
    </w:p>
    <w:p w14:paraId="688261E1" w14:textId="77777777" w:rsidR="00135AD9" w:rsidRDefault="00135AD9" w:rsidP="00FA1D61">
      <w:pPr>
        <w:rPr>
          <w:rFonts w:ascii="Garamond" w:hAnsi="Garamond"/>
        </w:rPr>
      </w:pPr>
    </w:p>
    <w:p w14:paraId="6CF1E9B3" w14:textId="77777777" w:rsidR="00135AD9" w:rsidRDefault="00135AD9" w:rsidP="00FA1D61">
      <w:pPr>
        <w:rPr>
          <w:rFonts w:ascii="Garamond" w:hAnsi="Garamond"/>
        </w:rPr>
      </w:pPr>
    </w:p>
    <w:p w14:paraId="179F66A0" w14:textId="499ACEC8" w:rsidR="00135AD9" w:rsidRPr="004924EF" w:rsidRDefault="004924EF" w:rsidP="00FA1D61">
      <w:pPr>
        <w:rPr>
          <w:rFonts w:ascii="Garamond" w:hAnsi="Garamond"/>
          <w:i/>
          <w:sz w:val="24"/>
          <w:szCs w:val="24"/>
        </w:rPr>
      </w:pPr>
      <w:r w:rsidRPr="004924EF">
        <w:rPr>
          <w:rFonts w:ascii="Garamond" w:hAnsi="Garamond"/>
          <w:i/>
          <w:sz w:val="24"/>
          <w:szCs w:val="24"/>
        </w:rPr>
        <w:t>Due to formatting and edits for publication, the current table of contents may not match current page numbers. This will be finalized</w:t>
      </w:r>
      <w:r>
        <w:rPr>
          <w:rFonts w:ascii="Garamond" w:hAnsi="Garamond"/>
          <w:i/>
          <w:sz w:val="24"/>
          <w:szCs w:val="24"/>
        </w:rPr>
        <w:t xml:space="preserve"> and corrected</w:t>
      </w:r>
      <w:r w:rsidRPr="004924EF">
        <w:rPr>
          <w:rFonts w:ascii="Garamond" w:hAnsi="Garamond"/>
          <w:i/>
          <w:sz w:val="24"/>
          <w:szCs w:val="24"/>
        </w:rPr>
        <w:t xml:space="preserve"> at publication.</w:t>
      </w:r>
    </w:p>
    <w:p w14:paraId="5930BF7F" w14:textId="77777777" w:rsidR="00135AD9" w:rsidRDefault="00135AD9" w:rsidP="00FA1D61">
      <w:pPr>
        <w:rPr>
          <w:rFonts w:ascii="Garamond" w:hAnsi="Garamond"/>
        </w:rPr>
      </w:pPr>
    </w:p>
    <w:p w14:paraId="3E2F4DE5" w14:textId="77777777" w:rsidR="00135AD9" w:rsidRDefault="00135AD9" w:rsidP="00FA1D61">
      <w:pPr>
        <w:rPr>
          <w:rFonts w:ascii="Garamond" w:hAnsi="Garamond"/>
        </w:rPr>
      </w:pPr>
    </w:p>
    <w:p w14:paraId="23FC77C9" w14:textId="77777777" w:rsidR="001F5FEA" w:rsidRPr="009E392A" w:rsidRDefault="001F5FEA" w:rsidP="00FA1D61">
      <w:pPr>
        <w:rPr>
          <w:rFonts w:ascii="Garamond" w:hAnsi="Garamond"/>
        </w:rPr>
      </w:pPr>
    </w:p>
    <w:p w14:paraId="0E178CDF" w14:textId="77777777" w:rsidR="00135AD9" w:rsidRDefault="5F884969" w:rsidP="5F884969">
      <w:pPr>
        <w:pStyle w:val="Title"/>
        <w:numPr>
          <w:ilvl w:val="0"/>
          <w:numId w:val="3"/>
        </w:numPr>
        <w:ind w:left="360" w:hanging="180"/>
        <w:rPr>
          <w:rFonts w:ascii="Garamond" w:hAnsi="Garamond"/>
          <w:b/>
          <w:bCs/>
          <w:sz w:val="32"/>
          <w:szCs w:val="32"/>
        </w:rPr>
      </w:pPr>
      <w:bookmarkStart w:id="1" w:name="Coversheet"/>
      <w:r w:rsidRPr="5F884969">
        <w:rPr>
          <w:rFonts w:ascii="Garamond" w:hAnsi="Garamond"/>
          <w:b/>
          <w:bCs/>
          <w:sz w:val="32"/>
          <w:szCs w:val="32"/>
        </w:rPr>
        <w:t>Cover Sheet</w:t>
      </w:r>
    </w:p>
    <w:bookmarkEnd w:id="1"/>
    <w:p w14:paraId="38840DF8" w14:textId="77777777" w:rsidR="007004CD" w:rsidRDefault="007004CD" w:rsidP="007004CD">
      <w:pPr>
        <w:pStyle w:val="Default"/>
        <w:ind w:left="720"/>
      </w:pPr>
    </w:p>
    <w:p w14:paraId="3D18BD75" w14:textId="77777777" w:rsidR="007004CD" w:rsidRPr="007004CD" w:rsidRDefault="5F884969" w:rsidP="00943EE1">
      <w:pPr>
        <w:pStyle w:val="Default"/>
        <w:numPr>
          <w:ilvl w:val="0"/>
          <w:numId w:val="4"/>
        </w:numPr>
        <w:ind w:left="360"/>
      </w:pPr>
      <w:r w:rsidRPr="5F884969">
        <w:rPr>
          <w:b/>
          <w:bCs/>
        </w:rPr>
        <w:t xml:space="preserve">Submission date: </w:t>
      </w:r>
      <w:r w:rsidRPr="5F884969">
        <w:rPr>
          <w:color w:val="FF0000"/>
        </w:rPr>
        <w:t>[insert]</w:t>
      </w:r>
    </w:p>
    <w:p w14:paraId="79290D96" w14:textId="77777777" w:rsidR="007004CD" w:rsidRPr="007004CD" w:rsidRDefault="007004CD" w:rsidP="007004CD">
      <w:pPr>
        <w:pStyle w:val="Default"/>
      </w:pPr>
    </w:p>
    <w:p w14:paraId="36FB3CC3" w14:textId="77777777" w:rsidR="007004CD" w:rsidRPr="007004CD" w:rsidRDefault="5F884969" w:rsidP="00943EE1">
      <w:pPr>
        <w:pStyle w:val="Default"/>
        <w:numPr>
          <w:ilvl w:val="0"/>
          <w:numId w:val="4"/>
        </w:numPr>
        <w:ind w:left="360"/>
      </w:pPr>
      <w:r w:rsidRPr="5F884969">
        <w:rPr>
          <w:b/>
          <w:bCs/>
        </w:rPr>
        <w:t xml:space="preserve">Submitter name: </w:t>
      </w:r>
      <w:r>
        <w:t xml:space="preserve">City of Burlington, VT </w:t>
      </w:r>
    </w:p>
    <w:p w14:paraId="5F56D5B0" w14:textId="77777777" w:rsidR="007004CD" w:rsidRPr="007004CD" w:rsidRDefault="007004CD" w:rsidP="007004CD">
      <w:pPr>
        <w:pStyle w:val="Default"/>
        <w:ind w:left="360"/>
      </w:pPr>
    </w:p>
    <w:p w14:paraId="21509A67" w14:textId="57C6D728" w:rsidR="007004CD" w:rsidRPr="007004CD" w:rsidRDefault="5F884969" w:rsidP="00943EE1">
      <w:pPr>
        <w:pStyle w:val="Default"/>
        <w:numPr>
          <w:ilvl w:val="0"/>
          <w:numId w:val="4"/>
        </w:numPr>
        <w:ind w:left="360"/>
      </w:pPr>
      <w:r w:rsidRPr="5F884969">
        <w:rPr>
          <w:b/>
          <w:bCs/>
        </w:rPr>
        <w:t xml:space="preserve">Type of submission: </w:t>
      </w:r>
      <w:r>
        <w:t>Joint Submission – City of B</w:t>
      </w:r>
      <w:r w:rsidR="00D44CD1">
        <w:t xml:space="preserve">urlington, Vermont, Burlington Housing Authority </w:t>
      </w:r>
      <w:r>
        <w:t>a</w:t>
      </w:r>
      <w:r w:rsidR="00D44CD1">
        <w:t>nd the Winooski Housing Authority</w:t>
      </w:r>
    </w:p>
    <w:p w14:paraId="2C40369D" w14:textId="77777777" w:rsidR="007004CD" w:rsidRPr="007004CD" w:rsidRDefault="007004CD" w:rsidP="007004CD">
      <w:pPr>
        <w:pStyle w:val="Default"/>
        <w:ind w:left="360"/>
      </w:pPr>
    </w:p>
    <w:p w14:paraId="367BECAB" w14:textId="77777777" w:rsidR="007004CD" w:rsidRPr="00376ECB" w:rsidRDefault="5F884969" w:rsidP="00943EE1">
      <w:pPr>
        <w:pStyle w:val="Default"/>
        <w:numPr>
          <w:ilvl w:val="0"/>
          <w:numId w:val="4"/>
        </w:numPr>
        <w:ind w:left="360"/>
      </w:pPr>
      <w:r w:rsidRPr="5F884969">
        <w:rPr>
          <w:b/>
          <w:bCs/>
        </w:rPr>
        <w:t xml:space="preserve">Type of program participant(s): </w:t>
      </w:r>
      <w:r>
        <w:t>Consolidated Plan Participants and Public Housing Authority</w:t>
      </w:r>
    </w:p>
    <w:p w14:paraId="4B332879" w14:textId="77777777" w:rsidR="007004CD" w:rsidRPr="007004CD" w:rsidRDefault="007004CD" w:rsidP="007004CD">
      <w:pPr>
        <w:pStyle w:val="Default"/>
        <w:ind w:left="360"/>
      </w:pPr>
    </w:p>
    <w:p w14:paraId="04A48752" w14:textId="77777777" w:rsidR="007004CD" w:rsidRPr="007004CD" w:rsidRDefault="5F884969" w:rsidP="00943EE1">
      <w:pPr>
        <w:pStyle w:val="Default"/>
        <w:numPr>
          <w:ilvl w:val="0"/>
          <w:numId w:val="4"/>
        </w:numPr>
        <w:ind w:left="360"/>
      </w:pPr>
      <w:r w:rsidRPr="5F884969">
        <w:rPr>
          <w:b/>
          <w:bCs/>
        </w:rPr>
        <w:t xml:space="preserve">For PHAs, Jurisdiction in which the program participant is located: </w:t>
      </w:r>
      <w:r>
        <w:t xml:space="preserve">City of Burlington, VT </w:t>
      </w:r>
    </w:p>
    <w:p w14:paraId="36E814B4" w14:textId="77777777" w:rsidR="007004CD" w:rsidRPr="007004CD" w:rsidRDefault="007004CD" w:rsidP="007004CD">
      <w:pPr>
        <w:pStyle w:val="Default"/>
        <w:ind w:left="360"/>
      </w:pPr>
    </w:p>
    <w:p w14:paraId="58DB39FF" w14:textId="77777777" w:rsidR="003E3F82" w:rsidRPr="007004CD" w:rsidRDefault="5F884969" w:rsidP="003E3F82">
      <w:pPr>
        <w:pStyle w:val="Default"/>
        <w:numPr>
          <w:ilvl w:val="0"/>
          <w:numId w:val="4"/>
        </w:numPr>
        <w:ind w:left="360"/>
      </w:pPr>
      <w:r w:rsidRPr="003E3F82">
        <w:rPr>
          <w:b/>
          <w:bCs/>
        </w:rPr>
        <w:t xml:space="preserve">Submitter members (if applicable): </w:t>
      </w:r>
      <w:r w:rsidR="003E3F82">
        <w:t>City of Burlington, Vermont, Burlington Housing Authority and the Winooski Housing Authority</w:t>
      </w:r>
    </w:p>
    <w:p w14:paraId="4081E81D" w14:textId="7FB2D55C" w:rsidR="007004CD" w:rsidRPr="007004CD" w:rsidRDefault="007004CD" w:rsidP="003E3F82">
      <w:pPr>
        <w:pStyle w:val="Default"/>
        <w:ind w:left="360"/>
      </w:pPr>
    </w:p>
    <w:p w14:paraId="52B28696" w14:textId="77777777" w:rsidR="007004CD" w:rsidRPr="007004CD" w:rsidRDefault="5F884969" w:rsidP="00943EE1">
      <w:pPr>
        <w:pStyle w:val="Default"/>
        <w:numPr>
          <w:ilvl w:val="0"/>
          <w:numId w:val="4"/>
        </w:numPr>
        <w:ind w:left="360"/>
      </w:pPr>
      <w:r w:rsidRPr="5F884969">
        <w:rPr>
          <w:b/>
          <w:bCs/>
        </w:rPr>
        <w:t xml:space="preserve">Lead submitter contact information: </w:t>
      </w:r>
    </w:p>
    <w:p w14:paraId="25E21CEF" w14:textId="77777777" w:rsidR="007004CD" w:rsidRPr="007004CD" w:rsidRDefault="5F884969" w:rsidP="00943EE1">
      <w:pPr>
        <w:pStyle w:val="Default"/>
        <w:numPr>
          <w:ilvl w:val="0"/>
          <w:numId w:val="5"/>
        </w:numPr>
      </w:pPr>
      <w:r w:rsidRPr="5F884969">
        <w:rPr>
          <w:b/>
          <w:bCs/>
        </w:rPr>
        <w:t xml:space="preserve">Name: </w:t>
      </w:r>
      <w:r>
        <w:t xml:space="preserve">Marcy Esbjerg </w:t>
      </w:r>
    </w:p>
    <w:p w14:paraId="6E7CBAA3" w14:textId="77777777" w:rsidR="007004CD" w:rsidRPr="007004CD" w:rsidRDefault="007004CD" w:rsidP="007004CD">
      <w:pPr>
        <w:pStyle w:val="Default"/>
      </w:pPr>
    </w:p>
    <w:p w14:paraId="4210F9CC" w14:textId="77777777" w:rsidR="007004CD" w:rsidRPr="007004CD" w:rsidRDefault="5F884969" w:rsidP="00943EE1">
      <w:pPr>
        <w:pStyle w:val="Default"/>
        <w:numPr>
          <w:ilvl w:val="0"/>
          <w:numId w:val="5"/>
        </w:numPr>
      </w:pPr>
      <w:r w:rsidRPr="5F884969">
        <w:rPr>
          <w:b/>
          <w:bCs/>
        </w:rPr>
        <w:t xml:space="preserve">Title: </w:t>
      </w:r>
      <w:r>
        <w:t>Assistant Director</w:t>
      </w:r>
    </w:p>
    <w:p w14:paraId="204BE73F" w14:textId="77777777" w:rsidR="007004CD" w:rsidRPr="007004CD" w:rsidRDefault="007004CD" w:rsidP="007004CD">
      <w:pPr>
        <w:pStyle w:val="Default"/>
      </w:pPr>
    </w:p>
    <w:p w14:paraId="1AF31117" w14:textId="3637DFDF" w:rsidR="007004CD" w:rsidRPr="007004CD" w:rsidRDefault="5F884969" w:rsidP="00943EE1">
      <w:pPr>
        <w:pStyle w:val="Default"/>
        <w:numPr>
          <w:ilvl w:val="0"/>
          <w:numId w:val="5"/>
        </w:numPr>
      </w:pPr>
      <w:r w:rsidRPr="5F884969">
        <w:rPr>
          <w:b/>
          <w:bCs/>
        </w:rPr>
        <w:t xml:space="preserve">Department: </w:t>
      </w:r>
      <w:r>
        <w:t>Community &amp; Economic Development Office</w:t>
      </w:r>
    </w:p>
    <w:p w14:paraId="79E3517B" w14:textId="77777777" w:rsidR="007004CD" w:rsidRPr="007004CD" w:rsidRDefault="007004CD" w:rsidP="007004CD">
      <w:pPr>
        <w:pStyle w:val="Default"/>
      </w:pPr>
    </w:p>
    <w:p w14:paraId="20B9C961" w14:textId="77777777" w:rsidR="007004CD" w:rsidRPr="007004CD" w:rsidRDefault="5F884969" w:rsidP="00943EE1">
      <w:pPr>
        <w:pStyle w:val="Default"/>
        <w:numPr>
          <w:ilvl w:val="0"/>
          <w:numId w:val="5"/>
        </w:numPr>
      </w:pPr>
      <w:r w:rsidRPr="5F884969">
        <w:rPr>
          <w:b/>
          <w:bCs/>
        </w:rPr>
        <w:t>Street address:</w:t>
      </w:r>
      <w:r>
        <w:t xml:space="preserve"> 149 Church Street, Room 32</w:t>
      </w:r>
    </w:p>
    <w:p w14:paraId="126F6515" w14:textId="77777777" w:rsidR="007004CD" w:rsidRPr="007004CD" w:rsidRDefault="007004CD" w:rsidP="007004CD">
      <w:pPr>
        <w:pStyle w:val="Default"/>
      </w:pPr>
    </w:p>
    <w:p w14:paraId="56859E1C" w14:textId="77777777" w:rsidR="007004CD" w:rsidRPr="007004CD" w:rsidRDefault="5F884969" w:rsidP="00943EE1">
      <w:pPr>
        <w:pStyle w:val="Default"/>
        <w:numPr>
          <w:ilvl w:val="0"/>
          <w:numId w:val="5"/>
        </w:numPr>
      </w:pPr>
      <w:r w:rsidRPr="5F884969">
        <w:rPr>
          <w:b/>
          <w:bCs/>
        </w:rPr>
        <w:t xml:space="preserve">City: </w:t>
      </w:r>
      <w:r>
        <w:t>Burlington</w:t>
      </w:r>
    </w:p>
    <w:p w14:paraId="5F0F7CF3" w14:textId="77777777" w:rsidR="007004CD" w:rsidRPr="007004CD" w:rsidRDefault="007004CD" w:rsidP="007004CD">
      <w:pPr>
        <w:pStyle w:val="Default"/>
      </w:pPr>
    </w:p>
    <w:p w14:paraId="70395BE1" w14:textId="77777777" w:rsidR="007004CD" w:rsidRPr="007004CD" w:rsidRDefault="5F884969" w:rsidP="00943EE1">
      <w:pPr>
        <w:pStyle w:val="Default"/>
        <w:numPr>
          <w:ilvl w:val="0"/>
          <w:numId w:val="5"/>
        </w:numPr>
      </w:pPr>
      <w:r w:rsidRPr="5F884969">
        <w:rPr>
          <w:b/>
          <w:bCs/>
        </w:rPr>
        <w:t xml:space="preserve">State: </w:t>
      </w:r>
      <w:r>
        <w:t>Vermont</w:t>
      </w:r>
    </w:p>
    <w:p w14:paraId="6386AC44" w14:textId="77777777" w:rsidR="007004CD" w:rsidRPr="007004CD" w:rsidRDefault="007004CD" w:rsidP="007004CD">
      <w:pPr>
        <w:pStyle w:val="Default"/>
      </w:pPr>
    </w:p>
    <w:p w14:paraId="408B8B56" w14:textId="77777777" w:rsidR="007004CD" w:rsidRPr="007004CD" w:rsidRDefault="5F884969" w:rsidP="00943EE1">
      <w:pPr>
        <w:pStyle w:val="Default"/>
        <w:numPr>
          <w:ilvl w:val="0"/>
          <w:numId w:val="5"/>
        </w:numPr>
      </w:pPr>
      <w:r w:rsidRPr="5F884969">
        <w:rPr>
          <w:b/>
          <w:bCs/>
        </w:rPr>
        <w:t xml:space="preserve">Zip code: </w:t>
      </w:r>
      <w:r>
        <w:t xml:space="preserve">05401 </w:t>
      </w:r>
    </w:p>
    <w:p w14:paraId="446D4BE4" w14:textId="77777777" w:rsidR="007004CD" w:rsidRPr="007004CD" w:rsidRDefault="007004CD" w:rsidP="007004CD">
      <w:pPr>
        <w:pStyle w:val="Default"/>
      </w:pPr>
    </w:p>
    <w:p w14:paraId="30054804" w14:textId="0A25586D" w:rsidR="007004CD" w:rsidRPr="007004CD" w:rsidRDefault="5F884969" w:rsidP="00943EE1">
      <w:pPr>
        <w:pStyle w:val="Default"/>
        <w:numPr>
          <w:ilvl w:val="0"/>
          <w:numId w:val="4"/>
        </w:numPr>
        <w:ind w:left="360"/>
      </w:pPr>
      <w:r w:rsidRPr="5F884969">
        <w:rPr>
          <w:b/>
          <w:bCs/>
        </w:rPr>
        <w:t xml:space="preserve">Period covered by this assessment: </w:t>
      </w:r>
      <w:r w:rsidR="003E3F82">
        <w:rPr>
          <w:color w:val="FF0000"/>
        </w:rPr>
        <w:t>2017 - 2022</w:t>
      </w:r>
    </w:p>
    <w:p w14:paraId="55A8814B" w14:textId="77777777" w:rsidR="007004CD" w:rsidRPr="007004CD" w:rsidRDefault="007004CD" w:rsidP="007004CD">
      <w:pPr>
        <w:pStyle w:val="Default"/>
        <w:ind w:left="360"/>
      </w:pPr>
    </w:p>
    <w:p w14:paraId="3C74EACB" w14:textId="77777777" w:rsidR="007004CD" w:rsidRDefault="5F884969" w:rsidP="00943EE1">
      <w:pPr>
        <w:pStyle w:val="Default"/>
        <w:numPr>
          <w:ilvl w:val="0"/>
          <w:numId w:val="4"/>
        </w:numPr>
        <w:ind w:left="360"/>
      </w:pPr>
      <w:r w:rsidRPr="5F884969">
        <w:rPr>
          <w:b/>
          <w:bCs/>
        </w:rPr>
        <w:t xml:space="preserve">Initial, amended, or renewal AFH: </w:t>
      </w:r>
      <w:r>
        <w:t xml:space="preserve">Initial Assessment </w:t>
      </w:r>
    </w:p>
    <w:p w14:paraId="6C6051B3" w14:textId="77777777" w:rsidR="00376ECB" w:rsidRDefault="00376ECB" w:rsidP="00376ECB">
      <w:pPr>
        <w:pStyle w:val="Default"/>
        <w:ind w:left="720"/>
      </w:pPr>
    </w:p>
    <w:p w14:paraId="462B25B4" w14:textId="77777777" w:rsidR="00376ECB" w:rsidRDefault="5F884969" w:rsidP="5F884969">
      <w:pPr>
        <w:pStyle w:val="Default"/>
        <w:numPr>
          <w:ilvl w:val="0"/>
          <w:numId w:val="4"/>
        </w:numPr>
        <w:ind w:left="360"/>
        <w:rPr>
          <w:sz w:val="23"/>
          <w:szCs w:val="23"/>
        </w:rPr>
      </w:pPr>
      <w:r w:rsidRPr="5F884969">
        <w:rPr>
          <w:b/>
          <w:bCs/>
          <w:sz w:val="23"/>
          <w:szCs w:val="23"/>
        </w:rPr>
        <w:t xml:space="preserve">To the best of its knowledge and belief, the statements and information contained herein are true, accurate, and complete and the program participant has developed this AFH in compliance with the requirements of 24 C.F.R. §§ 5.150-5.180 or comparable replacement regulations of the Department of Housing and Urban Development; </w:t>
      </w:r>
    </w:p>
    <w:p w14:paraId="005256F7" w14:textId="77777777" w:rsidR="00376ECB" w:rsidRDefault="00376ECB" w:rsidP="00376ECB">
      <w:pPr>
        <w:pStyle w:val="Default"/>
        <w:ind w:left="360"/>
        <w:rPr>
          <w:sz w:val="23"/>
          <w:szCs w:val="23"/>
        </w:rPr>
      </w:pPr>
    </w:p>
    <w:p w14:paraId="71DEFCC5" w14:textId="77777777" w:rsidR="00376ECB" w:rsidRPr="00376ECB" w:rsidRDefault="5F884969" w:rsidP="5F884969">
      <w:pPr>
        <w:pStyle w:val="Default"/>
        <w:numPr>
          <w:ilvl w:val="0"/>
          <w:numId w:val="4"/>
        </w:numPr>
        <w:ind w:left="360"/>
        <w:rPr>
          <w:sz w:val="23"/>
          <w:szCs w:val="23"/>
        </w:rPr>
      </w:pPr>
      <w:r w:rsidRPr="5F884969">
        <w:rPr>
          <w:b/>
          <w:bCs/>
          <w:sz w:val="23"/>
          <w:szCs w:val="23"/>
        </w:rPr>
        <w:lastRenderedPageBreak/>
        <w:t>The program participant will take meaningful actions to further the goals identified in its AFH conducted in accordance with the requirements in §§ 5.150 through 5.180 and 24 C.F.R. §§ 91.225(a</w:t>
      </w:r>
      <w:proofErr w:type="gramStart"/>
      <w:r w:rsidRPr="5F884969">
        <w:rPr>
          <w:b/>
          <w:bCs/>
          <w:sz w:val="23"/>
          <w:szCs w:val="23"/>
        </w:rPr>
        <w:t>)(</w:t>
      </w:r>
      <w:proofErr w:type="gramEnd"/>
      <w:r w:rsidRPr="5F884969">
        <w:rPr>
          <w:b/>
          <w:bCs/>
          <w:sz w:val="23"/>
          <w:szCs w:val="23"/>
        </w:rPr>
        <w:t xml:space="preserve">1), 91.325(a)(1), 91.425(a)(1), 570.487(b)(1), 570.601, 903.7(o), and 903.15(d), as applicable. All Joint and Regional Participants are bound by the certification, except that some of the analysis, goals or priorities included in the AFH may only apply to an individual program participant as expressly stated in the AFH. </w:t>
      </w:r>
    </w:p>
    <w:p w14:paraId="129416DE" w14:textId="77777777" w:rsidR="00376ECB" w:rsidRDefault="00376ECB" w:rsidP="00376ECB">
      <w:pPr>
        <w:pStyle w:val="Default"/>
        <w:ind w:left="360"/>
        <w:rPr>
          <w:sz w:val="23"/>
          <w:szCs w:val="23"/>
        </w:rPr>
      </w:pPr>
    </w:p>
    <w:p w14:paraId="563E09E7" w14:textId="77777777" w:rsidR="00376ECB" w:rsidRDefault="5F884969" w:rsidP="5F884969">
      <w:pPr>
        <w:pStyle w:val="Default"/>
        <w:ind w:left="360"/>
        <w:rPr>
          <w:sz w:val="23"/>
          <w:szCs w:val="23"/>
        </w:rPr>
      </w:pPr>
      <w:r w:rsidRPr="5F884969">
        <w:rPr>
          <w:sz w:val="23"/>
          <w:szCs w:val="23"/>
        </w:rPr>
        <w:t xml:space="preserve">(Signature Page) </w:t>
      </w:r>
    </w:p>
    <w:p w14:paraId="250ED928" w14:textId="77777777" w:rsidR="00376ECB" w:rsidRDefault="00376ECB" w:rsidP="00376ECB">
      <w:pPr>
        <w:pStyle w:val="Default"/>
        <w:ind w:left="360"/>
        <w:rPr>
          <w:sz w:val="23"/>
          <w:szCs w:val="23"/>
        </w:rPr>
      </w:pPr>
    </w:p>
    <w:p w14:paraId="30BEBFC2" w14:textId="77777777" w:rsidR="00376ECB" w:rsidRPr="007004CD" w:rsidRDefault="00376ECB" w:rsidP="00376ECB">
      <w:pPr>
        <w:pStyle w:val="Default"/>
        <w:ind w:left="360"/>
      </w:pPr>
    </w:p>
    <w:p w14:paraId="20CF383D" w14:textId="77777777" w:rsidR="00135AD9" w:rsidRDefault="00135AD9" w:rsidP="00135AD9"/>
    <w:p w14:paraId="48AD4FEE" w14:textId="77777777" w:rsidR="007004CD" w:rsidRDefault="007004CD" w:rsidP="00135AD9"/>
    <w:p w14:paraId="3BE03A26" w14:textId="77777777" w:rsidR="007004CD" w:rsidRDefault="007004CD" w:rsidP="00135AD9"/>
    <w:p w14:paraId="242391BB" w14:textId="77777777" w:rsidR="007004CD" w:rsidRDefault="007004CD" w:rsidP="00135AD9"/>
    <w:p w14:paraId="039A892E" w14:textId="77777777" w:rsidR="007004CD" w:rsidRDefault="007004CD" w:rsidP="00135AD9"/>
    <w:p w14:paraId="5A8D5FCF" w14:textId="77777777" w:rsidR="00376ECB" w:rsidRDefault="00376ECB" w:rsidP="00135AD9"/>
    <w:p w14:paraId="7CA16794" w14:textId="77777777" w:rsidR="00376ECB" w:rsidRDefault="00376ECB" w:rsidP="00135AD9"/>
    <w:p w14:paraId="570FA1BC" w14:textId="77777777" w:rsidR="00376ECB" w:rsidRDefault="00376ECB" w:rsidP="00135AD9"/>
    <w:p w14:paraId="0DBC84A3" w14:textId="77777777" w:rsidR="00376ECB" w:rsidRDefault="00376ECB" w:rsidP="00135AD9"/>
    <w:p w14:paraId="143924CE" w14:textId="77777777" w:rsidR="00376ECB" w:rsidRDefault="00376ECB" w:rsidP="00135AD9"/>
    <w:p w14:paraId="6F45A02A" w14:textId="77777777" w:rsidR="00376ECB" w:rsidRDefault="00376ECB" w:rsidP="00135AD9"/>
    <w:p w14:paraId="5D1E6756" w14:textId="77777777" w:rsidR="00376ECB" w:rsidRDefault="00376ECB" w:rsidP="00135AD9"/>
    <w:p w14:paraId="726F46A6" w14:textId="77777777" w:rsidR="00376ECB" w:rsidRDefault="00376ECB" w:rsidP="00135AD9"/>
    <w:p w14:paraId="31F64A89" w14:textId="77777777" w:rsidR="00376ECB" w:rsidRDefault="00376ECB" w:rsidP="00135AD9"/>
    <w:p w14:paraId="509649E7" w14:textId="77777777" w:rsidR="00376ECB" w:rsidRDefault="00376ECB" w:rsidP="00135AD9"/>
    <w:p w14:paraId="309DFE7B" w14:textId="77777777" w:rsidR="00376ECB" w:rsidRDefault="00376ECB" w:rsidP="00135AD9"/>
    <w:p w14:paraId="38388D2D" w14:textId="77777777" w:rsidR="00376ECB" w:rsidRDefault="00376ECB" w:rsidP="00135AD9"/>
    <w:p w14:paraId="6C8CBEAD" w14:textId="77777777" w:rsidR="00376ECB" w:rsidRDefault="00376ECB" w:rsidP="00135AD9"/>
    <w:p w14:paraId="6E7BF00D" w14:textId="77777777" w:rsidR="00376ECB" w:rsidRDefault="00376ECB" w:rsidP="00135AD9"/>
    <w:p w14:paraId="23B510A5" w14:textId="77777777" w:rsidR="00376ECB" w:rsidRDefault="00376ECB" w:rsidP="00135AD9"/>
    <w:p w14:paraId="711159B8" w14:textId="77777777" w:rsidR="003B294F" w:rsidRDefault="003B294F" w:rsidP="00135AD9"/>
    <w:p w14:paraId="1027106F" w14:textId="77777777" w:rsidR="0041288B" w:rsidRDefault="0041288B" w:rsidP="00135AD9"/>
    <w:p w14:paraId="0858F186" w14:textId="77777777" w:rsidR="00BF3EC8" w:rsidRDefault="00BF3EC8" w:rsidP="00135AD9"/>
    <w:p w14:paraId="2E8EE482" w14:textId="77777777" w:rsidR="007004CD" w:rsidRDefault="007004CD" w:rsidP="00135AD9"/>
    <w:p w14:paraId="3AE10ACC" w14:textId="77777777" w:rsidR="00135AD9" w:rsidRDefault="5F884969" w:rsidP="5F884969">
      <w:pPr>
        <w:pStyle w:val="Title"/>
        <w:numPr>
          <w:ilvl w:val="0"/>
          <w:numId w:val="3"/>
        </w:numPr>
        <w:ind w:left="360" w:hanging="180"/>
        <w:rPr>
          <w:rFonts w:ascii="Garamond" w:hAnsi="Garamond"/>
          <w:b/>
          <w:bCs/>
          <w:sz w:val="32"/>
          <w:szCs w:val="32"/>
        </w:rPr>
      </w:pPr>
      <w:bookmarkStart w:id="2" w:name="ExecSumm"/>
      <w:r w:rsidRPr="5F884969">
        <w:rPr>
          <w:rFonts w:ascii="Garamond" w:hAnsi="Garamond"/>
          <w:b/>
          <w:bCs/>
          <w:sz w:val="32"/>
          <w:szCs w:val="32"/>
        </w:rPr>
        <w:t>Executive Summary</w:t>
      </w:r>
    </w:p>
    <w:bookmarkEnd w:id="2"/>
    <w:p w14:paraId="01CC7EC5" w14:textId="77777777" w:rsidR="003A3C64" w:rsidRPr="003A3C64" w:rsidRDefault="003A3C64" w:rsidP="003A3C64">
      <w:pPr>
        <w:spacing w:after="0"/>
        <w:ind w:left="360"/>
        <w:rPr>
          <w:rStyle w:val="Emphasis1"/>
          <w:rFonts w:ascii="Calibri" w:hAnsi="Calibri"/>
          <w:b/>
          <w:bCs/>
          <w:color w:val="auto"/>
          <w:sz w:val="20"/>
          <w:szCs w:val="20"/>
        </w:rPr>
      </w:pPr>
    </w:p>
    <w:p w14:paraId="553CBF03" w14:textId="4BE38B1A" w:rsidR="00376ECB" w:rsidRPr="003F0394" w:rsidRDefault="5F884969" w:rsidP="003A3C64">
      <w:pPr>
        <w:ind w:left="360"/>
        <w:rPr>
          <w:rStyle w:val="Emphasis1"/>
          <w:rFonts w:ascii="Calibri" w:hAnsi="Calibri"/>
          <w:b/>
          <w:bCs/>
          <w:i w:val="0"/>
          <w:color w:val="auto"/>
        </w:rPr>
      </w:pPr>
      <w:r w:rsidRPr="5F884969">
        <w:rPr>
          <w:rStyle w:val="Emphasis1"/>
          <w:rFonts w:ascii="Calibri" w:hAnsi="Calibri"/>
          <w:b/>
          <w:bCs/>
          <w:i w:val="0"/>
          <w:color w:val="auto"/>
        </w:rPr>
        <w:t>Summarize the fair housing issues, significant contributing factors, and goals.  Also include an overview of the process and analysis used to reach the goals.</w:t>
      </w:r>
    </w:p>
    <w:p w14:paraId="4BE69AC4" w14:textId="60106AC6" w:rsidR="6A6D091A" w:rsidRDefault="6A6D091A" w:rsidP="003A3C64">
      <w:pPr>
        <w:ind w:left="360"/>
      </w:pPr>
      <w:r w:rsidRPr="6A6D091A">
        <w:rPr>
          <w:rFonts w:ascii="Calibri" w:eastAsia="Calibri" w:hAnsi="Calibri" w:cs="Calibri"/>
        </w:rPr>
        <w:t>The City of Burlington, in cooperation with the Burlington and Winooski Housing Authorities present this Assessment of Fair Housing for our jurisdiction and region.</w:t>
      </w:r>
    </w:p>
    <w:p w14:paraId="32A29D1F" w14:textId="196F35DC" w:rsidR="6A6D091A" w:rsidRDefault="6A6D091A" w:rsidP="003A3C64">
      <w:pPr>
        <w:ind w:left="360"/>
      </w:pPr>
      <w:r w:rsidRPr="6A6D091A">
        <w:rPr>
          <w:rFonts w:ascii="Calibri" w:eastAsia="Calibri" w:hAnsi="Calibri" w:cs="Calibri"/>
        </w:rPr>
        <w:t>The Assessment of Fair Housing (AFH) is a legal requirement that the City and Housing Authorities must complete in order to continue receiving federal housing and community development funding from the United States Department of Housing &amp; Urban Development (HUD). The AFH is an analysis undertaken pursuant to 24 CFR Part 5.152 that includes an analysis of fair housing data, an assessment of housing issues and contributing factors, and identification of fair housing priorities and goals specific to Burlington and our surrounding area. Examples of fair housing issues include local and regional demographics related to segregation, racially and ethnically concentrated areas of poverty, access to opportunity, disproportionate housing need, publicly supported housing, accesses to housing by persons with disabilities, and fair housing enforcement.</w:t>
      </w:r>
    </w:p>
    <w:p w14:paraId="1A645A90" w14:textId="50289DCA" w:rsidR="6A6D091A" w:rsidRDefault="6A6D091A" w:rsidP="003A3C64">
      <w:pPr>
        <w:ind w:left="360"/>
      </w:pPr>
      <w:r w:rsidRPr="6A6D091A">
        <w:rPr>
          <w:rFonts w:ascii="Calibri" w:eastAsia="Calibri" w:hAnsi="Calibri" w:cs="Calibri"/>
        </w:rPr>
        <w:t>For purposes of this document, the City is considered Burlington, Vermont, a jurisdiction in receipt of both Community Development Block Grant and HOME funds. The Region, by HUD definition, is considered Chittenden, Grand Isle and Franklin Counties.</w:t>
      </w:r>
    </w:p>
    <w:p w14:paraId="33E25A93" w14:textId="4504F1FF" w:rsidR="6A6D091A" w:rsidRDefault="6A6D091A" w:rsidP="003A3C64">
      <w:pPr>
        <w:ind w:left="360"/>
      </w:pPr>
      <w:r w:rsidRPr="6A6D091A">
        <w:rPr>
          <w:rFonts w:ascii="Calibri" w:eastAsia="Calibri" w:hAnsi="Calibri" w:cs="Calibri"/>
        </w:rPr>
        <w:t>The document includes a section on community participation and outreach, a review of past goals and progress, a fair housing analysis covers demographics for both the City and the Region, an analysis of data and contributing factors to fair housing issues, disparities in access to opportunity, disproportionate housing needs, publicly supported housing analysis, and an analysis of our community’s fair housing outreach and enforcement. The Assessment concludes with recommendations, goals and clear metrics for the City and its partners to affirmatively further fair housing.</w:t>
      </w:r>
    </w:p>
    <w:p w14:paraId="7D522CAE" w14:textId="13CCBC38" w:rsidR="6A6D091A" w:rsidRDefault="5F884969" w:rsidP="003A3C64">
      <w:pPr>
        <w:ind w:left="360"/>
      </w:pPr>
      <w:r w:rsidRPr="5F884969">
        <w:rPr>
          <w:rFonts w:ascii="Calibri" w:eastAsia="Calibri" w:hAnsi="Calibri" w:cs="Calibri"/>
        </w:rPr>
        <w:t>Th</w:t>
      </w:r>
      <w:r w:rsidR="003A3C64">
        <w:rPr>
          <w:rFonts w:ascii="Calibri" w:eastAsia="Calibri" w:hAnsi="Calibri" w:cs="Calibri"/>
        </w:rPr>
        <w:t>e City of Burlington used a mul</w:t>
      </w:r>
      <w:r w:rsidRPr="5F884969">
        <w:rPr>
          <w:rFonts w:ascii="Calibri" w:eastAsia="Calibri" w:hAnsi="Calibri" w:cs="Calibri"/>
        </w:rPr>
        <w:t>ti-faceted approach to meaningful community participation. The City and partners conducted outreach to gain comments, concerns and feedback on fair housing issues. An in</w:t>
      </w:r>
      <w:r w:rsidR="003A3C64">
        <w:rPr>
          <w:rFonts w:ascii="Calibri" w:eastAsia="Calibri" w:hAnsi="Calibri" w:cs="Calibri"/>
        </w:rPr>
        <w:t>-</w:t>
      </w:r>
      <w:r w:rsidRPr="5F884969">
        <w:rPr>
          <w:rFonts w:ascii="Calibri" w:eastAsia="Calibri" w:hAnsi="Calibri" w:cs="Calibri"/>
        </w:rPr>
        <w:t>depth housing and neighborhood survey was developed and distributed in multiple languages, including a direct mailing to Burlington Housing Authority residents. Several focus groups and interviews were held with protected classes and/or agencies who serve protected classes. Attendance at public events such as Martin Luther King, Jr Day, World Refugee Day and Here to Help Clinics provided opportunities to specifically engage protected classes. Once a draft of</w:t>
      </w:r>
      <w:r w:rsidR="00985C2B">
        <w:rPr>
          <w:rFonts w:ascii="Calibri" w:eastAsia="Calibri" w:hAnsi="Calibri" w:cs="Calibri"/>
        </w:rPr>
        <w:t xml:space="preserve"> the Assessment of Fair Housing</w:t>
      </w:r>
      <w:r w:rsidR="006A5270">
        <w:rPr>
          <w:rFonts w:ascii="Calibri" w:eastAsia="Calibri" w:hAnsi="Calibri" w:cs="Calibri"/>
        </w:rPr>
        <w:t xml:space="preserve"> was complete, </w:t>
      </w:r>
      <w:r w:rsidRPr="5F884969">
        <w:rPr>
          <w:rFonts w:ascii="Calibri" w:eastAsia="Calibri" w:hAnsi="Calibri" w:cs="Calibri"/>
        </w:rPr>
        <w:t>public meetings,</w:t>
      </w:r>
      <w:r w:rsidR="006A5270">
        <w:rPr>
          <w:rFonts w:ascii="Calibri" w:eastAsia="Calibri" w:hAnsi="Calibri" w:cs="Calibri"/>
        </w:rPr>
        <w:t xml:space="preserve"> hearings and media outreach were</w:t>
      </w:r>
      <w:r w:rsidRPr="5F884969">
        <w:rPr>
          <w:rFonts w:ascii="Calibri" w:eastAsia="Calibri" w:hAnsi="Calibri" w:cs="Calibri"/>
        </w:rPr>
        <w:t xml:space="preserve"> conducted to gain feedback on the proposed AFH. </w:t>
      </w:r>
    </w:p>
    <w:p w14:paraId="2514EA07" w14:textId="6794D87E" w:rsidR="6A6D091A" w:rsidRDefault="5F884969" w:rsidP="003A3C64">
      <w:pPr>
        <w:ind w:left="360"/>
      </w:pPr>
      <w:r>
        <w:t xml:space="preserve">The progress on the five key goals established in the City's 2010 Analysis of Impediments to Fair Housing is carefully reviewed.  The first impediment concerned high rental and homeownership prices impacted people in protected classes and the goal to encourage more affordable housing. Along with policy improvements, collaborative initiatives, almost 300 affordable units have been </w:t>
      </w:r>
      <w:r>
        <w:lastRenderedPageBreak/>
        <w:t>either preserved or built in the past 5 years. The second impediment stated some housing professionals' policies and practices limited housing options for protected classes. Progress under this goal included outreach and educational efforts both towards professionals as well as classes specifically</w:t>
      </w:r>
      <w:r w:rsidR="00400F0C">
        <w:t xml:space="preserve"> geared</w:t>
      </w:r>
      <w:r>
        <w:t xml:space="preserve"> to assist low i</w:t>
      </w:r>
      <w:r w:rsidR="003A3C64">
        <w:t xml:space="preserve">ncome individuals and families </w:t>
      </w:r>
      <w:r>
        <w:t>gain success as renters and homeowners. Under the third impediment, the City has taken extensive measures to document and measure fair housing challenges and progress to justify needed funding for fair housing efforts in Burlington and the region. Continued awareness, education and enforcement activities are key to ensuring discrimination against people in protected</w:t>
      </w:r>
      <w:r w:rsidR="00400F0C">
        <w:t xml:space="preserve"> classes</w:t>
      </w:r>
      <w:r>
        <w:t xml:space="preserve"> by real estate and other housing professionals does not go undetected. Under the fourth impediment, goals and progress to ensure an adequate supply of homes available and accessible to populations of those with disabilities, frail elders and larger families is examined; new units for seniors have been constructed, units with 3+ bedrooms have been included in new affordable housing developments and investments in the </w:t>
      </w:r>
      <w:proofErr w:type="spellStart"/>
      <w:r>
        <w:t>Homeshare</w:t>
      </w:r>
      <w:proofErr w:type="spellEnd"/>
      <w:r>
        <w:t xml:space="preserve"> program continue. In addition, the SASH program (Support and Services at Home) for seniors has become a standard practice for service enriched senior housing. For the final impediment, the City continues to review housing development and occupancy policies; Mayor Weinberger and City Council approved a 22-point Housing Acti</w:t>
      </w:r>
      <w:r w:rsidR="00972026">
        <w:t>on Plan aimed at reducing the c</w:t>
      </w:r>
      <w:r>
        <w:t>ost of housing for all Burlington</w:t>
      </w:r>
      <w:r w:rsidRPr="5F884969">
        <w:t xml:space="preserve"> residents, supporting existing affordable housing options and examining policies and regulations that negatively impact the affordable housing market.</w:t>
      </w:r>
    </w:p>
    <w:p w14:paraId="18F048BC" w14:textId="1DB3DF32" w:rsidR="6A6D091A" w:rsidRDefault="6A6D091A" w:rsidP="003A3C64">
      <w:pPr>
        <w:ind w:left="360"/>
        <w:rPr>
          <w:rFonts w:ascii="Calibri" w:eastAsia="Calibri" w:hAnsi="Calibri" w:cs="Calibri"/>
        </w:rPr>
      </w:pPr>
      <w:r w:rsidRPr="6A6D091A">
        <w:rPr>
          <w:rFonts w:ascii="Calibri" w:eastAsia="Calibri" w:hAnsi="Calibri" w:cs="Calibri"/>
        </w:rPr>
        <w:t>In the demographic section, information on population trends for the City and Region are examined. Key trends for the City include an increase in the foreign-born, female and non-white populations. Demographics for the City also demonstrate a decrease in the number of families, white, 65+ populations. The Region is also becoming more racially and ethnically diverse, although at a slower pace; this is also true to the foreign-born population. Gender trends are similar in the Region. However, 65+ trend in the Region shows an increase which might be attributed to a rise in senior housing outside of Burlington. Family trends are comparable to the City's downward trend.</w:t>
      </w:r>
    </w:p>
    <w:p w14:paraId="17C558EE" w14:textId="64798A21" w:rsidR="6A6D091A" w:rsidRDefault="6A6D091A" w:rsidP="003A3C64">
      <w:pPr>
        <w:ind w:left="360"/>
        <w:rPr>
          <w:rFonts w:ascii="Calibri" w:eastAsia="Calibri" w:hAnsi="Calibri" w:cs="Calibri"/>
        </w:rPr>
      </w:pPr>
      <w:r w:rsidRPr="6A6D091A">
        <w:rPr>
          <w:rFonts w:ascii="Calibri" w:eastAsia="Calibri" w:hAnsi="Calibri" w:cs="Calibri"/>
        </w:rPr>
        <w:t>The Assessment also analyzes general fair housing issues. The data provided for Segregation/Integration do not rise to the level of segregation concerns in either the City or the Region. However, there is a steadily increasing trend of segregation between White and Non-white population since 1990. Population density maps based on National Origin and Limited English Proficiency (LEP) show evidence of segregation in Burlington. Areas in Burlington showing the highest density of Non-white populations also have the highest percentage of renter-occupied housing.</w:t>
      </w:r>
    </w:p>
    <w:p w14:paraId="31DF4B61" w14:textId="1D3743C5" w:rsidR="6A6D091A" w:rsidRDefault="6A6D091A" w:rsidP="003A3C64">
      <w:pPr>
        <w:ind w:left="360"/>
        <w:rPr>
          <w:rFonts w:ascii="Calibri" w:eastAsia="Calibri" w:hAnsi="Calibri" w:cs="Calibri"/>
        </w:rPr>
      </w:pPr>
      <w:r w:rsidRPr="6A6D091A">
        <w:rPr>
          <w:rFonts w:ascii="Calibri" w:eastAsia="Calibri" w:hAnsi="Calibri" w:cs="Calibri"/>
        </w:rPr>
        <w:t>There are no racially or ethnically concentrated areas of poverty (R/ECAPS) located in Burlington or the Region.</w:t>
      </w:r>
      <w:r w:rsidR="00BD554C">
        <w:rPr>
          <w:rFonts w:ascii="Calibri" w:eastAsia="Calibri" w:hAnsi="Calibri" w:cs="Calibri"/>
        </w:rPr>
        <w:t xml:space="preserve"> The definition is provided within the document.</w:t>
      </w:r>
    </w:p>
    <w:p w14:paraId="47E37275" w14:textId="505B64D8" w:rsidR="6A6D091A" w:rsidRDefault="6A6D091A" w:rsidP="003A3C64">
      <w:pPr>
        <w:ind w:left="360"/>
        <w:rPr>
          <w:rFonts w:ascii="Calibri" w:eastAsia="Calibri" w:hAnsi="Calibri" w:cs="Calibri"/>
        </w:rPr>
      </w:pPr>
      <w:r w:rsidRPr="6A6D091A">
        <w:rPr>
          <w:rFonts w:ascii="Calibri" w:eastAsia="Calibri" w:hAnsi="Calibri" w:cs="Calibri"/>
        </w:rPr>
        <w:t xml:space="preserve">In the section on disparities in access to opportunity, the presence and degree of disparities to opportunity in the areas of education, transportation, employment, low poverty exposure, environmentally healthy neighborhoods are reviewed and explored. Several key findings emerged in this section. </w:t>
      </w:r>
      <w:r>
        <w:t xml:space="preserve">There are more disparities in access to proficient schools among racial/ethnic groups for those living in poverty than the populations as a whole. </w:t>
      </w:r>
      <w:r w:rsidRPr="6A6D091A">
        <w:rPr>
          <w:rFonts w:cs="Times New Roman"/>
        </w:rPr>
        <w:t>Blacks living below the poverty line live closer to where they work and have higher levels of labor engagement than any other race</w:t>
      </w:r>
      <w:r>
        <w:t xml:space="preserve">. Access to transportation is higher within Burlington than in the region as a whole, although transportation costs between these areas are not significantly different. Black populations have higher exposure to </w:t>
      </w:r>
      <w:r>
        <w:lastRenderedPageBreak/>
        <w:t>poverty than any other population, and exposure to poverty is higher within Burlington than in the region. There is low disparity between access to environmentally healthy neighborhoods overall, although more disparity exists when considering only those below the federal poverty line, suggesting a socioeconomic factor.</w:t>
      </w:r>
    </w:p>
    <w:p w14:paraId="08C8CA71" w14:textId="5CF48380" w:rsidR="6A6D091A" w:rsidRDefault="6A6D091A" w:rsidP="003A3C64">
      <w:pPr>
        <w:spacing w:after="0" w:line="240" w:lineRule="auto"/>
        <w:ind w:left="360"/>
        <w:rPr>
          <w:rFonts w:ascii="Calibri" w:hAnsi="Calibri"/>
        </w:rPr>
      </w:pPr>
      <w:r w:rsidRPr="6A6D091A">
        <w:rPr>
          <w:rFonts w:ascii="Calibri" w:hAnsi="Calibri" w:cs="Calibri"/>
          <w:color w:val="000000" w:themeColor="text1"/>
        </w:rPr>
        <w:t>Disproportionate housing needs examines which groups by race/ethnicity and family status experience higher rates of housing cost burden, overcrowding or substandard housing as compared to other groups. Within Burlington, Black households experience the highest rate of housing problems</w:t>
      </w:r>
      <w:r w:rsidRPr="6A6D091A">
        <w:rPr>
          <w:rFonts w:ascii="Calibri" w:hAnsi="Calibri"/>
        </w:rPr>
        <w:t xml:space="preserve"> while Native American households experience the highest rate of </w:t>
      </w:r>
      <w:r w:rsidRPr="6A6D091A">
        <w:rPr>
          <w:rFonts w:ascii="Calibri" w:hAnsi="Calibri"/>
          <w:i/>
          <w:iCs/>
        </w:rPr>
        <w:t>severe</w:t>
      </w:r>
      <w:r w:rsidRPr="6A6D091A">
        <w:rPr>
          <w:rFonts w:ascii="Calibri" w:hAnsi="Calibri"/>
        </w:rPr>
        <w:t xml:space="preserve"> housing problems. Within the Burlington-South Burlington region, Asian or Pacific Islander households experience the highest rate of housing problems, both in general and </w:t>
      </w:r>
      <w:r w:rsidRPr="6A6D091A">
        <w:rPr>
          <w:rFonts w:ascii="Calibri" w:hAnsi="Calibri"/>
          <w:i/>
          <w:iCs/>
        </w:rPr>
        <w:t>severe.</w:t>
      </w:r>
    </w:p>
    <w:p w14:paraId="1707CD90" w14:textId="27C8ABF5" w:rsidR="6A6D091A" w:rsidRDefault="6A6D091A" w:rsidP="003A3C64">
      <w:pPr>
        <w:spacing w:after="0" w:line="240" w:lineRule="auto"/>
        <w:ind w:left="360"/>
        <w:rPr>
          <w:rFonts w:ascii="Calibri" w:hAnsi="Calibri"/>
        </w:rPr>
      </w:pPr>
      <w:r w:rsidRPr="6A6D091A">
        <w:rPr>
          <w:rFonts w:ascii="Calibri" w:hAnsi="Calibri"/>
        </w:rPr>
        <w:t>Housing burden seems to be spatially correlated to areas with higher non-white population densities. Almost 25% of the Burlington</w:t>
      </w:r>
      <w:r w:rsidR="00A71A94">
        <w:rPr>
          <w:rFonts w:ascii="Calibri" w:hAnsi="Calibri"/>
        </w:rPr>
        <w:t xml:space="preserve"> population experiences a severe</w:t>
      </w:r>
      <w:r w:rsidR="001E41BD">
        <w:rPr>
          <w:rFonts w:ascii="Calibri" w:hAnsi="Calibri"/>
        </w:rPr>
        <w:t xml:space="preserve"> </w:t>
      </w:r>
      <w:r w:rsidRPr="6A6D091A">
        <w:rPr>
          <w:rFonts w:ascii="Calibri" w:hAnsi="Calibri"/>
        </w:rPr>
        <w:t>housing cost burden compared to 15% in the Region. Housing cost burden continues to be the most significant issue faced by both protected classes and others.</w:t>
      </w:r>
    </w:p>
    <w:p w14:paraId="1F09DBA7" w14:textId="4765ECA7" w:rsidR="6A6D091A" w:rsidRDefault="6A6D091A" w:rsidP="003A3C64">
      <w:pPr>
        <w:spacing w:after="0" w:line="240" w:lineRule="auto"/>
        <w:ind w:left="360"/>
        <w:rPr>
          <w:rFonts w:ascii="Calibri" w:hAnsi="Calibri"/>
        </w:rPr>
      </w:pPr>
    </w:p>
    <w:p w14:paraId="5CA6D441" w14:textId="75B797D9" w:rsidR="6A6D091A" w:rsidRDefault="6A6D091A" w:rsidP="003A3C64">
      <w:pPr>
        <w:spacing w:after="0" w:line="240" w:lineRule="auto"/>
        <w:ind w:left="360"/>
        <w:rPr>
          <w:rFonts w:ascii="Calibri" w:hAnsi="Calibri"/>
        </w:rPr>
      </w:pPr>
      <w:r w:rsidRPr="6A6D091A">
        <w:rPr>
          <w:rFonts w:ascii="Calibri" w:hAnsi="Calibri"/>
        </w:rPr>
        <w:t>The City partnered with both the Burlington Housing Authority and the Winooski Housing Authority for this 2017 Assessment of Fair Housing. Information on the demographics, locations, disparities, in terms of protected classes for both agencies is explored in two sections.</w:t>
      </w:r>
      <w:r w:rsidR="00F47B39">
        <w:rPr>
          <w:rFonts w:ascii="Calibri" w:hAnsi="Calibri"/>
        </w:rPr>
        <w:t xml:space="preserve"> In the section on Publically Supported Housing, the following key findings were noted. A higher percentage of non-Whites live in PHA managed properties than the percentage of non-Whites in the population as a whole. Half of the residents living in BHA properties have a disability. Properties with concentrated racial/ethnic populations correlate with properties with family units with more than 2 bedrooms.</w:t>
      </w:r>
    </w:p>
    <w:p w14:paraId="2153493B" w14:textId="0DD1A7F8" w:rsidR="6A6D091A" w:rsidRDefault="6A6D091A" w:rsidP="003A3C64">
      <w:pPr>
        <w:spacing w:after="0" w:line="240" w:lineRule="auto"/>
        <w:ind w:left="360"/>
        <w:rPr>
          <w:rFonts w:ascii="Calibri" w:hAnsi="Calibri"/>
        </w:rPr>
      </w:pPr>
    </w:p>
    <w:p w14:paraId="61144263" w14:textId="0214FE92" w:rsidR="6A6D091A" w:rsidRDefault="6A6D091A" w:rsidP="003A3C64">
      <w:pPr>
        <w:spacing w:after="0" w:line="240" w:lineRule="auto"/>
        <w:ind w:left="360"/>
        <w:rPr>
          <w:rFonts w:ascii="Calibri" w:hAnsi="Calibri"/>
        </w:rPr>
      </w:pPr>
      <w:r w:rsidRPr="6A6D091A">
        <w:rPr>
          <w:rFonts w:ascii="Calibri" w:hAnsi="Calibri"/>
        </w:rPr>
        <w:t>In the analysis on disability and access, six types of recorded disabilities are noted with cognitive difficulty being the most prevalent disability in Burlington. Ambulatory difficult follows very closely as the next prevalent disability. These are reversed on a regional level. Disabled populations appear to cluster around more developed areas; however there does not appear to be any major geographic patterns for individual disability types.</w:t>
      </w:r>
    </w:p>
    <w:p w14:paraId="565CEBA3" w14:textId="45F0B9AF" w:rsidR="6A6D091A" w:rsidRDefault="6A6D091A" w:rsidP="003A3C64">
      <w:pPr>
        <w:spacing w:after="0" w:line="240" w:lineRule="auto"/>
        <w:ind w:left="360"/>
        <w:rPr>
          <w:rFonts w:ascii="Calibri" w:hAnsi="Calibri"/>
        </w:rPr>
      </w:pPr>
    </w:p>
    <w:p w14:paraId="01058FEB" w14:textId="39B65BBE" w:rsidR="6A6D091A" w:rsidRDefault="6A6D091A" w:rsidP="003A3C64">
      <w:pPr>
        <w:spacing w:after="0" w:line="240" w:lineRule="auto"/>
        <w:ind w:left="360"/>
        <w:rPr>
          <w:rFonts w:ascii="Calibri" w:hAnsi="Calibri"/>
        </w:rPr>
      </w:pPr>
      <w:r w:rsidRPr="6A6D091A">
        <w:rPr>
          <w:rFonts w:ascii="Calibri" w:hAnsi="Calibri"/>
        </w:rPr>
        <w:t>Under the section on Fair Housing Enforcement, Outreach Capacity and Resource Analysis, information regarding the fair housing activities of Vermont Legal Aid under the Fair Housing Initiative Program, Champlain Valley Office of Economic Opportunity (CVOEO) Fair Housing Project and the Human Rights Commission is shared. The local programs are granted funded and therefore limited on the procurement of these additional funds.</w:t>
      </w:r>
    </w:p>
    <w:p w14:paraId="316114AE" w14:textId="788C0F90" w:rsidR="6A6D091A" w:rsidRDefault="6A6D091A" w:rsidP="003A3C64">
      <w:pPr>
        <w:spacing w:after="0" w:line="240" w:lineRule="auto"/>
        <w:ind w:left="360"/>
        <w:rPr>
          <w:rFonts w:ascii="Calibri" w:hAnsi="Calibri"/>
        </w:rPr>
      </w:pPr>
    </w:p>
    <w:p w14:paraId="511B8E92" w14:textId="1CDFFFEA" w:rsidR="6A6D091A" w:rsidRDefault="5F884969" w:rsidP="003A3C64">
      <w:pPr>
        <w:spacing w:after="0" w:line="240" w:lineRule="auto"/>
        <w:ind w:left="360"/>
        <w:rPr>
          <w:rFonts w:ascii="Calibri" w:hAnsi="Calibri"/>
        </w:rPr>
      </w:pPr>
      <w:r w:rsidRPr="5F884969">
        <w:rPr>
          <w:rFonts w:ascii="Calibri" w:hAnsi="Calibri"/>
        </w:rPr>
        <w:t xml:space="preserve">In the final section of the AFH, Fair Housing Goals and Priorities, the City and its partners outline the contributing factors toward local fair housing issues, prioritize the factors and </w:t>
      </w:r>
      <w:r w:rsidR="00600654" w:rsidRPr="5F884969">
        <w:rPr>
          <w:rFonts w:ascii="Calibri" w:hAnsi="Calibri"/>
        </w:rPr>
        <w:t>establish</w:t>
      </w:r>
      <w:r w:rsidRPr="5F884969">
        <w:rPr>
          <w:rFonts w:ascii="Calibri" w:hAnsi="Calibri"/>
        </w:rPr>
        <w:t xml:space="preserve"> goals to address each fair housing issue.</w:t>
      </w:r>
      <w:r w:rsidR="003F2CB4">
        <w:rPr>
          <w:rFonts w:ascii="Calibri" w:hAnsi="Calibri"/>
        </w:rPr>
        <w:t xml:space="preserve"> For the following goals, contributing factors, fair housing issues, metrics and milestones along with the responsible program participant are detailed.</w:t>
      </w:r>
    </w:p>
    <w:p w14:paraId="29E6F8B5" w14:textId="77777777" w:rsidR="003F2CB4" w:rsidRDefault="003F2CB4" w:rsidP="003A3C64">
      <w:pPr>
        <w:spacing w:after="0" w:line="240" w:lineRule="auto"/>
        <w:ind w:left="360"/>
        <w:rPr>
          <w:rFonts w:ascii="Calibri" w:hAnsi="Calibri"/>
        </w:rPr>
      </w:pPr>
    </w:p>
    <w:p w14:paraId="58696469" w14:textId="0A3A63B8" w:rsidR="003F2CB4" w:rsidRDefault="003F2CB4" w:rsidP="003A3C64">
      <w:pPr>
        <w:spacing w:after="0" w:line="240" w:lineRule="auto"/>
        <w:ind w:left="360"/>
        <w:rPr>
          <w:rFonts w:ascii="Calibri" w:hAnsi="Calibri"/>
        </w:rPr>
      </w:pPr>
      <w:r>
        <w:rPr>
          <w:rFonts w:ascii="Calibri" w:hAnsi="Calibri"/>
        </w:rPr>
        <w:t>The Assessment of Fair Housing goals are:</w:t>
      </w:r>
    </w:p>
    <w:p w14:paraId="1291F063" w14:textId="77777777" w:rsidR="00D64F51" w:rsidRDefault="00D64F51" w:rsidP="003A3C64">
      <w:pPr>
        <w:spacing w:after="0" w:line="240" w:lineRule="auto"/>
        <w:ind w:left="360"/>
        <w:rPr>
          <w:rFonts w:ascii="Calibri" w:hAnsi="Calibri"/>
        </w:rPr>
      </w:pPr>
    </w:p>
    <w:p w14:paraId="03BFB5FF" w14:textId="287BBCE3" w:rsidR="00D64F51" w:rsidRDefault="00D64F51" w:rsidP="00D64F51">
      <w:pPr>
        <w:pStyle w:val="ListParagraph"/>
        <w:numPr>
          <w:ilvl w:val="0"/>
          <w:numId w:val="48"/>
        </w:numPr>
        <w:spacing w:after="0" w:line="240" w:lineRule="auto"/>
        <w:rPr>
          <w:rFonts w:ascii="Calibri" w:hAnsi="Calibri"/>
        </w:rPr>
      </w:pPr>
      <w:r>
        <w:rPr>
          <w:rFonts w:ascii="Calibri" w:hAnsi="Calibri"/>
        </w:rPr>
        <w:t>Increase affordable housing opportunities</w:t>
      </w:r>
    </w:p>
    <w:p w14:paraId="053A4BD4" w14:textId="7F4A5EAB" w:rsidR="00D64F51" w:rsidRDefault="00425024" w:rsidP="00D64F51">
      <w:pPr>
        <w:pStyle w:val="ListParagraph"/>
        <w:numPr>
          <w:ilvl w:val="0"/>
          <w:numId w:val="48"/>
        </w:numPr>
        <w:spacing w:after="0" w:line="240" w:lineRule="auto"/>
        <w:rPr>
          <w:rFonts w:ascii="Calibri" w:hAnsi="Calibri"/>
        </w:rPr>
      </w:pPr>
      <w:r>
        <w:rPr>
          <w:rFonts w:ascii="Calibri" w:hAnsi="Calibri"/>
        </w:rPr>
        <w:t>Maintain or preserve affordable housing units</w:t>
      </w:r>
    </w:p>
    <w:p w14:paraId="3BF5AFBC" w14:textId="30BD8935" w:rsidR="00425024" w:rsidRPr="00716EB9" w:rsidRDefault="00425024" w:rsidP="00425024">
      <w:pPr>
        <w:pStyle w:val="ListParagraph"/>
        <w:numPr>
          <w:ilvl w:val="0"/>
          <w:numId w:val="48"/>
        </w:numPr>
        <w:spacing w:after="240"/>
        <w:rPr>
          <w:rFonts w:eastAsia="Calibri"/>
        </w:rPr>
      </w:pPr>
      <w:r w:rsidRPr="00425024">
        <w:rPr>
          <w:rFonts w:eastAsia="Calibri"/>
        </w:rPr>
        <w:t xml:space="preserve">Provide housing resources to low income renters, homeowners and increase </w:t>
      </w:r>
      <w:r w:rsidRPr="00716EB9">
        <w:rPr>
          <w:rFonts w:eastAsia="Calibri"/>
        </w:rPr>
        <w:t>homeownership opportunities</w:t>
      </w:r>
    </w:p>
    <w:p w14:paraId="450C2DEB" w14:textId="471072DF" w:rsidR="00425024" w:rsidRPr="00716EB9" w:rsidRDefault="00800763" w:rsidP="00D64F51">
      <w:pPr>
        <w:pStyle w:val="ListParagraph"/>
        <w:numPr>
          <w:ilvl w:val="0"/>
          <w:numId w:val="48"/>
        </w:numPr>
        <w:spacing w:after="0" w:line="240" w:lineRule="auto"/>
        <w:rPr>
          <w:rFonts w:ascii="Calibri" w:hAnsi="Calibri"/>
        </w:rPr>
      </w:pPr>
      <w:r w:rsidRPr="00716EB9">
        <w:rPr>
          <w:rFonts w:eastAsia="Calibri"/>
        </w:rPr>
        <w:t>Increase employment opportunities for protected classes</w:t>
      </w:r>
    </w:p>
    <w:p w14:paraId="266C8738" w14:textId="77777777" w:rsidR="00CF33C2" w:rsidRPr="00716EB9" w:rsidRDefault="00CF33C2" w:rsidP="00CF33C2">
      <w:pPr>
        <w:pStyle w:val="ListParagraph"/>
        <w:numPr>
          <w:ilvl w:val="0"/>
          <w:numId w:val="48"/>
        </w:numPr>
        <w:spacing w:after="240"/>
        <w:rPr>
          <w:rFonts w:eastAsia="Calibri"/>
        </w:rPr>
      </w:pPr>
      <w:r w:rsidRPr="00716EB9">
        <w:rPr>
          <w:rFonts w:eastAsia="Calibri"/>
        </w:rPr>
        <w:lastRenderedPageBreak/>
        <w:t>Increase educational opportunities with a focus on protected classes</w:t>
      </w:r>
    </w:p>
    <w:p w14:paraId="55C1D4AE" w14:textId="77777777" w:rsidR="00716EB9" w:rsidRPr="00716EB9" w:rsidRDefault="00716EB9" w:rsidP="00716EB9">
      <w:pPr>
        <w:pStyle w:val="ListParagraph"/>
        <w:numPr>
          <w:ilvl w:val="0"/>
          <w:numId w:val="48"/>
        </w:numPr>
        <w:spacing w:after="240"/>
        <w:rPr>
          <w:rFonts w:eastAsia="Calibri"/>
        </w:rPr>
      </w:pPr>
      <w:r w:rsidRPr="00716EB9">
        <w:rPr>
          <w:rFonts w:eastAsia="Calibri"/>
        </w:rPr>
        <w:t>Support Fair Housing Education and Equitable Outreach</w:t>
      </w:r>
    </w:p>
    <w:p w14:paraId="792BF540" w14:textId="77777777" w:rsidR="00CF33C2" w:rsidRPr="00800763" w:rsidRDefault="00CF33C2" w:rsidP="00716EB9">
      <w:pPr>
        <w:pStyle w:val="ListParagraph"/>
        <w:spacing w:after="0" w:line="240" w:lineRule="auto"/>
        <w:ind w:left="1080"/>
        <w:rPr>
          <w:rFonts w:ascii="Calibri" w:hAnsi="Calibri"/>
          <w:b/>
        </w:rPr>
      </w:pPr>
    </w:p>
    <w:p w14:paraId="5E3DF705" w14:textId="77777777" w:rsidR="003F2CB4" w:rsidRDefault="003F2CB4" w:rsidP="003A3C64">
      <w:pPr>
        <w:spacing w:after="0" w:line="240" w:lineRule="auto"/>
        <w:ind w:left="360"/>
        <w:rPr>
          <w:rFonts w:ascii="Calibri" w:hAnsi="Calibri"/>
        </w:rPr>
      </w:pPr>
    </w:p>
    <w:p w14:paraId="37FE63A0" w14:textId="67F0AF17" w:rsidR="6A6D091A" w:rsidRDefault="00013615" w:rsidP="6A6D091A">
      <w:r>
        <w:t xml:space="preserve">The Burlington City Council held a Public Hearing on Monday, September 18, 2017 and formally approved the submittal of the AFH on Monday, September 25, 2017. The Burlington Housing Authority Commission approved submission of the AFH also on Monday, September 25, 2017. The Winooski Housing Authority </w:t>
      </w:r>
    </w:p>
    <w:p w14:paraId="791EEEA8" w14:textId="4AE0A17E" w:rsidR="6A6D091A" w:rsidRDefault="6A6D091A" w:rsidP="6A6D091A">
      <w:pPr>
        <w:rPr>
          <w:rFonts w:ascii="Calibri" w:eastAsia="Calibri" w:hAnsi="Calibri" w:cs="Calibri"/>
        </w:rPr>
      </w:pPr>
    </w:p>
    <w:p w14:paraId="03B31EE2" w14:textId="5E954F5F" w:rsidR="6A6D091A" w:rsidRDefault="6A6D091A" w:rsidP="6A6D091A">
      <w:pPr>
        <w:rPr>
          <w:rFonts w:ascii="Calibri" w:eastAsia="Calibri" w:hAnsi="Calibri" w:cs="Calibri"/>
        </w:rPr>
      </w:pPr>
    </w:p>
    <w:p w14:paraId="42A58675" w14:textId="39C3A9D1" w:rsidR="6A6D091A" w:rsidRDefault="6A6D091A" w:rsidP="6A6D091A"/>
    <w:p w14:paraId="45466D1F" w14:textId="2FFCA3BB" w:rsidR="6A6D091A" w:rsidRDefault="6A6D091A" w:rsidP="6A6D091A"/>
    <w:p w14:paraId="41ABCE80" w14:textId="77777777" w:rsidR="003B294F" w:rsidRDefault="003B294F" w:rsidP="00376ECB"/>
    <w:p w14:paraId="012FA0E4" w14:textId="77777777" w:rsidR="0068270B" w:rsidRDefault="0068270B" w:rsidP="00376ECB"/>
    <w:p w14:paraId="756594A0" w14:textId="4FF29F6E" w:rsidR="00531A13" w:rsidRPr="00CF7688" w:rsidRDefault="5F884969" w:rsidP="5F884969">
      <w:pPr>
        <w:pStyle w:val="Title"/>
        <w:numPr>
          <w:ilvl w:val="0"/>
          <w:numId w:val="3"/>
        </w:numPr>
        <w:ind w:left="360" w:hanging="180"/>
        <w:rPr>
          <w:rFonts w:ascii="Garamond" w:hAnsi="Garamond"/>
          <w:b/>
          <w:bCs/>
          <w:sz w:val="32"/>
          <w:szCs w:val="32"/>
        </w:rPr>
      </w:pPr>
      <w:bookmarkStart w:id="3" w:name="ComPartProcess"/>
      <w:r w:rsidRPr="5F884969">
        <w:rPr>
          <w:rFonts w:ascii="Garamond" w:hAnsi="Garamond"/>
          <w:b/>
          <w:bCs/>
          <w:sz w:val="32"/>
          <w:szCs w:val="32"/>
        </w:rPr>
        <w:t>Community Participation Process</w:t>
      </w:r>
    </w:p>
    <w:bookmarkEnd w:id="3"/>
    <w:p w14:paraId="5503C512" w14:textId="35D99C2A" w:rsidR="00531A13" w:rsidRPr="00034DD9" w:rsidRDefault="5F884969" w:rsidP="002F7C2E">
      <w:pPr>
        <w:pStyle w:val="Heading4"/>
        <w:ind w:left="360"/>
        <w:rPr>
          <w:rStyle w:val="Emphasis1"/>
          <w:rFonts w:ascii="Calibri" w:hAnsi="Calibri"/>
          <w:b/>
          <w:bCs/>
          <w:color w:val="auto"/>
          <w:sz w:val="22"/>
          <w:szCs w:val="22"/>
        </w:rPr>
      </w:pPr>
      <w:r w:rsidRPr="00034DD9">
        <w:rPr>
          <w:rStyle w:val="Emphasis1"/>
          <w:rFonts w:ascii="Calibri" w:hAnsi="Calibri"/>
          <w:b/>
          <w:bCs/>
          <w:color w:val="auto"/>
          <w:sz w:val="22"/>
          <w:szCs w:val="22"/>
        </w:rPr>
        <w:t>Describe outreach activities undertaken to encourage and broaden meaningful community participation in the AFH process, including the types of outreach activities and dates of public hearings or meetings.  Identify media outlets used and include a description of efforts made to reach the public, including those representing populations that are typically underrepresented in the planning process such as persons who reside in areas identified as R/ECAPs, persons who are limited English proficient (LEP), and persons with disabilities. Briefly explain how these communications were designed to reach the broadest audience possible.  For PHAs, identify your meetings with the Resident Advisory Board and other resident outreach.</w:t>
      </w:r>
    </w:p>
    <w:p w14:paraId="793501AF" w14:textId="77777777" w:rsidR="004817A0" w:rsidRDefault="004817A0" w:rsidP="004817A0">
      <w:pPr>
        <w:spacing w:after="0" w:line="240" w:lineRule="auto"/>
        <w:rPr>
          <w:rFonts w:ascii="Calibri" w:eastAsia="Times New Roman" w:hAnsi="Calibri" w:cs="Times New Roman"/>
          <w:color w:val="000000"/>
        </w:rPr>
      </w:pPr>
    </w:p>
    <w:p w14:paraId="432E0FF0" w14:textId="5B8D31A0" w:rsidR="00F96321"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 xml:space="preserve">The City of Burlington used a </w:t>
      </w:r>
      <w:r w:rsidR="00972026" w:rsidRPr="5F884969">
        <w:rPr>
          <w:rFonts w:ascii="Calibri" w:eastAsia="Times New Roman" w:hAnsi="Calibri" w:cs="Times New Roman"/>
          <w:color w:val="000000" w:themeColor="text1"/>
        </w:rPr>
        <w:t>two-faceted</w:t>
      </w:r>
      <w:r w:rsidRPr="5F884969">
        <w:rPr>
          <w:rFonts w:ascii="Calibri" w:eastAsia="Times New Roman" w:hAnsi="Calibri" w:cs="Times New Roman"/>
          <w:color w:val="000000" w:themeColor="text1"/>
        </w:rPr>
        <w:t xml:space="preserve"> approach to meaningful participation. To begin the process, the City and partners conducted outreach to gain comments, concerns and feedback on fair hous</w:t>
      </w:r>
      <w:r w:rsidR="008D2C4D">
        <w:rPr>
          <w:rFonts w:ascii="Calibri" w:eastAsia="Times New Roman" w:hAnsi="Calibri" w:cs="Times New Roman"/>
          <w:color w:val="000000" w:themeColor="text1"/>
        </w:rPr>
        <w:t xml:space="preserve">ing issues. </w:t>
      </w:r>
      <w:r w:rsidR="00653FE1">
        <w:rPr>
          <w:rFonts w:ascii="Calibri" w:eastAsia="Times New Roman" w:hAnsi="Calibri" w:cs="Times New Roman"/>
          <w:color w:val="000000" w:themeColor="text1"/>
        </w:rPr>
        <w:t xml:space="preserve">Once a draft of </w:t>
      </w:r>
      <w:r w:rsidRPr="5F884969">
        <w:rPr>
          <w:rFonts w:ascii="Calibri" w:eastAsia="Times New Roman" w:hAnsi="Calibri" w:cs="Times New Roman"/>
          <w:color w:val="000000" w:themeColor="text1"/>
        </w:rPr>
        <w:t>the Assessment of Fair</w:t>
      </w:r>
      <w:r w:rsidR="008D2C4D">
        <w:rPr>
          <w:rFonts w:ascii="Calibri" w:eastAsia="Times New Roman" w:hAnsi="Calibri" w:cs="Times New Roman"/>
          <w:color w:val="000000" w:themeColor="text1"/>
        </w:rPr>
        <w:t xml:space="preserve"> Housings was complete, </w:t>
      </w:r>
      <w:r w:rsidRPr="5F884969">
        <w:rPr>
          <w:rFonts w:ascii="Calibri" w:eastAsia="Times New Roman" w:hAnsi="Calibri" w:cs="Times New Roman"/>
          <w:color w:val="000000" w:themeColor="text1"/>
        </w:rPr>
        <w:t>public meetings,</w:t>
      </w:r>
      <w:r w:rsidR="008D2C4D">
        <w:rPr>
          <w:rFonts w:ascii="Calibri" w:eastAsia="Times New Roman" w:hAnsi="Calibri" w:cs="Times New Roman"/>
          <w:color w:val="000000" w:themeColor="text1"/>
        </w:rPr>
        <w:t xml:space="preserve"> hearings and media outreach were</w:t>
      </w:r>
      <w:r w:rsidRPr="5F884969">
        <w:rPr>
          <w:rFonts w:ascii="Calibri" w:eastAsia="Times New Roman" w:hAnsi="Calibri" w:cs="Times New Roman"/>
          <w:color w:val="000000" w:themeColor="text1"/>
        </w:rPr>
        <w:t xml:space="preserve"> conducted to gain feedback on</w:t>
      </w:r>
      <w:r w:rsidR="008D2C4D">
        <w:rPr>
          <w:rFonts w:ascii="Calibri" w:eastAsia="Times New Roman" w:hAnsi="Calibri" w:cs="Times New Roman"/>
          <w:color w:val="000000" w:themeColor="text1"/>
        </w:rPr>
        <w:t xml:space="preserve"> the proposed AFH. This approach is </w:t>
      </w:r>
      <w:r w:rsidRPr="5F884969">
        <w:rPr>
          <w:rFonts w:ascii="Calibri" w:eastAsia="Times New Roman" w:hAnsi="Calibri" w:cs="Times New Roman"/>
          <w:color w:val="000000" w:themeColor="text1"/>
        </w:rPr>
        <w:t>detailed below.</w:t>
      </w:r>
    </w:p>
    <w:p w14:paraId="2C1AF192" w14:textId="77777777" w:rsidR="00F96321" w:rsidRDefault="00F96321" w:rsidP="004817A0">
      <w:pPr>
        <w:spacing w:after="0" w:line="240" w:lineRule="auto"/>
        <w:ind w:left="360"/>
        <w:rPr>
          <w:rFonts w:ascii="Calibri" w:eastAsia="Times New Roman" w:hAnsi="Calibri" w:cs="Times New Roman"/>
          <w:color w:val="000000"/>
        </w:rPr>
      </w:pPr>
    </w:p>
    <w:p w14:paraId="63AD8186" w14:textId="1477DCE0" w:rsidR="004817A0"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Several methods to obt</w:t>
      </w:r>
      <w:r w:rsidR="0069141E">
        <w:rPr>
          <w:rFonts w:ascii="Calibri" w:eastAsia="Times New Roman" w:hAnsi="Calibri" w:cs="Times New Roman"/>
          <w:color w:val="000000" w:themeColor="text1"/>
        </w:rPr>
        <w:t>ain community feedback included</w:t>
      </w:r>
      <w:r w:rsidRPr="5F884969">
        <w:rPr>
          <w:rFonts w:ascii="Calibri" w:eastAsia="Times New Roman" w:hAnsi="Calibri" w:cs="Times New Roman"/>
          <w:color w:val="000000" w:themeColor="text1"/>
        </w:rPr>
        <w:t xml:space="preserve"> attendance and tabling at large events, the Chittenden County Housing and Neighborhood Survey and a series of group and individual interviews with protected classes. The combination of data received via the survey and the anecdotal information discovered in the interview process has provided the City with a helpful snapshot of what community members recognize as the most significant challenges to fair housing and economic opportunity.  The City ensured a broad, yet targeted, dissemination of the survey</w:t>
      </w:r>
      <w:r w:rsidR="0069141E">
        <w:rPr>
          <w:rFonts w:ascii="Calibri" w:eastAsia="Times New Roman" w:hAnsi="Calibri" w:cs="Times New Roman"/>
          <w:color w:val="000000" w:themeColor="text1"/>
        </w:rPr>
        <w:t>. A w</w:t>
      </w:r>
      <w:r w:rsidRPr="5F884969">
        <w:rPr>
          <w:rFonts w:ascii="Calibri" w:eastAsia="Times New Roman" w:hAnsi="Calibri" w:cs="Times New Roman"/>
          <w:color w:val="000000" w:themeColor="text1"/>
        </w:rPr>
        <w:t>ide variety of socioeconomic</w:t>
      </w:r>
      <w:r w:rsidR="0069141E">
        <w:rPr>
          <w:rFonts w:ascii="Calibri" w:eastAsia="Times New Roman" w:hAnsi="Calibri" w:cs="Times New Roman"/>
          <w:color w:val="000000" w:themeColor="text1"/>
        </w:rPr>
        <w:t xml:space="preserve"> groups, as well as protected classes,</w:t>
      </w:r>
      <w:r w:rsidRPr="5F884969">
        <w:rPr>
          <w:rFonts w:ascii="Calibri" w:eastAsia="Times New Roman" w:hAnsi="Calibri" w:cs="Times New Roman"/>
          <w:color w:val="000000" w:themeColor="text1"/>
        </w:rPr>
        <w:t xml:space="preserve"> were presented with the opportunity to provide feedback through</w:t>
      </w:r>
      <w:r w:rsidR="0069141E">
        <w:rPr>
          <w:rFonts w:ascii="Calibri" w:eastAsia="Times New Roman" w:hAnsi="Calibri" w:cs="Times New Roman"/>
          <w:color w:val="000000" w:themeColor="text1"/>
        </w:rPr>
        <w:t xml:space="preserve"> an extensive interview process. T</w:t>
      </w:r>
      <w:r w:rsidRPr="5F884969">
        <w:rPr>
          <w:rFonts w:ascii="Calibri" w:eastAsia="Times New Roman" w:hAnsi="Calibri" w:cs="Times New Roman"/>
          <w:color w:val="000000" w:themeColor="text1"/>
        </w:rPr>
        <w:t xml:space="preserve">he City of Burlington, the Burlington Housing Authority (BHA), and the Champlain Valley Office of Economic Opportunity (CVOEO), worked closely with a variety of community organizations to facilitate meaningful, open dialogue with community members from a range of protected classes and demographics. </w:t>
      </w:r>
    </w:p>
    <w:p w14:paraId="4B17CEBF" w14:textId="77777777" w:rsidR="004817A0" w:rsidRDefault="004817A0" w:rsidP="004817A0">
      <w:pPr>
        <w:spacing w:after="0" w:line="240" w:lineRule="auto"/>
        <w:ind w:left="360"/>
        <w:rPr>
          <w:rFonts w:ascii="Calibri" w:eastAsia="Times New Roman" w:hAnsi="Calibri" w:cs="Times New Roman"/>
          <w:color w:val="000000"/>
        </w:rPr>
      </w:pPr>
    </w:p>
    <w:p w14:paraId="6B635F7C" w14:textId="37922518" w:rsidR="004817A0"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Media outlets included connections on Facebook, the websites of the City of Burlington and other</w:t>
      </w:r>
      <w:r w:rsidR="0069141E">
        <w:rPr>
          <w:rFonts w:ascii="Calibri" w:eastAsia="Times New Roman" w:hAnsi="Calibri" w:cs="Times New Roman"/>
          <w:color w:val="000000" w:themeColor="text1"/>
        </w:rPr>
        <w:t xml:space="preserve"> partners, two</w:t>
      </w:r>
      <w:r w:rsidRPr="5F884969">
        <w:rPr>
          <w:rFonts w:ascii="Calibri" w:eastAsia="Times New Roman" w:hAnsi="Calibri" w:cs="Times New Roman"/>
          <w:color w:val="000000" w:themeColor="text1"/>
        </w:rPr>
        <w:t xml:space="preserve"> Channel 17 broadcast</w:t>
      </w:r>
      <w:r w:rsidR="0069141E">
        <w:rPr>
          <w:rFonts w:ascii="Calibri" w:eastAsia="Times New Roman" w:hAnsi="Calibri" w:cs="Times New Roman"/>
          <w:color w:val="000000" w:themeColor="text1"/>
        </w:rPr>
        <w:t>s</w:t>
      </w:r>
      <w:r w:rsidRPr="5F884969">
        <w:rPr>
          <w:rFonts w:ascii="Calibri" w:eastAsia="Times New Roman" w:hAnsi="Calibri" w:cs="Times New Roman"/>
          <w:color w:val="000000" w:themeColor="text1"/>
        </w:rPr>
        <w:t xml:space="preserve"> on the Assessment of Fair Housing</w:t>
      </w:r>
      <w:r w:rsidR="0069141E">
        <w:rPr>
          <w:rFonts w:ascii="Calibri" w:eastAsia="Times New Roman" w:hAnsi="Calibri" w:cs="Times New Roman"/>
          <w:color w:val="000000" w:themeColor="text1"/>
        </w:rPr>
        <w:t xml:space="preserve"> which aired multiple times</w:t>
      </w:r>
      <w:r w:rsidRPr="5F884969">
        <w:rPr>
          <w:rFonts w:ascii="Calibri" w:eastAsia="Times New Roman" w:hAnsi="Calibri" w:cs="Times New Roman"/>
          <w:color w:val="000000" w:themeColor="text1"/>
        </w:rPr>
        <w:t xml:space="preserve"> and an electronic newsletter to over 1300 households in the City of Burlington.</w:t>
      </w:r>
    </w:p>
    <w:p w14:paraId="5EC27288" w14:textId="77777777" w:rsidR="00F716DD" w:rsidRDefault="00F716DD" w:rsidP="004817A0">
      <w:pPr>
        <w:spacing w:after="0" w:line="240" w:lineRule="auto"/>
        <w:ind w:left="360"/>
        <w:rPr>
          <w:rFonts w:ascii="Calibri" w:eastAsia="Times New Roman" w:hAnsi="Calibri" w:cs="Times New Roman"/>
          <w:color w:val="000000"/>
        </w:rPr>
      </w:pPr>
    </w:p>
    <w:p w14:paraId="6AB151AC" w14:textId="7F4DF490" w:rsidR="00F716DD" w:rsidRPr="007A317F" w:rsidRDefault="5F884969" w:rsidP="5F884969">
      <w:pPr>
        <w:spacing w:after="0" w:line="240" w:lineRule="auto"/>
        <w:ind w:left="360"/>
        <w:rPr>
          <w:rFonts w:eastAsia="Times New Roman" w:cs="Times New Roman"/>
          <w:color w:val="000000" w:themeColor="text1"/>
        </w:rPr>
      </w:pPr>
      <w:r w:rsidRPr="5F884969">
        <w:rPr>
          <w:rFonts w:eastAsia="Times New Roman" w:cs="Times New Roman"/>
          <w:color w:val="000000" w:themeColor="text1"/>
        </w:rPr>
        <w:t>PHA outreach in</w:t>
      </w:r>
      <w:r w:rsidR="0069141E">
        <w:rPr>
          <w:rFonts w:eastAsia="Times New Roman" w:cs="Times New Roman"/>
          <w:color w:val="000000" w:themeColor="text1"/>
        </w:rPr>
        <w:t>cluded small group gatherings at</w:t>
      </w:r>
      <w:r w:rsidRPr="5F884969">
        <w:rPr>
          <w:rFonts w:eastAsia="Times New Roman" w:cs="Times New Roman"/>
          <w:color w:val="000000" w:themeColor="text1"/>
        </w:rPr>
        <w:t xml:space="preserve"> housing authority properties with in-depth conversations wi</w:t>
      </w:r>
      <w:r w:rsidR="0069141E">
        <w:rPr>
          <w:rFonts w:eastAsia="Times New Roman" w:cs="Times New Roman"/>
          <w:color w:val="000000" w:themeColor="text1"/>
        </w:rPr>
        <w:t>th residents. A</w:t>
      </w:r>
      <w:r w:rsidRPr="5F884969">
        <w:rPr>
          <w:rFonts w:eastAsia="Times New Roman" w:cs="Times New Roman"/>
          <w:color w:val="000000" w:themeColor="text1"/>
        </w:rPr>
        <w:t xml:space="preserve"> mailing to all the individuals and families in the Burlington Housing</w:t>
      </w:r>
      <w:r w:rsidR="00E740EF">
        <w:rPr>
          <w:rFonts w:eastAsia="Times New Roman" w:cs="Times New Roman"/>
          <w:color w:val="000000" w:themeColor="text1"/>
        </w:rPr>
        <w:t xml:space="preserve"> Authority portfolio – over 2400</w:t>
      </w:r>
      <w:r w:rsidRPr="5F884969">
        <w:rPr>
          <w:rFonts w:eastAsia="Times New Roman" w:cs="Times New Roman"/>
          <w:color w:val="000000" w:themeColor="text1"/>
        </w:rPr>
        <w:t xml:space="preserve"> postcards were sent to families in 3 different languages and the surveys were translat</w:t>
      </w:r>
      <w:r w:rsidR="0069141E">
        <w:rPr>
          <w:rFonts w:eastAsia="Times New Roman" w:cs="Times New Roman"/>
          <w:color w:val="000000" w:themeColor="text1"/>
        </w:rPr>
        <w:t>ed into Nepali and Vietnamese, encouraging residents to participate in the housing survey.</w:t>
      </w:r>
    </w:p>
    <w:p w14:paraId="0C4E03DF" w14:textId="77777777" w:rsidR="00F716DD" w:rsidRPr="007A317F" w:rsidRDefault="00F716DD" w:rsidP="004817A0">
      <w:pPr>
        <w:spacing w:after="0" w:line="240" w:lineRule="auto"/>
        <w:ind w:left="360"/>
        <w:rPr>
          <w:rFonts w:eastAsia="Times New Roman" w:cs="Times New Roman"/>
          <w:color w:val="000000"/>
        </w:rPr>
      </w:pPr>
    </w:p>
    <w:p w14:paraId="43FD05DC" w14:textId="7A3A7966" w:rsidR="00E740EF" w:rsidRDefault="5F884969" w:rsidP="00E740EF">
      <w:pPr>
        <w:ind w:left="360"/>
      </w:pPr>
      <w:r w:rsidRPr="5F884969">
        <w:rPr>
          <w:rFonts w:eastAsia="Times New Roman" w:cs="Times New Roman"/>
          <w:color w:val="000000" w:themeColor="text1"/>
        </w:rPr>
        <w:t xml:space="preserve">Events included the Martin Luther King, </w:t>
      </w:r>
      <w:r w:rsidR="00E740EF">
        <w:rPr>
          <w:rFonts w:eastAsia="Times New Roman" w:cs="Times New Roman"/>
          <w:color w:val="000000" w:themeColor="text1"/>
        </w:rPr>
        <w:t>Jr. Day at ECHO, where over 1,900</w:t>
      </w:r>
      <w:r w:rsidRPr="5F884969">
        <w:rPr>
          <w:rFonts w:eastAsia="Times New Roman" w:cs="Times New Roman"/>
          <w:color w:val="000000" w:themeColor="text1"/>
        </w:rPr>
        <w:t xml:space="preserve"> people attend</w:t>
      </w:r>
      <w:r w:rsidR="00E740EF">
        <w:rPr>
          <w:rFonts w:eastAsia="Times New Roman" w:cs="Times New Roman"/>
          <w:color w:val="000000" w:themeColor="text1"/>
        </w:rPr>
        <w:t>ed this free event as part of a nationwide initiative to make MLK Day a ‘day on, not a day off’, in which communities engage their citizenry in meaningful service and reflection</w:t>
      </w:r>
      <w:r w:rsidRPr="5F884969">
        <w:rPr>
          <w:rFonts w:eastAsia="Times New Roman" w:cs="Times New Roman"/>
          <w:color w:val="000000" w:themeColor="text1"/>
        </w:rPr>
        <w:t xml:space="preserve">. </w:t>
      </w:r>
      <w:r w:rsidR="00E740EF">
        <w:t>This was ECHO’s largest single day attendance in its 14 year history and double the previous year’s attendance; for many attendees it was their first time at the museum.  The City provided free entry a</w:t>
      </w:r>
      <w:r w:rsidR="006C28FC">
        <w:t xml:space="preserve">nd free transport to the site. </w:t>
      </w:r>
      <w:r w:rsidR="00E740EF">
        <w:t>  Each year, adults and children gather to explore issues of diversity and inclusion through story, song, and conversation. This year, we were proud to highlight our community’s youth and recognize their leadership in advancing social justice and eliminating racism and table the event with information and surveys regarding fair housing.</w:t>
      </w:r>
    </w:p>
    <w:p w14:paraId="2BDADCBF" w14:textId="77777777" w:rsidR="00E740EF" w:rsidRDefault="00E740EF" w:rsidP="00E740EF">
      <w:pPr>
        <w:spacing w:after="0" w:line="240" w:lineRule="auto"/>
        <w:rPr>
          <w:rFonts w:eastAsia="Times New Roman" w:cs="Times New Roman"/>
          <w:color w:val="000000" w:themeColor="text1"/>
        </w:rPr>
      </w:pPr>
    </w:p>
    <w:p w14:paraId="4F8A0813" w14:textId="64CAAEEE" w:rsidR="00F716DD" w:rsidRPr="007A317F" w:rsidRDefault="5F884969" w:rsidP="5F884969">
      <w:pPr>
        <w:spacing w:after="0" w:line="240" w:lineRule="auto"/>
        <w:ind w:left="360"/>
        <w:rPr>
          <w:rFonts w:eastAsia="Times New Roman" w:cs="Times New Roman"/>
          <w:color w:val="000000" w:themeColor="text1"/>
        </w:rPr>
      </w:pPr>
      <w:r w:rsidRPr="5F884969">
        <w:rPr>
          <w:rFonts w:eastAsia="Times New Roman" w:cs="Times New Roman"/>
          <w:color w:val="000000" w:themeColor="text1"/>
        </w:rPr>
        <w:t xml:space="preserve">Several times the City participated in the Here to Help Clinic, an outreach </w:t>
      </w:r>
      <w:r w:rsidR="00BD554C">
        <w:rPr>
          <w:rFonts w:eastAsia="Times New Roman" w:cs="Times New Roman"/>
          <w:color w:val="000000" w:themeColor="text1"/>
        </w:rPr>
        <w:t xml:space="preserve">organized by a partnership between the Chittenden County Homeless Alliance and the University of Vermont Medical School Schweitzer fellows </w:t>
      </w:r>
      <w:r w:rsidRPr="5F884969">
        <w:rPr>
          <w:rFonts w:eastAsia="Times New Roman" w:cs="Times New Roman"/>
          <w:color w:val="000000" w:themeColor="text1"/>
        </w:rPr>
        <w:t>to the area homeless to engage and received feedback on their challenges to housing</w:t>
      </w:r>
      <w:r w:rsidR="006C28FC">
        <w:rPr>
          <w:rFonts w:eastAsia="Times New Roman" w:cs="Times New Roman"/>
          <w:color w:val="000000" w:themeColor="text1"/>
        </w:rPr>
        <w:t>. On World Refugee Day, 4 students of color</w:t>
      </w:r>
      <w:r w:rsidRPr="5F884969">
        <w:rPr>
          <w:rFonts w:eastAsia="Times New Roman" w:cs="Times New Roman"/>
          <w:color w:val="000000" w:themeColor="text1"/>
        </w:rPr>
        <w:t xml:space="preserve"> did outreach to a diverse population of refugees for input and feedback.</w:t>
      </w:r>
    </w:p>
    <w:p w14:paraId="0BD89993" w14:textId="77777777" w:rsidR="00F716DD" w:rsidRPr="007A317F" w:rsidRDefault="00F716DD" w:rsidP="004817A0">
      <w:pPr>
        <w:spacing w:after="0" w:line="240" w:lineRule="auto"/>
        <w:ind w:left="360"/>
        <w:rPr>
          <w:rFonts w:eastAsia="Times New Roman" w:cs="Times New Roman"/>
          <w:color w:val="000000"/>
        </w:rPr>
      </w:pPr>
    </w:p>
    <w:p w14:paraId="0F884564" w14:textId="448DB029" w:rsidR="00F716DD" w:rsidRPr="004A003F" w:rsidRDefault="5F884969" w:rsidP="5F884969">
      <w:pPr>
        <w:spacing w:after="0" w:line="240" w:lineRule="auto"/>
        <w:ind w:left="360"/>
        <w:rPr>
          <w:rFonts w:ascii="Times New Roman" w:eastAsia="Times New Roman" w:hAnsi="Times New Roman" w:cs="Times New Roman"/>
          <w:sz w:val="24"/>
          <w:szCs w:val="24"/>
        </w:rPr>
      </w:pPr>
      <w:r w:rsidRPr="5F884969">
        <w:rPr>
          <w:rFonts w:eastAsia="Times New Roman" w:cs="Times New Roman"/>
          <w:sz w:val="24"/>
          <w:szCs w:val="24"/>
        </w:rPr>
        <w:t>Extensive interviews were conducted with persons with disabilities including representatives from Vermont Council for Independent Living, members of the Mayor’s Council on Accessibility and individuals</w:t>
      </w:r>
      <w:r w:rsidRPr="5F884969">
        <w:rPr>
          <w:rFonts w:ascii="Times New Roman" w:eastAsia="Times New Roman" w:hAnsi="Times New Roman" w:cs="Times New Roman"/>
          <w:sz w:val="24"/>
          <w:szCs w:val="24"/>
        </w:rPr>
        <w:t>.</w:t>
      </w:r>
    </w:p>
    <w:p w14:paraId="1F46A960" w14:textId="77777777" w:rsidR="00653FE1" w:rsidRPr="004A003F" w:rsidRDefault="00653FE1" w:rsidP="004817A0">
      <w:pPr>
        <w:spacing w:after="0" w:line="240" w:lineRule="auto"/>
        <w:rPr>
          <w:rFonts w:ascii="Times New Roman" w:eastAsia="Times New Roman" w:hAnsi="Times New Roman" w:cs="Times New Roman"/>
          <w:sz w:val="24"/>
          <w:szCs w:val="24"/>
        </w:rPr>
      </w:pPr>
    </w:p>
    <w:p w14:paraId="3AB09656" w14:textId="74DC8B88" w:rsidR="00254B8C" w:rsidRPr="004A003F" w:rsidRDefault="5F884969" w:rsidP="002F7C2E">
      <w:pPr>
        <w:spacing w:after="0" w:line="240" w:lineRule="auto"/>
        <w:ind w:left="360"/>
        <w:outlineLvl w:val="0"/>
        <w:rPr>
          <w:rFonts w:ascii="Times New Roman" w:eastAsia="Times New Roman" w:hAnsi="Times New Roman" w:cs="Times New Roman"/>
          <w:sz w:val="24"/>
          <w:szCs w:val="24"/>
        </w:rPr>
      </w:pPr>
      <w:r w:rsidRPr="5F884969">
        <w:rPr>
          <w:rFonts w:ascii="Calibri" w:eastAsia="Times New Roman" w:hAnsi="Calibri" w:cs="Times New Roman"/>
          <w:b/>
          <w:bCs/>
          <w:color w:val="000000" w:themeColor="text1"/>
        </w:rPr>
        <w:t>Housing and Neighborhood Survey:</w:t>
      </w:r>
    </w:p>
    <w:p w14:paraId="2384285A" w14:textId="77777777" w:rsidR="00254B8C" w:rsidRPr="004A003F" w:rsidRDefault="5F884969" w:rsidP="00653FE1">
      <w:pPr>
        <w:spacing w:after="0" w:line="240" w:lineRule="auto"/>
        <w:ind w:left="360"/>
        <w:rPr>
          <w:rFonts w:ascii="Times New Roman" w:eastAsia="Times New Roman" w:hAnsi="Times New Roman" w:cs="Times New Roman"/>
          <w:sz w:val="24"/>
          <w:szCs w:val="24"/>
        </w:rPr>
      </w:pPr>
      <w:r w:rsidRPr="5F884969">
        <w:rPr>
          <w:rFonts w:ascii="Calibri" w:eastAsia="Times New Roman" w:hAnsi="Calibri" w:cs="Times New Roman"/>
          <w:color w:val="000000" w:themeColor="text1"/>
        </w:rPr>
        <w:t xml:space="preserve">As an initial approach to capture the broadest array of data, the City designed the Chittenden County Housing and Neighborhood survey: a series of questions aimed at gathering citizen’s impressions and satisfaction with neighborhood amenities, housing opportunity, housing costs, and discrimination. </w:t>
      </w:r>
    </w:p>
    <w:p w14:paraId="200CC6A2" w14:textId="77777777" w:rsidR="00254B8C" w:rsidRPr="004A003F" w:rsidRDefault="00254B8C" w:rsidP="00653FE1">
      <w:pPr>
        <w:spacing w:after="0" w:line="240" w:lineRule="auto"/>
        <w:ind w:left="360"/>
        <w:rPr>
          <w:rFonts w:ascii="Times New Roman" w:eastAsia="Times New Roman" w:hAnsi="Times New Roman" w:cs="Times New Roman"/>
          <w:sz w:val="24"/>
          <w:szCs w:val="24"/>
        </w:rPr>
      </w:pPr>
    </w:p>
    <w:p w14:paraId="252D08B3" w14:textId="6485E457" w:rsidR="00254B8C" w:rsidRDefault="5F884969" w:rsidP="00653FE1">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 xml:space="preserve">The Survey was administered over the course of January 15, 2017 to August 30, 2017, and was promoted through an array of communication and marketing outlets available to the </w:t>
      </w:r>
      <w:proofErr w:type="spellStart"/>
      <w:r w:rsidRPr="5F884969">
        <w:rPr>
          <w:rFonts w:ascii="Calibri" w:eastAsia="Times New Roman" w:hAnsi="Calibri" w:cs="Times New Roman"/>
          <w:color w:val="000000" w:themeColor="text1"/>
        </w:rPr>
        <w:t>CIty</w:t>
      </w:r>
      <w:proofErr w:type="spellEnd"/>
      <w:r w:rsidRPr="5F884969">
        <w:rPr>
          <w:rFonts w:ascii="Calibri" w:eastAsia="Times New Roman" w:hAnsi="Calibri" w:cs="Times New Roman"/>
          <w:color w:val="000000" w:themeColor="text1"/>
        </w:rPr>
        <w:t xml:space="preserve">, including but not limited to: Facebook, Twitter, Front Porch Forum, and email. In addition to these primary networks of communication, the City also worked closely with community based organizations (CBOs), including those at the Chittenden County Homeless Alliance, the local Continuum of Care, to successfully reach different segments of the populations, specifically those that have been historically underserved, such as New Americans, Section 8 participants, and those who suffer from mental illness. A total of </w:t>
      </w:r>
      <w:r w:rsidR="00675C50">
        <w:rPr>
          <w:rFonts w:ascii="Calibri" w:eastAsia="Times New Roman" w:hAnsi="Calibri" w:cs="Times New Roman"/>
          <w:color w:val="000000" w:themeColor="text1"/>
        </w:rPr>
        <w:t>776</w:t>
      </w:r>
      <w:r w:rsidR="001E41BD">
        <w:rPr>
          <w:rFonts w:ascii="Calibri" w:eastAsia="Times New Roman" w:hAnsi="Calibri" w:cs="Times New Roman"/>
          <w:color w:val="000000" w:themeColor="text1"/>
        </w:rPr>
        <w:t xml:space="preserve"> </w:t>
      </w:r>
      <w:r w:rsidRPr="00133566">
        <w:rPr>
          <w:rFonts w:ascii="Calibri" w:eastAsia="Times New Roman" w:hAnsi="Calibri" w:cs="Times New Roman"/>
          <w:color w:val="000000" w:themeColor="text1"/>
        </w:rPr>
        <w:t>responses</w:t>
      </w:r>
      <w:r w:rsidR="001E41BD">
        <w:rPr>
          <w:rFonts w:ascii="Calibri" w:eastAsia="Times New Roman" w:hAnsi="Calibri" w:cs="Times New Roman"/>
          <w:color w:val="000000" w:themeColor="text1"/>
        </w:rPr>
        <w:t xml:space="preserve"> were submitted</w:t>
      </w:r>
      <w:r w:rsidR="00133566">
        <w:rPr>
          <w:rFonts w:ascii="Calibri" w:eastAsia="Times New Roman" w:hAnsi="Calibri" w:cs="Times New Roman"/>
          <w:color w:val="000000" w:themeColor="text1"/>
        </w:rPr>
        <w:t>.</w:t>
      </w:r>
    </w:p>
    <w:p w14:paraId="009761D2" w14:textId="77777777" w:rsidR="007A317F" w:rsidRDefault="007A317F" w:rsidP="00653FE1">
      <w:pPr>
        <w:spacing w:after="0" w:line="240" w:lineRule="auto"/>
        <w:ind w:left="360"/>
        <w:rPr>
          <w:rFonts w:ascii="Calibri" w:eastAsia="Times New Roman" w:hAnsi="Calibri" w:cs="Times New Roman"/>
          <w:color w:val="000000"/>
        </w:rPr>
      </w:pPr>
    </w:p>
    <w:p w14:paraId="491B8D3F" w14:textId="132854D1" w:rsidR="00675C50" w:rsidRDefault="00675C50" w:rsidP="00675C50">
      <w:pPr>
        <w:ind w:left="360"/>
        <w:jc w:val="both"/>
      </w:pPr>
      <w:r>
        <w:lastRenderedPageBreak/>
        <w:t xml:space="preserve">The survey was administered by </w:t>
      </w:r>
      <w:hyperlink r:id="rId14" w:history="1">
        <w:r w:rsidRPr="00B42699">
          <w:rPr>
            <w:rStyle w:val="Hyperlink"/>
          </w:rPr>
          <w:t>www.surveygizmo.com</w:t>
        </w:r>
      </w:hyperlink>
      <w:r w:rsidR="006C28FC">
        <w:t xml:space="preserve">. </w:t>
      </w:r>
      <w:r>
        <w:t>Of the initial 776 responses, 710 were identifiable based on given information as completed by people who lived in either Chittenden, Franklin, or Grand Isle counties. The vast majority of those 710 surveys (635 or 89%) were completed by respondents who indicated that they lived in the City of Burlington.</w:t>
      </w:r>
    </w:p>
    <w:p w14:paraId="410676EA" w14:textId="77777777" w:rsidR="00675C50" w:rsidRDefault="00675C50" w:rsidP="00675C50">
      <w:pPr>
        <w:jc w:val="both"/>
      </w:pPr>
      <w:r>
        <w:tab/>
        <w:t xml:space="preserve">Some notable findings are as follows: </w:t>
      </w:r>
    </w:p>
    <w:p w14:paraId="300CBE5C" w14:textId="77777777" w:rsidR="00675C50" w:rsidRDefault="00675C50" w:rsidP="00675C50">
      <w:pPr>
        <w:pStyle w:val="ListParagraph"/>
        <w:numPr>
          <w:ilvl w:val="0"/>
          <w:numId w:val="44"/>
        </w:numPr>
        <w:jc w:val="both"/>
      </w:pPr>
      <w:r>
        <w:t>The majority of survey takers responded favorably to questions regarding neighborhood characteristics;</w:t>
      </w:r>
    </w:p>
    <w:p w14:paraId="73EF909B" w14:textId="77777777" w:rsidR="00675C50" w:rsidRDefault="00675C50" w:rsidP="00675C50">
      <w:pPr>
        <w:pStyle w:val="ListParagraph"/>
        <w:numPr>
          <w:ilvl w:val="0"/>
          <w:numId w:val="44"/>
        </w:numPr>
        <w:jc w:val="both"/>
      </w:pPr>
      <w:r>
        <w:t>Questions receiving responses that were more negative than average regarded the quality of streets and sidewalks, availability of housing, and job availability;</w:t>
      </w:r>
    </w:p>
    <w:p w14:paraId="488B8B8F" w14:textId="77777777" w:rsidR="00675C50" w:rsidRDefault="00675C50" w:rsidP="00675C50">
      <w:pPr>
        <w:pStyle w:val="ListParagraph"/>
        <w:numPr>
          <w:ilvl w:val="0"/>
          <w:numId w:val="44"/>
        </w:numPr>
        <w:jc w:val="both"/>
      </w:pPr>
      <w:r>
        <w:t>Just under 87% of respondents indicated that they were satisfied with the quality of housing they currently resided in, but 51% of total respondents indicated that they had trouble finding safe, quality housing in a neighborhood that they could afford;</w:t>
      </w:r>
    </w:p>
    <w:p w14:paraId="2C75D387" w14:textId="77777777" w:rsidR="00675C50" w:rsidRDefault="00675C50" w:rsidP="00675C50">
      <w:pPr>
        <w:pStyle w:val="ListParagraph"/>
        <w:numPr>
          <w:ilvl w:val="0"/>
          <w:numId w:val="44"/>
        </w:numPr>
        <w:jc w:val="both"/>
      </w:pPr>
      <w:r>
        <w:t>Along those same financial lines, 78% (555/710) of respondents indicated that housing options were limited by what they could afford for rent;</w:t>
      </w:r>
    </w:p>
    <w:p w14:paraId="3F40AF12" w14:textId="77777777" w:rsidR="00675C50" w:rsidRDefault="00675C50" w:rsidP="00675C50">
      <w:pPr>
        <w:pStyle w:val="ListParagraph"/>
        <w:numPr>
          <w:ilvl w:val="0"/>
          <w:numId w:val="44"/>
        </w:numPr>
        <w:jc w:val="both"/>
      </w:pPr>
      <w:r>
        <w:t>Over 70% of respondents indicated they had a bachelor’s or advanced degree; and</w:t>
      </w:r>
    </w:p>
    <w:p w14:paraId="2F8914E4" w14:textId="77777777" w:rsidR="00675C50" w:rsidRDefault="00675C50" w:rsidP="00675C50">
      <w:pPr>
        <w:pStyle w:val="ListParagraph"/>
        <w:numPr>
          <w:ilvl w:val="0"/>
          <w:numId w:val="44"/>
        </w:numPr>
        <w:jc w:val="both"/>
      </w:pPr>
      <w:r>
        <w:t>19% indicated that someone in their household had a disability.</w:t>
      </w:r>
    </w:p>
    <w:p w14:paraId="0CAC22A0" w14:textId="273220A8" w:rsidR="00531A13" w:rsidRDefault="00531A13" w:rsidP="00675C50">
      <w:pPr>
        <w:spacing w:after="0" w:line="240" w:lineRule="auto"/>
        <w:outlineLvl w:val="0"/>
        <w:rPr>
          <w:rFonts w:ascii="Times New Roman" w:eastAsia="Times New Roman" w:hAnsi="Times New Roman" w:cs="Times New Roman"/>
          <w:sz w:val="24"/>
          <w:szCs w:val="24"/>
        </w:rPr>
      </w:pPr>
    </w:p>
    <w:p w14:paraId="30E7F523" w14:textId="77777777" w:rsidR="00653FE1" w:rsidRPr="00653FE1" w:rsidRDefault="00653FE1" w:rsidP="00653FE1">
      <w:pPr>
        <w:spacing w:after="0" w:line="240" w:lineRule="auto"/>
        <w:ind w:left="360"/>
        <w:rPr>
          <w:rFonts w:ascii="Times New Roman" w:eastAsia="Times New Roman" w:hAnsi="Times New Roman" w:cs="Times New Roman"/>
          <w:sz w:val="24"/>
          <w:szCs w:val="24"/>
        </w:rPr>
      </w:pPr>
    </w:p>
    <w:p w14:paraId="4FC20997" w14:textId="58FB9FF9" w:rsidR="004F7A73" w:rsidRPr="004A003F" w:rsidRDefault="5F884969" w:rsidP="002F7C2E">
      <w:pPr>
        <w:spacing w:after="0" w:line="240" w:lineRule="auto"/>
        <w:ind w:left="360"/>
        <w:outlineLvl w:val="0"/>
        <w:rPr>
          <w:rFonts w:ascii="Times New Roman" w:eastAsia="Times New Roman" w:hAnsi="Times New Roman" w:cs="Times New Roman"/>
          <w:sz w:val="24"/>
          <w:szCs w:val="24"/>
        </w:rPr>
      </w:pPr>
      <w:r w:rsidRPr="5F884969">
        <w:rPr>
          <w:rFonts w:ascii="Calibri" w:eastAsia="Times New Roman" w:hAnsi="Calibri" w:cs="Times New Roman"/>
          <w:b/>
          <w:bCs/>
          <w:color w:val="000000" w:themeColor="text1"/>
        </w:rPr>
        <w:t>Interviews and Focus Groups:</w:t>
      </w:r>
    </w:p>
    <w:p w14:paraId="3BF5B771" w14:textId="7E968640" w:rsidR="004817A0"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 xml:space="preserve">Over the course of six months, from November 2016 to July 2017, the City structured an extensive series of interviews with two distinct sets of stakeholders: service providers and services beneficiaries including those eligible to receive services but who may not be currently receiving benefits. </w:t>
      </w:r>
    </w:p>
    <w:p w14:paraId="46570101" w14:textId="77777777" w:rsidR="00C43DCB" w:rsidRDefault="00C43DCB" w:rsidP="007A2C90">
      <w:pPr>
        <w:spacing w:after="0" w:line="240" w:lineRule="auto"/>
        <w:ind w:left="360"/>
        <w:rPr>
          <w:rFonts w:ascii="Calibri" w:eastAsia="Times New Roman" w:hAnsi="Calibri" w:cs="Times New Roman"/>
          <w:color w:val="000000"/>
        </w:rPr>
      </w:pPr>
    </w:p>
    <w:p w14:paraId="12CE60BA" w14:textId="41648F90" w:rsidR="00C43DCB"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The dates of these interviews are included here and a summary of comments are included in a following section.</w:t>
      </w:r>
    </w:p>
    <w:p w14:paraId="12617F7D" w14:textId="77777777" w:rsidR="00C43DCB" w:rsidRDefault="00C43DCB" w:rsidP="007A2C90">
      <w:pPr>
        <w:spacing w:after="0" w:line="240" w:lineRule="auto"/>
        <w:ind w:left="360"/>
        <w:rPr>
          <w:rFonts w:ascii="Calibri" w:eastAsia="Times New Roman" w:hAnsi="Calibri" w:cs="Times New Roman"/>
          <w:color w:val="000000"/>
        </w:rPr>
      </w:pPr>
    </w:p>
    <w:p w14:paraId="49E46725" w14:textId="353B95C7" w:rsidR="00C43DCB" w:rsidRDefault="5F884969" w:rsidP="002F7C2E">
      <w:pPr>
        <w:spacing w:after="0" w:line="240" w:lineRule="auto"/>
        <w:ind w:left="360"/>
        <w:outlineLvl w:val="0"/>
        <w:rPr>
          <w:rFonts w:ascii="Calibri" w:eastAsia="Times New Roman" w:hAnsi="Calibri" w:cs="Times New Roman"/>
          <w:color w:val="000000" w:themeColor="text1"/>
        </w:rPr>
      </w:pPr>
      <w:r w:rsidRPr="5F884969">
        <w:rPr>
          <w:rFonts w:ascii="Calibri" w:eastAsia="Times New Roman" w:hAnsi="Calibri" w:cs="Times New Roman"/>
          <w:color w:val="000000" w:themeColor="text1"/>
        </w:rPr>
        <w:t>Anew Place – homeless shelter/transitional housing provider – 4.14.17</w:t>
      </w:r>
    </w:p>
    <w:p w14:paraId="2B0D3874" w14:textId="50A9385F" w:rsidR="00C43DCB"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Cathedral Square – housing provider for senior population – 4.4.17</w:t>
      </w:r>
    </w:p>
    <w:p w14:paraId="42BC6631" w14:textId="36FF182D" w:rsidR="00C43DCB"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Champlain Housing Trust – affordable housing provider – 3.21.17</w:t>
      </w:r>
    </w:p>
    <w:p w14:paraId="773A0684" w14:textId="5A612A81" w:rsidR="00C22436"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Chittenden County Regional Planning Commission</w:t>
      </w:r>
      <w:r w:rsidR="009F1438">
        <w:rPr>
          <w:rFonts w:ascii="Calibri" w:eastAsia="Times New Roman" w:hAnsi="Calibri" w:cs="Times New Roman"/>
          <w:color w:val="000000" w:themeColor="text1"/>
        </w:rPr>
        <w:t xml:space="preserve"> 2.13.1</w:t>
      </w:r>
    </w:p>
    <w:p w14:paraId="04FBC554" w14:textId="05BCA9C7" w:rsidR="005B3D90"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Community Health Centers of Burlington – federally qualified health clinic – 4.6.17</w:t>
      </w:r>
    </w:p>
    <w:p w14:paraId="734F4DA3" w14:textId="7BE5F76D" w:rsidR="00C43DCB"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Decker Towers – RAD property with Burlington Housing Authority – series of meetings – 2.14/2.22</w:t>
      </w:r>
      <w:r w:rsidR="00BD554C">
        <w:rPr>
          <w:rFonts w:ascii="Calibri" w:eastAsia="Times New Roman" w:hAnsi="Calibri" w:cs="Times New Roman"/>
          <w:color w:val="000000" w:themeColor="text1"/>
        </w:rPr>
        <w:t>.17</w:t>
      </w:r>
    </w:p>
    <w:p w14:paraId="076203DA" w14:textId="51F16F22" w:rsidR="00C43DCB"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Howard Center – service provider for individuals with mental health and substance abuse issues</w:t>
      </w:r>
      <w:proofErr w:type="gramStart"/>
      <w:r w:rsidRPr="5F884969">
        <w:rPr>
          <w:rFonts w:ascii="Calibri" w:eastAsia="Times New Roman" w:hAnsi="Calibri" w:cs="Times New Roman"/>
          <w:color w:val="000000" w:themeColor="text1"/>
        </w:rPr>
        <w:t>-  4.17.17</w:t>
      </w:r>
      <w:proofErr w:type="gramEnd"/>
    </w:p>
    <w:p w14:paraId="307ECBAF" w14:textId="74F1F681" w:rsidR="0016089D"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Mayor’s Advisory Committee on Accessibility – 2.13.17</w:t>
      </w:r>
    </w:p>
    <w:p w14:paraId="1F426DC2" w14:textId="3BAB2A33" w:rsidR="0016089D"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Pathways Vermont – homeless provider, veterans, hardest to house – 3.31.17</w:t>
      </w:r>
    </w:p>
    <w:p w14:paraId="6BDEB5BF" w14:textId="2D3DB810" w:rsidR="005856A6"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South Square – RAD property – coffee with residents – 2.8.17</w:t>
      </w:r>
    </w:p>
    <w:p w14:paraId="15516B28" w14:textId="312F772D" w:rsidR="005B3D90"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Vermont Center for Independent Living – services for those with disabilities – 4.3.17</w:t>
      </w:r>
    </w:p>
    <w:p w14:paraId="2E1CFB18" w14:textId="59520B28" w:rsidR="00E30A97"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VNA Family Room – parent and child center – 4.24.17</w:t>
      </w:r>
    </w:p>
    <w:p w14:paraId="31C9DC62" w14:textId="62B18954" w:rsidR="005B3D90" w:rsidRDefault="5F884969" w:rsidP="5F884969">
      <w:pPr>
        <w:spacing w:after="0" w:line="240" w:lineRule="auto"/>
        <w:ind w:left="360"/>
        <w:rPr>
          <w:rFonts w:ascii="Calibri" w:eastAsia="Times New Roman" w:hAnsi="Calibri" w:cs="Times New Roman"/>
          <w:color w:val="000000" w:themeColor="text1"/>
        </w:rPr>
      </w:pPr>
      <w:r w:rsidRPr="5F884969">
        <w:rPr>
          <w:rFonts w:ascii="Calibri" w:eastAsia="Times New Roman" w:hAnsi="Calibri" w:cs="Times New Roman"/>
          <w:color w:val="000000" w:themeColor="text1"/>
        </w:rPr>
        <w:t>United Way of Northwest Vermont – community and philanthropic organization – 4.5.17</w:t>
      </w:r>
    </w:p>
    <w:p w14:paraId="697AB248" w14:textId="77777777" w:rsidR="0068270B" w:rsidRDefault="0068270B" w:rsidP="00653FE1">
      <w:pPr>
        <w:spacing w:after="0" w:line="240" w:lineRule="auto"/>
        <w:rPr>
          <w:rFonts w:ascii="Calibri" w:eastAsia="Times New Roman" w:hAnsi="Calibri" w:cs="Times New Roman"/>
          <w:color w:val="000000"/>
        </w:rPr>
      </w:pPr>
    </w:p>
    <w:p w14:paraId="62B0D1DC" w14:textId="0F70A357" w:rsidR="002052C9" w:rsidRPr="00653FE1" w:rsidRDefault="5F884969" w:rsidP="002F7C2E">
      <w:pPr>
        <w:spacing w:after="0" w:line="240" w:lineRule="auto"/>
        <w:ind w:left="360"/>
        <w:outlineLvl w:val="0"/>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Public Meetings</w:t>
      </w:r>
      <w:r w:rsidR="00653FE1">
        <w:rPr>
          <w:rFonts w:ascii="Calibri" w:eastAsia="Times New Roman" w:hAnsi="Calibri" w:cs="Times New Roman"/>
          <w:b/>
          <w:bCs/>
          <w:color w:val="000000" w:themeColor="text1"/>
        </w:rPr>
        <w:t>:</w:t>
      </w:r>
    </w:p>
    <w:p w14:paraId="5B991E33" w14:textId="078D94B1" w:rsidR="00FA1258" w:rsidRPr="00034DD9" w:rsidRDefault="5F884969" w:rsidP="5F884969">
      <w:pPr>
        <w:spacing w:after="0" w:line="240" w:lineRule="auto"/>
        <w:ind w:left="360"/>
        <w:rPr>
          <w:rFonts w:ascii="Calibri" w:eastAsia="Times New Roman" w:hAnsi="Calibri" w:cs="Times New Roman"/>
          <w:b/>
          <w:bCs/>
          <w:color w:val="000000" w:themeColor="text1"/>
        </w:rPr>
      </w:pPr>
      <w:r w:rsidRPr="00034DD9">
        <w:rPr>
          <w:rFonts w:ascii="Calibri" w:eastAsia="Times New Roman" w:hAnsi="Calibri" w:cs="Times New Roman"/>
          <w:color w:val="000000" w:themeColor="text1"/>
        </w:rPr>
        <w:lastRenderedPageBreak/>
        <w:t>As an effort to meet wi</w:t>
      </w:r>
      <w:r w:rsidR="00124EBB">
        <w:rPr>
          <w:rFonts w:ascii="Calibri" w:eastAsia="Times New Roman" w:hAnsi="Calibri" w:cs="Times New Roman"/>
          <w:color w:val="000000" w:themeColor="text1"/>
        </w:rPr>
        <w:t>th the entire community, the AF</w:t>
      </w:r>
      <w:r w:rsidRPr="00034DD9">
        <w:rPr>
          <w:rFonts w:ascii="Calibri" w:eastAsia="Times New Roman" w:hAnsi="Calibri" w:cs="Times New Roman"/>
          <w:color w:val="000000" w:themeColor="text1"/>
        </w:rPr>
        <w:t>H</w:t>
      </w:r>
      <w:r w:rsidR="00124EBB">
        <w:rPr>
          <w:rFonts w:ascii="Calibri" w:eastAsia="Times New Roman" w:hAnsi="Calibri" w:cs="Times New Roman"/>
          <w:color w:val="000000" w:themeColor="text1"/>
        </w:rPr>
        <w:t xml:space="preserve"> team</w:t>
      </w:r>
      <w:r w:rsidRPr="00034DD9">
        <w:rPr>
          <w:rFonts w:ascii="Calibri" w:eastAsia="Times New Roman" w:hAnsi="Calibri" w:cs="Times New Roman"/>
          <w:color w:val="000000" w:themeColor="text1"/>
        </w:rPr>
        <w:t xml:space="preserve"> discussed the project with participants of multiple Neighborhood Planning Assemblies (NPA</w:t>
      </w:r>
      <w:proofErr w:type="gramStart"/>
      <w:r w:rsidRPr="00034DD9">
        <w:rPr>
          <w:rFonts w:ascii="Calibri" w:eastAsia="Times New Roman" w:hAnsi="Calibri" w:cs="Times New Roman"/>
          <w:color w:val="000000" w:themeColor="text1"/>
        </w:rPr>
        <w:t>)s</w:t>
      </w:r>
      <w:proofErr w:type="gramEnd"/>
      <w:r w:rsidRPr="00034DD9">
        <w:rPr>
          <w:rFonts w:ascii="Calibri" w:eastAsia="Times New Roman" w:hAnsi="Calibri" w:cs="Times New Roman"/>
          <w:color w:val="000000" w:themeColor="text1"/>
        </w:rPr>
        <w:t>. The NPAs serve as a forum for members of the community to discuss issues and challenges related to their neighborhoods with their representatives City Councilors.</w:t>
      </w:r>
    </w:p>
    <w:p w14:paraId="25D9940D" w14:textId="77777777" w:rsidR="002052C9" w:rsidRPr="00034DD9" w:rsidRDefault="002052C9" w:rsidP="007A2C90">
      <w:pPr>
        <w:spacing w:after="0" w:line="240" w:lineRule="auto"/>
        <w:ind w:left="360"/>
        <w:rPr>
          <w:rFonts w:ascii="Calibri" w:eastAsia="Times New Roman" w:hAnsi="Calibri" w:cs="Times New Roman"/>
          <w:b/>
          <w:color w:val="000000"/>
        </w:rPr>
      </w:pPr>
    </w:p>
    <w:p w14:paraId="55853179" w14:textId="6D768356" w:rsidR="00FA1258" w:rsidRPr="00034DD9" w:rsidRDefault="5F884969" w:rsidP="5F884969">
      <w:pPr>
        <w:spacing w:after="0" w:line="240" w:lineRule="auto"/>
        <w:ind w:left="360"/>
        <w:rPr>
          <w:rFonts w:ascii="Calibri" w:eastAsia="Times New Roman" w:hAnsi="Calibri" w:cs="Times New Roman"/>
          <w:color w:val="000000" w:themeColor="text1"/>
        </w:rPr>
      </w:pPr>
      <w:r w:rsidRPr="00034DD9">
        <w:rPr>
          <w:rFonts w:ascii="Calibri" w:eastAsia="Times New Roman" w:hAnsi="Calibri" w:cs="Times New Roman"/>
          <w:i/>
          <w:iCs/>
          <w:color w:val="000000" w:themeColor="text1"/>
        </w:rPr>
        <w:t>Neighborhood Planning Assembly Ward 1 and 8:</w:t>
      </w:r>
      <w:r w:rsidRPr="00034DD9">
        <w:rPr>
          <w:rFonts w:ascii="Calibri" w:eastAsia="Times New Roman" w:hAnsi="Calibri" w:cs="Times New Roman"/>
          <w:color w:val="000000" w:themeColor="text1"/>
        </w:rPr>
        <w:t xml:space="preserve">  The AFFH team conducted a presentation and received feedback at the March 8, 2017 meeting. When presenting the AFFH, two challenges were cited as major impediments to fair housi</w:t>
      </w:r>
      <w:r w:rsidR="008A57A6">
        <w:rPr>
          <w:rFonts w:ascii="Calibri" w:eastAsia="Times New Roman" w:hAnsi="Calibri" w:cs="Times New Roman"/>
          <w:color w:val="000000" w:themeColor="text1"/>
        </w:rPr>
        <w:t xml:space="preserve">ng: affordability and inclusionary </w:t>
      </w:r>
      <w:r w:rsidRPr="00034DD9">
        <w:rPr>
          <w:rFonts w:ascii="Calibri" w:eastAsia="Times New Roman" w:hAnsi="Calibri" w:cs="Times New Roman"/>
          <w:color w:val="000000" w:themeColor="text1"/>
        </w:rPr>
        <w:t xml:space="preserve">zoning with apartments with less than five units. </w:t>
      </w:r>
    </w:p>
    <w:p w14:paraId="71C7D7EE" w14:textId="77777777" w:rsidR="00FA1258" w:rsidRPr="00034DD9" w:rsidRDefault="00FA1258" w:rsidP="00FA1258">
      <w:pPr>
        <w:spacing w:after="240" w:line="240" w:lineRule="auto"/>
        <w:rPr>
          <w:rFonts w:ascii="Times New Roman" w:eastAsia="Times New Roman" w:hAnsi="Times New Roman" w:cs="Times New Roman"/>
        </w:rPr>
      </w:pPr>
    </w:p>
    <w:p w14:paraId="1AB3B1A9" w14:textId="00E406F2" w:rsidR="00FA1258" w:rsidRPr="00034DD9" w:rsidRDefault="5F884969" w:rsidP="5F884969">
      <w:pPr>
        <w:spacing w:after="0" w:line="240" w:lineRule="auto"/>
        <w:ind w:left="360"/>
        <w:rPr>
          <w:rFonts w:ascii="Calibri" w:eastAsia="Times New Roman" w:hAnsi="Calibri" w:cs="Times New Roman"/>
          <w:color w:val="000000" w:themeColor="text1"/>
        </w:rPr>
      </w:pPr>
      <w:r w:rsidRPr="00034DD9">
        <w:rPr>
          <w:rFonts w:ascii="Calibri" w:eastAsia="Times New Roman" w:hAnsi="Calibri" w:cs="Times New Roman"/>
          <w:i/>
          <w:iCs/>
          <w:color w:val="000000" w:themeColor="text1"/>
        </w:rPr>
        <w:t>Neig</w:t>
      </w:r>
      <w:r w:rsidR="00423515">
        <w:rPr>
          <w:rFonts w:ascii="Calibri" w:eastAsia="Times New Roman" w:hAnsi="Calibri" w:cs="Times New Roman"/>
          <w:i/>
          <w:iCs/>
          <w:color w:val="000000" w:themeColor="text1"/>
        </w:rPr>
        <w:t>hborhood Planning Assembly Ward</w:t>
      </w:r>
      <w:r w:rsidRPr="00034DD9">
        <w:rPr>
          <w:rFonts w:ascii="Calibri" w:eastAsia="Times New Roman" w:hAnsi="Calibri" w:cs="Times New Roman"/>
          <w:i/>
          <w:iCs/>
          <w:color w:val="000000" w:themeColor="text1"/>
        </w:rPr>
        <w:t xml:space="preserve"> 6: </w:t>
      </w:r>
      <w:r w:rsidRPr="00034DD9">
        <w:rPr>
          <w:rFonts w:ascii="Calibri" w:eastAsia="Times New Roman" w:hAnsi="Calibri" w:cs="Times New Roman"/>
          <w:color w:val="000000" w:themeColor="text1"/>
        </w:rPr>
        <w:t xml:space="preserve">The AFFH team conducted a focus group with members of the Ward 5 and 6 Neighborhood planning committee on March 2, 2017. This meeting was an open-ended discussion centered on the major impediments to fair housing. </w:t>
      </w:r>
    </w:p>
    <w:p w14:paraId="5DE45E21" w14:textId="77777777" w:rsidR="00FA1258" w:rsidRPr="00034DD9" w:rsidRDefault="00FA1258" w:rsidP="00FA1258">
      <w:pPr>
        <w:spacing w:after="0" w:line="240" w:lineRule="auto"/>
        <w:ind w:left="360"/>
        <w:rPr>
          <w:rFonts w:ascii="Times New Roman" w:eastAsia="Times New Roman" w:hAnsi="Times New Roman" w:cs="Times New Roman"/>
        </w:rPr>
      </w:pPr>
    </w:p>
    <w:p w14:paraId="1CFC060F" w14:textId="09EFBBCC" w:rsidR="00FA1258" w:rsidRPr="00034DD9" w:rsidRDefault="5F884969" w:rsidP="5F884969">
      <w:pPr>
        <w:spacing w:after="0" w:line="240" w:lineRule="auto"/>
        <w:ind w:left="360"/>
        <w:rPr>
          <w:rFonts w:eastAsia="Times New Roman" w:cs="Times New Roman"/>
        </w:rPr>
      </w:pPr>
      <w:r w:rsidRPr="00034DD9">
        <w:rPr>
          <w:rFonts w:eastAsia="Times New Roman" w:cs="Times New Roman"/>
          <w:i/>
          <w:iCs/>
        </w:rPr>
        <w:t xml:space="preserve">City Council – </w:t>
      </w:r>
      <w:r w:rsidR="006C28FC">
        <w:rPr>
          <w:rFonts w:eastAsia="Times New Roman" w:cs="Times New Roman"/>
        </w:rPr>
        <w:t xml:space="preserve">A public hearing was </w:t>
      </w:r>
      <w:r w:rsidRPr="00034DD9">
        <w:rPr>
          <w:rFonts w:eastAsia="Times New Roman" w:cs="Times New Roman"/>
        </w:rPr>
        <w:t xml:space="preserve">held at the Burlington City Council on Monday, September 18, 2017. </w:t>
      </w:r>
    </w:p>
    <w:p w14:paraId="4C3DF7E3" w14:textId="77777777" w:rsidR="007A2C90" w:rsidRPr="00FA2C50" w:rsidRDefault="007A2C90" w:rsidP="00653FE1">
      <w:pPr>
        <w:spacing w:after="0" w:line="240" w:lineRule="auto"/>
        <w:rPr>
          <w:rFonts w:ascii="Times New Roman" w:eastAsia="Times New Roman" w:hAnsi="Times New Roman" w:cs="Times New Roman"/>
          <w:i/>
          <w:sz w:val="24"/>
          <w:szCs w:val="24"/>
        </w:rPr>
      </w:pPr>
    </w:p>
    <w:p w14:paraId="632AAF41" w14:textId="6FC659C5" w:rsidR="00531A13" w:rsidRPr="00FA2C50" w:rsidRDefault="5F884969" w:rsidP="002F7C2E">
      <w:pPr>
        <w:pStyle w:val="Heading4"/>
        <w:ind w:left="360"/>
        <w:rPr>
          <w:rStyle w:val="Emphasis1"/>
          <w:rFonts w:ascii="Calibri" w:hAnsi="Calibri"/>
          <w:b/>
          <w:bCs/>
          <w:i/>
          <w:color w:val="auto"/>
          <w:sz w:val="22"/>
          <w:szCs w:val="22"/>
        </w:rPr>
      </w:pPr>
      <w:r w:rsidRPr="00FA2C50">
        <w:rPr>
          <w:rStyle w:val="Emphasis1"/>
          <w:rFonts w:ascii="Calibri" w:hAnsi="Calibri"/>
          <w:b/>
          <w:bCs/>
          <w:i/>
          <w:color w:val="auto"/>
          <w:sz w:val="22"/>
          <w:szCs w:val="22"/>
        </w:rPr>
        <w:t>Provide a list of organizations consulted during the community participation process.</w:t>
      </w:r>
    </w:p>
    <w:p w14:paraId="44886D7A" w14:textId="77777777" w:rsidR="008B027E" w:rsidRPr="008B027E" w:rsidRDefault="008B027E" w:rsidP="008B027E"/>
    <w:p w14:paraId="18462CAB" w14:textId="7BD36464"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Mayor’s Advisory Committee on Accessibility</w:t>
      </w:r>
    </w:p>
    <w:p w14:paraId="572C6AB8"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ANEW Pace</w:t>
      </w:r>
    </w:p>
    <w:p w14:paraId="5E070370" w14:textId="77BF467D"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 xml:space="preserve">Burlington </w:t>
      </w:r>
      <w:proofErr w:type="spellStart"/>
      <w:r w:rsidRPr="5F884969">
        <w:rPr>
          <w:rFonts w:ascii="Calibri" w:eastAsia="Times New Roman" w:hAnsi="Calibri" w:cs="Times New Roman"/>
          <w:color w:val="000000" w:themeColor="text1"/>
        </w:rPr>
        <w:t>Dismas</w:t>
      </w:r>
      <w:proofErr w:type="spellEnd"/>
      <w:r w:rsidRPr="5F884969">
        <w:rPr>
          <w:rFonts w:ascii="Calibri" w:eastAsia="Times New Roman" w:hAnsi="Calibri" w:cs="Times New Roman"/>
          <w:color w:val="000000" w:themeColor="text1"/>
        </w:rPr>
        <w:t xml:space="preserve"> House</w:t>
      </w:r>
    </w:p>
    <w:p w14:paraId="4E1BBD6C"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Cathedral Square</w:t>
      </w:r>
    </w:p>
    <w:p w14:paraId="193EBAFE"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Chittenden County Regional Planning Commission</w:t>
      </w:r>
    </w:p>
    <w:p w14:paraId="16986530"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Champlain Housing Trust</w:t>
      </w:r>
    </w:p>
    <w:p w14:paraId="6F6E9DC7"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Champlain Valley Office of Economic Opportunity</w:t>
      </w:r>
    </w:p>
    <w:p w14:paraId="01A7D61B"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Committee On Temporary Shelter</w:t>
      </w:r>
    </w:p>
    <w:p w14:paraId="1ECD7233"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Community Health Centers of Burlington</w:t>
      </w:r>
    </w:p>
    <w:p w14:paraId="4AA2BE55"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proofErr w:type="spellStart"/>
      <w:r w:rsidRPr="5F884969">
        <w:rPr>
          <w:rFonts w:ascii="Calibri" w:eastAsia="Times New Roman" w:hAnsi="Calibri" w:cs="Times New Roman"/>
          <w:color w:val="000000" w:themeColor="text1"/>
        </w:rPr>
        <w:t>Homeshare</w:t>
      </w:r>
      <w:proofErr w:type="spellEnd"/>
      <w:r w:rsidRPr="5F884969">
        <w:rPr>
          <w:rFonts w:ascii="Calibri" w:eastAsia="Times New Roman" w:hAnsi="Calibri" w:cs="Times New Roman"/>
          <w:color w:val="000000" w:themeColor="text1"/>
        </w:rPr>
        <w:t xml:space="preserve"> Vermont</w:t>
      </w:r>
    </w:p>
    <w:p w14:paraId="606CA3DF"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Howard Center</w:t>
      </w:r>
    </w:p>
    <w:p w14:paraId="42D79434"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Pathways Vermont</w:t>
      </w:r>
    </w:p>
    <w:p w14:paraId="635D61D6"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Vermont Legal Aid</w:t>
      </w:r>
    </w:p>
    <w:p w14:paraId="107F2B82"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Vermont Housing Finance Agency</w:t>
      </w:r>
    </w:p>
    <w:p w14:paraId="79B4C8C1"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Vermont Center for Independent Living</w:t>
      </w:r>
    </w:p>
    <w:p w14:paraId="27868C9A" w14:textId="77777777" w:rsidR="00CB1517" w:rsidRPr="004A003F"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VNA Family Room</w:t>
      </w:r>
    </w:p>
    <w:p w14:paraId="6FCCA66A" w14:textId="5A55CAC5" w:rsidR="00CB1517"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United Way</w:t>
      </w:r>
      <w:r w:rsidR="006C28FC">
        <w:rPr>
          <w:rFonts w:ascii="Calibri" w:eastAsia="Times New Roman" w:hAnsi="Calibri" w:cs="Times New Roman"/>
          <w:color w:val="000000" w:themeColor="text1"/>
        </w:rPr>
        <w:t xml:space="preserve"> of Northwest Vermont</w:t>
      </w:r>
    </w:p>
    <w:p w14:paraId="0000147D" w14:textId="18435CDA" w:rsidR="00CB1517"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Chittenden County Homeless Alliance</w:t>
      </w:r>
    </w:p>
    <w:p w14:paraId="1E1EA241" w14:textId="2A5F0723" w:rsidR="00CB1517"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City of Burlington</w:t>
      </w:r>
    </w:p>
    <w:p w14:paraId="1AA1A4FB" w14:textId="57D0513A" w:rsidR="00CB1517"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Burlington Housing Authority</w:t>
      </w:r>
    </w:p>
    <w:p w14:paraId="6673E4EC" w14:textId="0AEA4DCB" w:rsidR="008B027E" w:rsidRDefault="5F884969" w:rsidP="009A2CF5">
      <w:pPr>
        <w:numPr>
          <w:ilvl w:val="0"/>
          <w:numId w:val="25"/>
        </w:numPr>
        <w:spacing w:after="0" w:line="240" w:lineRule="auto"/>
        <w:ind w:left="1440"/>
        <w:textAlignment w:val="baseline"/>
        <w:rPr>
          <w:rFonts w:ascii="Calibri" w:eastAsia="Times New Roman" w:hAnsi="Calibri" w:cs="Times New Roman"/>
          <w:color w:val="000000" w:themeColor="text1"/>
        </w:rPr>
      </w:pPr>
      <w:r w:rsidRPr="5F884969">
        <w:rPr>
          <w:rFonts w:ascii="Calibri" w:eastAsia="Times New Roman" w:hAnsi="Calibri" w:cs="Times New Roman"/>
          <w:color w:val="000000" w:themeColor="text1"/>
        </w:rPr>
        <w:t>Winooski Housing Authority</w:t>
      </w:r>
    </w:p>
    <w:p w14:paraId="45BE338E" w14:textId="1FC1042D" w:rsidR="00FB46A4" w:rsidRDefault="00FB46A4" w:rsidP="009A2CF5">
      <w:pPr>
        <w:numPr>
          <w:ilvl w:val="0"/>
          <w:numId w:val="25"/>
        </w:numPr>
        <w:spacing w:after="0" w:line="240" w:lineRule="auto"/>
        <w:ind w:left="1440"/>
        <w:textAlignment w:val="baseline"/>
        <w:rPr>
          <w:rFonts w:ascii="Calibri" w:eastAsia="Times New Roman" w:hAnsi="Calibri" w:cs="Times New Roman"/>
          <w:color w:val="000000" w:themeColor="text1"/>
        </w:rPr>
      </w:pPr>
      <w:r>
        <w:rPr>
          <w:rFonts w:ascii="Calibri" w:eastAsia="Times New Roman" w:hAnsi="Calibri" w:cs="Times New Roman"/>
          <w:color w:val="000000" w:themeColor="text1"/>
        </w:rPr>
        <w:t>Associations of Africans Living in Vermont</w:t>
      </w:r>
    </w:p>
    <w:p w14:paraId="5373E264" w14:textId="3C9E5CC6" w:rsidR="00FB46A4" w:rsidRDefault="00041A1B" w:rsidP="009A2CF5">
      <w:pPr>
        <w:numPr>
          <w:ilvl w:val="0"/>
          <w:numId w:val="25"/>
        </w:numPr>
        <w:spacing w:after="0" w:line="240" w:lineRule="auto"/>
        <w:ind w:left="1440"/>
        <w:textAlignment w:val="baseline"/>
        <w:rPr>
          <w:rFonts w:ascii="Calibri" w:eastAsia="Times New Roman" w:hAnsi="Calibri" w:cs="Times New Roman"/>
          <w:color w:val="000000" w:themeColor="text1"/>
        </w:rPr>
      </w:pPr>
      <w:r>
        <w:rPr>
          <w:rFonts w:ascii="Calibri" w:eastAsia="Times New Roman" w:hAnsi="Calibri" w:cs="Times New Roman"/>
          <w:color w:val="000000" w:themeColor="text1"/>
        </w:rPr>
        <w:t>Vermont Refugee Resettlement Program</w:t>
      </w:r>
    </w:p>
    <w:p w14:paraId="69C92D86" w14:textId="77777777" w:rsidR="00FA3DBE" w:rsidRPr="00653FE1" w:rsidRDefault="00FA3DBE" w:rsidP="00FA3DBE">
      <w:pPr>
        <w:spacing w:after="0" w:line="240" w:lineRule="auto"/>
        <w:ind w:left="1440"/>
        <w:textAlignment w:val="baseline"/>
        <w:rPr>
          <w:rFonts w:ascii="Calibri" w:eastAsia="Times New Roman" w:hAnsi="Calibri" w:cs="Times New Roman"/>
          <w:color w:val="000000" w:themeColor="text1"/>
        </w:rPr>
      </w:pPr>
    </w:p>
    <w:p w14:paraId="42A4EE0F" w14:textId="77777777" w:rsidR="00531A13" w:rsidRPr="00CF7688" w:rsidRDefault="00531A13" w:rsidP="00531A13">
      <w:pPr>
        <w:pStyle w:val="ListParagraph"/>
        <w:ind w:left="360"/>
        <w:rPr>
          <w:rFonts w:ascii="Calibri" w:hAnsi="Calibri"/>
        </w:rPr>
      </w:pPr>
    </w:p>
    <w:p w14:paraId="4C4D94D5" w14:textId="5FDD4B24" w:rsidR="00531A13" w:rsidRPr="00FA2C50" w:rsidRDefault="5F884969" w:rsidP="5F884969">
      <w:pPr>
        <w:pStyle w:val="ListParagraph"/>
        <w:ind w:left="360"/>
        <w:rPr>
          <w:rStyle w:val="Emphasis1"/>
          <w:rFonts w:ascii="Calibri" w:hAnsi="Calibri"/>
          <w:b/>
          <w:bCs/>
          <w:color w:val="auto"/>
        </w:rPr>
      </w:pPr>
      <w:r w:rsidRPr="00FA2C50">
        <w:rPr>
          <w:rStyle w:val="Emphasis1"/>
          <w:rFonts w:ascii="Calibri" w:hAnsi="Calibri"/>
          <w:b/>
          <w:bCs/>
          <w:color w:val="auto"/>
        </w:rPr>
        <w:t xml:space="preserve">Describe whether the outreach activities elicited broad community participation during the development of the AFH.  If there was low participation, or low participation among </w:t>
      </w:r>
      <w:r w:rsidRPr="00FA2C50">
        <w:rPr>
          <w:rStyle w:val="Emphasis1"/>
          <w:rFonts w:ascii="Calibri" w:hAnsi="Calibri"/>
          <w:b/>
          <w:bCs/>
          <w:color w:val="auto"/>
        </w:rPr>
        <w:lastRenderedPageBreak/>
        <w:t>particular protected class groups, what additional steps might improve or increase community participation in the future, including overall participation or among specific protected class groups?</w:t>
      </w:r>
    </w:p>
    <w:p w14:paraId="4AB0C782" w14:textId="77777777" w:rsidR="000E4132" w:rsidRPr="000E4132" w:rsidRDefault="007B7C32" w:rsidP="000E4132">
      <w:pPr>
        <w:pStyle w:val="NormalWeb"/>
        <w:ind w:left="360"/>
        <w:rPr>
          <w:rFonts w:ascii="Arial" w:hAnsi="Arial" w:cs="Arial"/>
          <w:color w:val="333333"/>
          <w:sz w:val="20"/>
          <w:szCs w:val="20"/>
        </w:rPr>
      </w:pPr>
      <w:r>
        <w:rPr>
          <w:rStyle w:val="Emphasis1"/>
          <w:rFonts w:ascii="Calibri" w:hAnsi="Calibri"/>
          <w:i w:val="0"/>
          <w:color w:val="auto"/>
        </w:rPr>
        <w:t xml:space="preserve"> </w:t>
      </w:r>
      <w:r w:rsidR="000E4132" w:rsidRPr="000E4132">
        <w:rPr>
          <w:rFonts w:ascii="Arial" w:hAnsi="Arial" w:cs="Arial"/>
          <w:color w:val="333333"/>
          <w:sz w:val="20"/>
          <w:szCs w:val="20"/>
        </w:rPr>
        <w:t>The City of Burlington received broad community participation and feedback during the development of the AFH including participation from the homeless, New Americans, those with limited English proficiency, disabled and people of color. Our non-profit organizations, housing authorities, interns of color, and outreach events were invaluable in reaching a diverse audience.</w:t>
      </w:r>
    </w:p>
    <w:p w14:paraId="6376A43B" w14:textId="4DBCF63D" w:rsidR="00653FE1" w:rsidRPr="00CF7688" w:rsidRDefault="00653FE1" w:rsidP="00531A13">
      <w:pPr>
        <w:pStyle w:val="ListParagraph"/>
        <w:ind w:left="360"/>
        <w:rPr>
          <w:rFonts w:ascii="Calibri" w:hAnsi="Calibri"/>
        </w:rPr>
      </w:pPr>
    </w:p>
    <w:p w14:paraId="123F4BAB" w14:textId="425F784F" w:rsidR="00531A13" w:rsidRPr="00FA2C50" w:rsidRDefault="5F884969" w:rsidP="00FA2C50">
      <w:pPr>
        <w:ind w:left="360"/>
        <w:rPr>
          <w:rStyle w:val="Emphasis1"/>
          <w:rFonts w:ascii="Calibri" w:hAnsi="Calibri"/>
          <w:b/>
          <w:bCs/>
          <w:color w:val="auto"/>
        </w:rPr>
      </w:pPr>
      <w:r w:rsidRPr="00FA2C50">
        <w:rPr>
          <w:rStyle w:val="Emphasis1"/>
          <w:rFonts w:ascii="Calibri" w:hAnsi="Calibri"/>
          <w:b/>
          <w:bCs/>
          <w:color w:val="auto"/>
        </w:rPr>
        <w:t xml:space="preserve">Summarize all comments obtained in the community participation process.  Include a summary of any comments or views not accepted and the reasons why. </w:t>
      </w:r>
    </w:p>
    <w:p w14:paraId="214691C6" w14:textId="77777777" w:rsidR="00531A13" w:rsidRPr="00457FA2" w:rsidRDefault="00531A13" w:rsidP="00531A13">
      <w:pPr>
        <w:pStyle w:val="ListParagraph"/>
        <w:ind w:left="360"/>
        <w:rPr>
          <w:rStyle w:val="Emphasis1"/>
        </w:rPr>
      </w:pPr>
    </w:p>
    <w:p w14:paraId="52BC1418" w14:textId="72B01278" w:rsidR="001F0071" w:rsidRPr="004A003F" w:rsidRDefault="001F0071" w:rsidP="001F0071">
      <w:pPr>
        <w:spacing w:after="0" w:line="240" w:lineRule="auto"/>
        <w:ind w:left="360"/>
        <w:rPr>
          <w:rFonts w:ascii="Times New Roman" w:eastAsia="Times New Roman" w:hAnsi="Times New Roman" w:cs="Times New Roman"/>
          <w:sz w:val="24"/>
          <w:szCs w:val="24"/>
        </w:rPr>
      </w:pPr>
      <w:r w:rsidRPr="004A003F">
        <w:rPr>
          <w:rFonts w:ascii="Calibri" w:eastAsia="Times New Roman" w:hAnsi="Calibri" w:cs="Times New Roman"/>
          <w:color w:val="000000"/>
        </w:rPr>
        <w:t>Of the interviews conducted, the following list contains the most frequently cited</w:t>
      </w:r>
      <w:r>
        <w:rPr>
          <w:rFonts w:ascii="Calibri" w:eastAsia="Times New Roman" w:hAnsi="Calibri" w:cs="Times New Roman"/>
          <w:color w:val="000000"/>
        </w:rPr>
        <w:t xml:space="preserve"> comments regarding </w:t>
      </w:r>
      <w:r w:rsidRPr="004A003F">
        <w:rPr>
          <w:rFonts w:ascii="Calibri" w:eastAsia="Times New Roman" w:hAnsi="Calibri" w:cs="Times New Roman"/>
          <w:color w:val="000000"/>
        </w:rPr>
        <w:t xml:space="preserve">barriers to fair </w:t>
      </w:r>
      <w:r>
        <w:rPr>
          <w:rFonts w:ascii="Calibri" w:eastAsia="Times New Roman" w:hAnsi="Calibri" w:cs="Times New Roman"/>
          <w:color w:val="000000"/>
        </w:rPr>
        <w:t xml:space="preserve">housing are listed below. </w:t>
      </w:r>
    </w:p>
    <w:p w14:paraId="145BC0E7" w14:textId="77777777" w:rsidR="001F0071" w:rsidRPr="004A003F" w:rsidRDefault="001F0071" w:rsidP="001F0071">
      <w:pPr>
        <w:spacing w:after="0" w:line="240" w:lineRule="auto"/>
        <w:rPr>
          <w:rFonts w:ascii="Times New Roman" w:eastAsia="Times New Roman" w:hAnsi="Times New Roman" w:cs="Times New Roman"/>
          <w:sz w:val="24"/>
          <w:szCs w:val="24"/>
        </w:rPr>
      </w:pPr>
    </w:p>
    <w:p w14:paraId="1F040BC7" w14:textId="77777777" w:rsidR="001F0071" w:rsidRPr="004A003F" w:rsidRDefault="001F0071" w:rsidP="009A2CF5">
      <w:pPr>
        <w:numPr>
          <w:ilvl w:val="0"/>
          <w:numId w:val="30"/>
        </w:numPr>
        <w:spacing w:after="0" w:line="240" w:lineRule="auto"/>
        <w:textAlignment w:val="baseline"/>
        <w:rPr>
          <w:rFonts w:ascii="Calibri" w:eastAsia="Times New Roman" w:hAnsi="Calibri" w:cs="Times New Roman"/>
          <w:color w:val="000000"/>
        </w:rPr>
      </w:pPr>
      <w:r w:rsidRPr="004A003F">
        <w:rPr>
          <w:rFonts w:ascii="Calibri" w:eastAsia="Times New Roman" w:hAnsi="Calibri" w:cs="Times New Roman"/>
          <w:color w:val="000000"/>
        </w:rPr>
        <w:t>Lack of affordable housing stock</w:t>
      </w:r>
    </w:p>
    <w:p w14:paraId="79448B0F" w14:textId="49C2E24C" w:rsidR="001F0071" w:rsidRPr="004A003F" w:rsidRDefault="004756C1" w:rsidP="009A2CF5">
      <w:pPr>
        <w:numPr>
          <w:ilvl w:val="0"/>
          <w:numId w:val="30"/>
        </w:num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Non</w:t>
      </w:r>
      <w:r w:rsidR="001F0071" w:rsidRPr="004A003F">
        <w:rPr>
          <w:rFonts w:ascii="Calibri" w:eastAsia="Times New Roman" w:hAnsi="Calibri" w:cs="Times New Roman"/>
          <w:color w:val="000000"/>
        </w:rPr>
        <w:t>competitive housing vouchers</w:t>
      </w:r>
    </w:p>
    <w:p w14:paraId="5597C060" w14:textId="0F3B581D" w:rsidR="001F0071" w:rsidRPr="004A003F" w:rsidRDefault="001F0071" w:rsidP="009A2CF5">
      <w:pPr>
        <w:numPr>
          <w:ilvl w:val="0"/>
          <w:numId w:val="30"/>
        </w:numPr>
        <w:spacing w:after="0" w:line="240" w:lineRule="auto"/>
        <w:textAlignment w:val="baseline"/>
        <w:rPr>
          <w:rFonts w:ascii="Calibri" w:eastAsia="Times New Roman" w:hAnsi="Calibri" w:cs="Times New Roman"/>
          <w:color w:val="000000"/>
        </w:rPr>
      </w:pPr>
      <w:r w:rsidRPr="004A003F">
        <w:rPr>
          <w:rFonts w:ascii="Calibri" w:eastAsia="Times New Roman" w:hAnsi="Calibri" w:cs="Times New Roman"/>
          <w:color w:val="000000"/>
        </w:rPr>
        <w:t>Polic</w:t>
      </w:r>
      <w:r>
        <w:rPr>
          <w:rFonts w:ascii="Calibri" w:eastAsia="Times New Roman" w:hAnsi="Calibri" w:cs="Times New Roman"/>
          <w:color w:val="000000"/>
        </w:rPr>
        <w:t xml:space="preserve">ies and Practices of PHA </w:t>
      </w:r>
    </w:p>
    <w:p w14:paraId="39BBFB84" w14:textId="0550BF35" w:rsidR="001F0071" w:rsidRPr="004A003F" w:rsidRDefault="001F0071" w:rsidP="009A2CF5">
      <w:pPr>
        <w:numPr>
          <w:ilvl w:val="0"/>
          <w:numId w:val="30"/>
        </w:numPr>
        <w:spacing w:after="0" w:line="240" w:lineRule="auto"/>
        <w:textAlignment w:val="baseline"/>
        <w:rPr>
          <w:rFonts w:ascii="Calibri" w:eastAsia="Times New Roman" w:hAnsi="Calibri" w:cs="Times New Roman"/>
          <w:color w:val="000000"/>
        </w:rPr>
      </w:pPr>
      <w:r>
        <w:rPr>
          <w:rFonts w:ascii="Calibri" w:eastAsia="Times New Roman" w:hAnsi="Calibri" w:cs="Times New Roman"/>
          <w:color w:val="000000"/>
        </w:rPr>
        <w:t>A lack of economic opportunity</w:t>
      </w:r>
    </w:p>
    <w:p w14:paraId="7BACCC38" w14:textId="77777777" w:rsidR="001F0071" w:rsidRPr="004A003F" w:rsidRDefault="001F0071" w:rsidP="009A2CF5">
      <w:pPr>
        <w:numPr>
          <w:ilvl w:val="0"/>
          <w:numId w:val="30"/>
        </w:numPr>
        <w:spacing w:after="0" w:line="240" w:lineRule="auto"/>
        <w:textAlignment w:val="baseline"/>
        <w:rPr>
          <w:rFonts w:ascii="Calibri" w:eastAsia="Times New Roman" w:hAnsi="Calibri" w:cs="Times New Roman"/>
          <w:color w:val="000000"/>
        </w:rPr>
      </w:pPr>
      <w:r w:rsidRPr="004A003F">
        <w:rPr>
          <w:rFonts w:ascii="Calibri" w:eastAsia="Times New Roman" w:hAnsi="Calibri" w:cs="Times New Roman"/>
          <w:color w:val="000000"/>
        </w:rPr>
        <w:t>Shortage of available Vouchers</w:t>
      </w:r>
    </w:p>
    <w:p w14:paraId="2F23754F" w14:textId="77777777" w:rsidR="001F0071" w:rsidRPr="004A003F" w:rsidRDefault="001F0071" w:rsidP="009A2CF5">
      <w:pPr>
        <w:numPr>
          <w:ilvl w:val="0"/>
          <w:numId w:val="30"/>
        </w:numPr>
        <w:spacing w:after="0" w:line="240" w:lineRule="auto"/>
        <w:textAlignment w:val="baseline"/>
        <w:rPr>
          <w:rFonts w:ascii="Calibri" w:eastAsia="Times New Roman" w:hAnsi="Calibri" w:cs="Times New Roman"/>
          <w:color w:val="000000"/>
        </w:rPr>
      </w:pPr>
      <w:r w:rsidRPr="004A003F">
        <w:rPr>
          <w:rFonts w:ascii="Calibri" w:eastAsia="Times New Roman" w:hAnsi="Calibri" w:cs="Times New Roman"/>
          <w:color w:val="000000"/>
        </w:rPr>
        <w:t>Ineffective General Assistance Benefits</w:t>
      </w:r>
    </w:p>
    <w:p w14:paraId="7E582000" w14:textId="77777777" w:rsidR="001F0071" w:rsidRPr="004A003F" w:rsidRDefault="001F0071" w:rsidP="009A2CF5">
      <w:pPr>
        <w:numPr>
          <w:ilvl w:val="0"/>
          <w:numId w:val="30"/>
        </w:numPr>
        <w:spacing w:after="0" w:line="240" w:lineRule="auto"/>
        <w:textAlignment w:val="baseline"/>
        <w:rPr>
          <w:rFonts w:ascii="Calibri" w:eastAsia="Times New Roman" w:hAnsi="Calibri" w:cs="Times New Roman"/>
          <w:color w:val="000000"/>
        </w:rPr>
      </w:pPr>
      <w:r w:rsidRPr="004A003F">
        <w:rPr>
          <w:rFonts w:ascii="Calibri" w:eastAsia="Times New Roman" w:hAnsi="Calibri" w:cs="Times New Roman"/>
          <w:color w:val="000000"/>
        </w:rPr>
        <w:t>Limited Transportation Options</w:t>
      </w:r>
    </w:p>
    <w:p w14:paraId="15D0AB12" w14:textId="77777777" w:rsidR="001F0071" w:rsidRPr="004A003F" w:rsidRDefault="001F0071" w:rsidP="009A2CF5">
      <w:pPr>
        <w:numPr>
          <w:ilvl w:val="0"/>
          <w:numId w:val="30"/>
        </w:numPr>
        <w:spacing w:after="0" w:line="240" w:lineRule="auto"/>
        <w:textAlignment w:val="baseline"/>
        <w:rPr>
          <w:rFonts w:ascii="Calibri" w:eastAsia="Times New Roman" w:hAnsi="Calibri" w:cs="Times New Roman"/>
          <w:color w:val="000000"/>
        </w:rPr>
      </w:pPr>
      <w:r w:rsidRPr="004A003F">
        <w:rPr>
          <w:rFonts w:ascii="Calibri" w:eastAsia="Times New Roman" w:hAnsi="Calibri" w:cs="Times New Roman"/>
          <w:color w:val="000000"/>
        </w:rPr>
        <w:t>Private Discrimination</w:t>
      </w:r>
    </w:p>
    <w:p w14:paraId="013F89D0" w14:textId="77777777" w:rsidR="001F0071" w:rsidRPr="004A003F" w:rsidRDefault="001F0071" w:rsidP="001F0071">
      <w:pPr>
        <w:spacing w:after="0" w:line="240" w:lineRule="auto"/>
        <w:rPr>
          <w:rFonts w:ascii="Times New Roman" w:eastAsia="Times New Roman" w:hAnsi="Times New Roman" w:cs="Times New Roman"/>
          <w:sz w:val="24"/>
          <w:szCs w:val="24"/>
        </w:rPr>
      </w:pPr>
    </w:p>
    <w:p w14:paraId="7D96B3D8" w14:textId="2781A8EC" w:rsidR="001F0071" w:rsidRPr="004A003F" w:rsidRDefault="001F0071" w:rsidP="006926FA">
      <w:pPr>
        <w:spacing w:after="0" w:line="240" w:lineRule="auto"/>
        <w:ind w:left="360"/>
        <w:rPr>
          <w:rFonts w:ascii="Times New Roman" w:eastAsia="Times New Roman" w:hAnsi="Times New Roman" w:cs="Times New Roman"/>
          <w:sz w:val="24"/>
          <w:szCs w:val="24"/>
        </w:rPr>
      </w:pPr>
      <w:r>
        <w:rPr>
          <w:rFonts w:ascii="Calibri" w:eastAsia="Times New Roman" w:hAnsi="Calibri" w:cs="Times New Roman"/>
          <w:i/>
          <w:iCs/>
          <w:color w:val="000000"/>
        </w:rPr>
        <w:t xml:space="preserve">Mayor’s </w:t>
      </w:r>
      <w:r w:rsidRPr="004A003F">
        <w:rPr>
          <w:rFonts w:ascii="Calibri" w:eastAsia="Times New Roman" w:hAnsi="Calibri" w:cs="Times New Roman"/>
          <w:i/>
          <w:iCs/>
          <w:color w:val="000000"/>
        </w:rPr>
        <w:t>Advisory Committee on Accessibility:</w:t>
      </w:r>
      <w:r>
        <w:rPr>
          <w:rFonts w:ascii="Calibri" w:eastAsia="Times New Roman" w:hAnsi="Calibri" w:cs="Times New Roman"/>
          <w:color w:val="000000"/>
        </w:rPr>
        <w:t xml:space="preserve"> On February 13th, 2017 - P</w:t>
      </w:r>
      <w:r w:rsidRPr="004A003F">
        <w:rPr>
          <w:rFonts w:ascii="Calibri" w:eastAsia="Times New Roman" w:hAnsi="Calibri" w:cs="Times New Roman"/>
          <w:color w:val="000000"/>
        </w:rPr>
        <w:t xml:space="preserve">articipants were adamant about making changes to the city’s marketplaces and storefronts to make them more accessible to individuals with disabilities. In addition, members discussed experiences and challenges regarding integration/segregation of disabled populations, as well as the over-institutionalization and medicalization of living arrangements and transportation for those with disabilities, both mental and physical. </w:t>
      </w:r>
    </w:p>
    <w:p w14:paraId="197E6A05" w14:textId="77777777" w:rsidR="001F0071" w:rsidRPr="004A003F" w:rsidRDefault="001F0071" w:rsidP="006926FA">
      <w:pPr>
        <w:spacing w:after="0" w:line="240" w:lineRule="auto"/>
        <w:ind w:left="360"/>
        <w:rPr>
          <w:rFonts w:ascii="Times New Roman" w:eastAsia="Times New Roman" w:hAnsi="Times New Roman" w:cs="Times New Roman"/>
          <w:sz w:val="24"/>
          <w:szCs w:val="24"/>
        </w:rPr>
      </w:pPr>
    </w:p>
    <w:p w14:paraId="21B60D45" w14:textId="13E09E4C" w:rsidR="001F0071" w:rsidRPr="004A003F" w:rsidRDefault="001F0071" w:rsidP="006926FA">
      <w:pPr>
        <w:spacing w:after="0" w:line="240" w:lineRule="auto"/>
        <w:ind w:left="360"/>
        <w:rPr>
          <w:rFonts w:ascii="Times New Roman" w:eastAsia="Times New Roman" w:hAnsi="Times New Roman" w:cs="Times New Roman"/>
          <w:sz w:val="24"/>
          <w:szCs w:val="24"/>
        </w:rPr>
      </w:pPr>
      <w:r w:rsidRPr="004A003F">
        <w:rPr>
          <w:rFonts w:ascii="Calibri" w:eastAsia="Times New Roman" w:hAnsi="Calibri" w:cs="Times New Roman"/>
          <w:i/>
          <w:iCs/>
          <w:color w:val="000000"/>
        </w:rPr>
        <w:t>ANEW Place:</w:t>
      </w:r>
      <w:r>
        <w:rPr>
          <w:rFonts w:ascii="Calibri" w:eastAsia="Times New Roman" w:hAnsi="Calibri" w:cs="Times New Roman"/>
          <w:color w:val="000000"/>
        </w:rPr>
        <w:t xml:space="preserve"> </w:t>
      </w:r>
      <w:r w:rsidRPr="004A003F">
        <w:rPr>
          <w:rFonts w:ascii="Calibri" w:eastAsia="Times New Roman" w:hAnsi="Calibri" w:cs="Times New Roman"/>
          <w:color w:val="000000"/>
        </w:rPr>
        <w:t xml:space="preserve">April 14th, </w:t>
      </w:r>
      <w:r>
        <w:rPr>
          <w:rFonts w:ascii="Calibri" w:eastAsia="Times New Roman" w:hAnsi="Calibri" w:cs="Times New Roman"/>
          <w:color w:val="000000"/>
        </w:rPr>
        <w:t>2017 -</w:t>
      </w:r>
      <w:r w:rsidRPr="004A003F">
        <w:rPr>
          <w:rFonts w:ascii="Calibri" w:eastAsia="Times New Roman" w:hAnsi="Calibri" w:cs="Times New Roman"/>
          <w:color w:val="000000"/>
        </w:rPr>
        <w:t xml:space="preserve"> ANEW Place residents and Case Managers. Th</w:t>
      </w:r>
      <w:r>
        <w:rPr>
          <w:rFonts w:ascii="Calibri" w:eastAsia="Times New Roman" w:hAnsi="Calibri" w:cs="Times New Roman"/>
          <w:color w:val="000000"/>
        </w:rPr>
        <w:t>e most significant barriers cited</w:t>
      </w:r>
      <w:r w:rsidRPr="004A003F">
        <w:rPr>
          <w:rFonts w:ascii="Calibri" w:eastAsia="Times New Roman" w:hAnsi="Calibri" w:cs="Times New Roman"/>
          <w:color w:val="000000"/>
        </w:rPr>
        <w:t xml:space="preserve"> by both Case Managers and Residents included difficulty findings employment opportunity, addiction, and a lack of affordable housing stock. </w:t>
      </w:r>
    </w:p>
    <w:p w14:paraId="6027E688" w14:textId="77777777" w:rsidR="001F0071" w:rsidRPr="004A003F" w:rsidRDefault="001F0071" w:rsidP="006926FA">
      <w:pPr>
        <w:spacing w:after="0" w:line="240" w:lineRule="auto"/>
        <w:ind w:left="360"/>
        <w:rPr>
          <w:rFonts w:ascii="Times New Roman" w:eastAsia="Times New Roman" w:hAnsi="Times New Roman" w:cs="Times New Roman"/>
          <w:sz w:val="24"/>
          <w:szCs w:val="24"/>
        </w:rPr>
      </w:pPr>
    </w:p>
    <w:p w14:paraId="75C3E0C5" w14:textId="68799C21" w:rsidR="001F0071" w:rsidRPr="004A003F" w:rsidRDefault="001F0071" w:rsidP="006926FA">
      <w:pPr>
        <w:spacing w:after="0" w:line="240" w:lineRule="auto"/>
        <w:ind w:left="360"/>
        <w:rPr>
          <w:rFonts w:ascii="Times New Roman" w:eastAsia="Times New Roman" w:hAnsi="Times New Roman" w:cs="Times New Roman"/>
          <w:sz w:val="24"/>
          <w:szCs w:val="24"/>
        </w:rPr>
      </w:pPr>
      <w:r w:rsidRPr="004A003F">
        <w:rPr>
          <w:rFonts w:ascii="Calibri" w:eastAsia="Times New Roman" w:hAnsi="Calibri" w:cs="Times New Roman"/>
          <w:i/>
          <w:iCs/>
          <w:color w:val="000000"/>
        </w:rPr>
        <w:t>Cathedral Square:</w:t>
      </w:r>
      <w:r>
        <w:rPr>
          <w:rFonts w:ascii="Calibri" w:eastAsia="Times New Roman" w:hAnsi="Calibri" w:cs="Times New Roman"/>
          <w:color w:val="000000"/>
        </w:rPr>
        <w:t xml:space="preserve"> April 4th, 2017 - </w:t>
      </w:r>
      <w:r w:rsidRPr="004A003F">
        <w:rPr>
          <w:rFonts w:ascii="Calibri" w:eastAsia="Times New Roman" w:hAnsi="Calibri" w:cs="Times New Roman"/>
          <w:color w:val="000000"/>
        </w:rPr>
        <w:t>Cathedral Square, a major housing provider in the community for elderly popula</w:t>
      </w:r>
      <w:r w:rsidR="004756C1">
        <w:rPr>
          <w:rFonts w:ascii="Calibri" w:eastAsia="Times New Roman" w:hAnsi="Calibri" w:cs="Times New Roman"/>
          <w:color w:val="000000"/>
        </w:rPr>
        <w:t>tions which manages</w:t>
      </w:r>
      <w:r w:rsidRPr="004A003F">
        <w:rPr>
          <w:rFonts w:ascii="Calibri" w:eastAsia="Times New Roman" w:hAnsi="Calibri" w:cs="Times New Roman"/>
          <w:color w:val="000000"/>
        </w:rPr>
        <w:t xml:space="preserve"> 30 different properties in the county.  The most significant challenges noted were a limited number of available units, and the competitiveness created by certain policies to favor some groups over others (e.g. homeless versus. elderly, with a preference placed on homelessness). </w:t>
      </w:r>
    </w:p>
    <w:p w14:paraId="7692DEF2" w14:textId="77777777" w:rsidR="001F0071" w:rsidRPr="004A003F" w:rsidRDefault="001F0071" w:rsidP="006926FA">
      <w:pPr>
        <w:spacing w:after="0" w:line="240" w:lineRule="auto"/>
        <w:ind w:left="360"/>
        <w:rPr>
          <w:rFonts w:ascii="Times New Roman" w:eastAsia="Times New Roman" w:hAnsi="Times New Roman" w:cs="Times New Roman"/>
          <w:sz w:val="24"/>
          <w:szCs w:val="24"/>
        </w:rPr>
      </w:pPr>
    </w:p>
    <w:p w14:paraId="7B7FF401" w14:textId="5E8FA466" w:rsidR="001F0071" w:rsidRPr="004A003F" w:rsidRDefault="001F0071" w:rsidP="006926FA">
      <w:pPr>
        <w:spacing w:after="0" w:line="240" w:lineRule="auto"/>
        <w:ind w:left="360"/>
        <w:rPr>
          <w:rFonts w:ascii="Times New Roman" w:eastAsia="Times New Roman" w:hAnsi="Times New Roman" w:cs="Times New Roman"/>
          <w:sz w:val="24"/>
          <w:szCs w:val="24"/>
        </w:rPr>
      </w:pPr>
      <w:r w:rsidRPr="004A003F">
        <w:rPr>
          <w:rFonts w:ascii="Calibri" w:eastAsia="Times New Roman" w:hAnsi="Calibri" w:cs="Times New Roman"/>
          <w:i/>
          <w:iCs/>
          <w:color w:val="000000"/>
        </w:rPr>
        <w:t xml:space="preserve">Champlain Housing Trust: </w:t>
      </w:r>
      <w:r w:rsidRPr="004A003F">
        <w:rPr>
          <w:rFonts w:ascii="Calibri" w:eastAsia="Times New Roman" w:hAnsi="Calibri" w:cs="Times New Roman"/>
          <w:color w:val="000000"/>
        </w:rPr>
        <w:t>Ma</w:t>
      </w:r>
      <w:r w:rsidR="00830ABA">
        <w:rPr>
          <w:rFonts w:ascii="Calibri" w:eastAsia="Times New Roman" w:hAnsi="Calibri" w:cs="Times New Roman"/>
          <w:color w:val="000000"/>
        </w:rPr>
        <w:t xml:space="preserve">rch 21st, 2017 - </w:t>
      </w:r>
      <w:r w:rsidRPr="004A003F">
        <w:rPr>
          <w:rFonts w:ascii="Calibri" w:eastAsia="Times New Roman" w:hAnsi="Calibri" w:cs="Times New Roman"/>
          <w:color w:val="000000"/>
        </w:rPr>
        <w:t xml:space="preserve">Of the challenges cited, the most prevalent and emphasized were lack of private </w:t>
      </w:r>
      <w:proofErr w:type="gramStart"/>
      <w:r w:rsidRPr="004A003F">
        <w:rPr>
          <w:rFonts w:ascii="Calibri" w:eastAsia="Times New Roman" w:hAnsi="Calibri" w:cs="Times New Roman"/>
          <w:color w:val="000000"/>
        </w:rPr>
        <w:t>landlords</w:t>
      </w:r>
      <w:proofErr w:type="gramEnd"/>
      <w:r w:rsidRPr="004A003F">
        <w:rPr>
          <w:rFonts w:ascii="Calibri" w:eastAsia="Times New Roman" w:hAnsi="Calibri" w:cs="Times New Roman"/>
          <w:color w:val="000000"/>
        </w:rPr>
        <w:t xml:space="preserve"> willingness to make accommodations for those with </w:t>
      </w:r>
      <w:r w:rsidRPr="004A003F">
        <w:rPr>
          <w:rFonts w:ascii="Calibri" w:eastAsia="Times New Roman" w:hAnsi="Calibri" w:cs="Times New Roman"/>
          <w:color w:val="000000"/>
        </w:rPr>
        <w:lastRenderedPageBreak/>
        <w:t>disabilities, a lack of funding for service provision to homeless individuals, and language barriers with New American populations.  </w:t>
      </w:r>
    </w:p>
    <w:p w14:paraId="76C0C192" w14:textId="77777777" w:rsidR="001F0071" w:rsidRPr="004A003F" w:rsidRDefault="001F0071" w:rsidP="006926FA">
      <w:pPr>
        <w:spacing w:after="0" w:line="240" w:lineRule="auto"/>
        <w:ind w:left="360"/>
        <w:rPr>
          <w:rFonts w:ascii="Times New Roman" w:eastAsia="Times New Roman" w:hAnsi="Times New Roman" w:cs="Times New Roman"/>
          <w:sz w:val="24"/>
          <w:szCs w:val="24"/>
        </w:rPr>
      </w:pPr>
    </w:p>
    <w:p w14:paraId="5BCEFDF1" w14:textId="7BBA0DF4" w:rsidR="001F0071" w:rsidRPr="004A003F" w:rsidRDefault="001F0071" w:rsidP="006926FA">
      <w:pPr>
        <w:spacing w:after="0" w:line="240" w:lineRule="auto"/>
        <w:ind w:left="360"/>
        <w:rPr>
          <w:rFonts w:ascii="Times New Roman" w:eastAsia="Times New Roman" w:hAnsi="Times New Roman" w:cs="Times New Roman"/>
          <w:sz w:val="24"/>
          <w:szCs w:val="24"/>
        </w:rPr>
      </w:pPr>
      <w:r w:rsidRPr="004A003F">
        <w:rPr>
          <w:rFonts w:ascii="Calibri" w:eastAsia="Times New Roman" w:hAnsi="Calibri" w:cs="Times New Roman"/>
          <w:i/>
          <w:iCs/>
          <w:color w:val="000000"/>
        </w:rPr>
        <w:t>Decker Towers:</w:t>
      </w:r>
      <w:r w:rsidR="00154487">
        <w:rPr>
          <w:rFonts w:ascii="Calibri" w:eastAsia="Times New Roman" w:hAnsi="Calibri" w:cs="Times New Roman"/>
          <w:color w:val="000000"/>
        </w:rPr>
        <w:t xml:space="preserve"> </w:t>
      </w:r>
      <w:r w:rsidRPr="004A003F">
        <w:rPr>
          <w:rFonts w:ascii="Calibri" w:eastAsia="Times New Roman" w:hAnsi="Calibri" w:cs="Times New Roman"/>
          <w:color w:val="000000"/>
        </w:rPr>
        <w:t xml:space="preserve"> Over a series of meetings</w:t>
      </w:r>
      <w:r w:rsidR="00154487">
        <w:rPr>
          <w:rFonts w:ascii="Calibri" w:eastAsia="Times New Roman" w:hAnsi="Calibri" w:cs="Times New Roman"/>
          <w:color w:val="000000"/>
        </w:rPr>
        <w:t xml:space="preserve"> to include residents of Decker Towers, the largest  HUD Rental Assisted Development in Burlington</w:t>
      </w:r>
      <w:r w:rsidRPr="004A003F">
        <w:rPr>
          <w:rFonts w:ascii="Calibri" w:eastAsia="Times New Roman" w:hAnsi="Calibri" w:cs="Times New Roman"/>
          <w:color w:val="000000"/>
        </w:rPr>
        <w:t xml:space="preserve">, the residents expressed major concerns regarding incredibly long waitlists (as high as 10+ years), limited number of affordable housing units, and lack of employment opportunities. Additionally, a number of residents noted a few common concerns regarding their housing situation regarding safety, policies, and communication with administrative workers. </w:t>
      </w:r>
    </w:p>
    <w:p w14:paraId="2EF0E2CA" w14:textId="77777777" w:rsidR="001F0071" w:rsidRPr="004A003F" w:rsidRDefault="001F0071" w:rsidP="006926FA">
      <w:pPr>
        <w:spacing w:after="0" w:line="240" w:lineRule="auto"/>
        <w:ind w:left="360"/>
        <w:rPr>
          <w:rFonts w:ascii="Times New Roman" w:eastAsia="Times New Roman" w:hAnsi="Times New Roman" w:cs="Times New Roman"/>
          <w:sz w:val="24"/>
          <w:szCs w:val="24"/>
        </w:rPr>
      </w:pPr>
    </w:p>
    <w:p w14:paraId="6A3929DC" w14:textId="751665F3" w:rsidR="001F0071" w:rsidRPr="004A003F" w:rsidRDefault="001F0071" w:rsidP="006926FA">
      <w:pPr>
        <w:spacing w:after="0" w:line="240" w:lineRule="auto"/>
        <w:ind w:left="360"/>
        <w:rPr>
          <w:rFonts w:ascii="Times New Roman" w:eastAsia="Times New Roman" w:hAnsi="Times New Roman" w:cs="Times New Roman"/>
          <w:sz w:val="24"/>
          <w:szCs w:val="24"/>
        </w:rPr>
      </w:pPr>
      <w:r w:rsidRPr="004A003F">
        <w:rPr>
          <w:rFonts w:ascii="Calibri" w:eastAsia="Times New Roman" w:hAnsi="Calibri" w:cs="Times New Roman"/>
          <w:i/>
          <w:iCs/>
          <w:color w:val="000000"/>
        </w:rPr>
        <w:t>Howard Center:</w:t>
      </w:r>
      <w:r w:rsidR="00154487">
        <w:rPr>
          <w:rFonts w:ascii="Calibri" w:eastAsia="Times New Roman" w:hAnsi="Calibri" w:cs="Times New Roman"/>
          <w:color w:val="000000"/>
        </w:rPr>
        <w:t xml:space="preserve"> April 17th, 2017 -</w:t>
      </w:r>
      <w:r w:rsidRPr="004A003F">
        <w:rPr>
          <w:rFonts w:ascii="Calibri" w:eastAsia="Times New Roman" w:hAnsi="Calibri" w:cs="Times New Roman"/>
          <w:color w:val="000000"/>
        </w:rPr>
        <w:t xml:space="preserve"> Howard Center workers expressed the most notable challenges to providing clients with fair housing as affordability of housing, stigmas surrounding mental health, and poor quality of available housing. </w:t>
      </w:r>
    </w:p>
    <w:p w14:paraId="2E07CBE4" w14:textId="77777777" w:rsidR="001F0071" w:rsidRPr="004A003F" w:rsidRDefault="001F0071" w:rsidP="006926FA">
      <w:pPr>
        <w:spacing w:after="0" w:line="240" w:lineRule="auto"/>
        <w:ind w:left="360"/>
        <w:rPr>
          <w:rFonts w:ascii="Times New Roman" w:eastAsia="Times New Roman" w:hAnsi="Times New Roman" w:cs="Times New Roman"/>
          <w:sz w:val="24"/>
          <w:szCs w:val="24"/>
        </w:rPr>
      </w:pPr>
    </w:p>
    <w:p w14:paraId="7C25C40A" w14:textId="34B38A51" w:rsidR="001F0071" w:rsidRDefault="001F0071" w:rsidP="006926FA">
      <w:pPr>
        <w:spacing w:after="0" w:line="240" w:lineRule="auto"/>
        <w:ind w:left="360"/>
        <w:rPr>
          <w:rFonts w:ascii="Calibri" w:eastAsia="Times New Roman" w:hAnsi="Calibri" w:cs="Times New Roman"/>
          <w:color w:val="000000"/>
        </w:rPr>
      </w:pPr>
      <w:r w:rsidRPr="004A003F">
        <w:rPr>
          <w:rFonts w:ascii="Calibri" w:eastAsia="Times New Roman" w:hAnsi="Calibri" w:cs="Times New Roman"/>
          <w:i/>
          <w:iCs/>
          <w:color w:val="000000"/>
        </w:rPr>
        <w:t>Pathways Vermont:</w:t>
      </w:r>
      <w:r w:rsidRPr="004A003F">
        <w:rPr>
          <w:rFonts w:ascii="Calibri" w:eastAsia="Times New Roman" w:hAnsi="Calibri" w:cs="Times New Roman"/>
          <w:color w:val="000000"/>
        </w:rPr>
        <w:t xml:space="preserve"> On March 31, 2017 </w:t>
      </w:r>
      <w:r w:rsidR="00154487">
        <w:rPr>
          <w:rFonts w:ascii="Calibri" w:eastAsia="Times New Roman" w:hAnsi="Calibri" w:cs="Times New Roman"/>
          <w:color w:val="000000"/>
        </w:rPr>
        <w:t xml:space="preserve">– Staff members who serve the homeless, veterans and other </w:t>
      </w:r>
      <w:r w:rsidRPr="004A003F">
        <w:rPr>
          <w:rFonts w:ascii="Calibri" w:eastAsia="Times New Roman" w:hAnsi="Calibri" w:cs="Times New Roman"/>
          <w:color w:val="000000"/>
        </w:rPr>
        <w:t>underserved populations, a number of specific impediment</w:t>
      </w:r>
      <w:r w:rsidR="00154487">
        <w:rPr>
          <w:rFonts w:ascii="Calibri" w:eastAsia="Times New Roman" w:hAnsi="Calibri" w:cs="Times New Roman"/>
          <w:color w:val="000000"/>
        </w:rPr>
        <w:t xml:space="preserve">s were mentioned, </w:t>
      </w:r>
      <w:r w:rsidRPr="004A003F">
        <w:rPr>
          <w:rFonts w:ascii="Calibri" w:eastAsia="Times New Roman" w:hAnsi="Calibri" w:cs="Times New Roman"/>
          <w:color w:val="000000"/>
        </w:rPr>
        <w:t xml:space="preserve">such as a limited number of housing vouchers, a limited number of landlords willing to accept Section 8 vouchers, insufficient General Assistance payments, Not-In-My-Backyard or NIMBYism when it comes to renting to those with mental illness, lack of </w:t>
      </w:r>
      <w:r w:rsidR="0018779F">
        <w:rPr>
          <w:rFonts w:ascii="Calibri" w:eastAsia="Times New Roman" w:hAnsi="Calibri" w:cs="Times New Roman"/>
          <w:color w:val="000000"/>
        </w:rPr>
        <w:t xml:space="preserve">integration, and access to the </w:t>
      </w:r>
      <w:r w:rsidRPr="004A003F">
        <w:rPr>
          <w:rFonts w:ascii="Calibri" w:eastAsia="Times New Roman" w:hAnsi="Calibri" w:cs="Times New Roman"/>
          <w:color w:val="000000"/>
        </w:rPr>
        <w:t xml:space="preserve">internet. </w:t>
      </w:r>
    </w:p>
    <w:p w14:paraId="5A525555" w14:textId="77777777" w:rsidR="00675799" w:rsidRDefault="00675799" w:rsidP="006926FA">
      <w:pPr>
        <w:spacing w:after="0" w:line="240" w:lineRule="auto"/>
        <w:ind w:left="360"/>
        <w:rPr>
          <w:rFonts w:ascii="Times New Roman" w:eastAsia="Times New Roman" w:hAnsi="Times New Roman" w:cs="Times New Roman"/>
          <w:sz w:val="24"/>
          <w:szCs w:val="24"/>
        </w:rPr>
      </w:pPr>
    </w:p>
    <w:p w14:paraId="23A07A6B" w14:textId="293A997F" w:rsidR="00675799" w:rsidRPr="004A003F" w:rsidRDefault="00675799" w:rsidP="006926FA">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note that comments and feedback do not always match the reality of the situation at hand. Respondents often reflected on their own experience or that of their clientele. </w:t>
      </w:r>
    </w:p>
    <w:p w14:paraId="4FDEA825" w14:textId="77777777" w:rsidR="001F0071" w:rsidRPr="00D750EF" w:rsidRDefault="001F0071" w:rsidP="006926FA">
      <w:pPr>
        <w:spacing w:after="0" w:line="240" w:lineRule="auto"/>
        <w:ind w:left="360"/>
        <w:rPr>
          <w:rFonts w:ascii="Times New Roman" w:eastAsia="Times New Roman" w:hAnsi="Times New Roman" w:cs="Times New Roman"/>
          <w:sz w:val="24"/>
          <w:szCs w:val="24"/>
        </w:rPr>
      </w:pPr>
    </w:p>
    <w:p w14:paraId="0E7B2C85" w14:textId="77777777" w:rsidR="00D750EF" w:rsidRPr="00D750EF" w:rsidRDefault="007B7C32" w:rsidP="00041A1B">
      <w:pPr>
        <w:pStyle w:val="ListParagraph"/>
        <w:spacing w:after="0"/>
        <w:ind w:left="360"/>
      </w:pPr>
      <w:r w:rsidRPr="00D750EF">
        <w:t xml:space="preserve">Of the 710 surveys received, the City received written comments and input. Many of these results and comments are highlighted in specific sections of the AFH. Additionally, over 90 comments were received on the following question: “Do you think you were treated differently than other people looking for housing?” Ten percent of the comments referred to Section 8 vouchers. An additional 10% referenced white privilege in being treated different. “White and Class privilege – I think I was treated better than people of color or people of low socio-economic status might have been.” Having children was mentioned </w:t>
      </w:r>
      <w:r w:rsidR="00D750EF" w:rsidRPr="00D750EF">
        <w:t>over ten times; two of those times, respondents said it put them higher on the list. Size of units was a frequent comment; the most referenced was finding an affordable one bedroom unit. However, some mentioned the larger sized units. A complete analysis of the survey can be found in the Appendix.</w:t>
      </w:r>
    </w:p>
    <w:p w14:paraId="6FCFA9E8" w14:textId="77777777" w:rsidR="00D750EF" w:rsidRDefault="00D750EF" w:rsidP="00041A1B">
      <w:pPr>
        <w:pStyle w:val="ListParagraph"/>
        <w:spacing w:after="0"/>
        <w:ind w:left="360"/>
        <w:rPr>
          <w:color w:val="FF0000"/>
        </w:rPr>
      </w:pPr>
    </w:p>
    <w:p w14:paraId="776D3843" w14:textId="77777777" w:rsidR="00D750EF" w:rsidRPr="00D750EF" w:rsidRDefault="00D750EF" w:rsidP="00041A1B">
      <w:pPr>
        <w:pStyle w:val="ListParagraph"/>
        <w:spacing w:after="0"/>
        <w:ind w:left="360"/>
      </w:pPr>
      <w:r w:rsidRPr="00D750EF">
        <w:t>During the public comment period, which spanned from August 18 to October 3, including the public hearing at City Council, no comments were received. However, several City Councilors and the Mayor spoke about the AFH during the Council meeting. One councilor remarked on the importance of the AFH in the City’s work to build more inclusive communities. Another councilor asked if there was demographic information on the LGBT community in Burlington and fair housing issues. (It was explained that although sexual orientation is a protected class in Vermont, it is not considered a protected class under the federal Fair Housing Law.) Additionally, the trend of decreasing families in the City and Region was noted and considered troubling; and the trend of a greater 65+ population in the Region was recognized. Finally, the Mayor spoke of the importance of the AFH and the work done by staff to prepare the document.</w:t>
      </w:r>
    </w:p>
    <w:p w14:paraId="57642532" w14:textId="77777777" w:rsidR="006926FA" w:rsidRDefault="006926FA" w:rsidP="00531A13"/>
    <w:p w14:paraId="3A5FD386" w14:textId="77777777" w:rsidR="00135AD9" w:rsidRDefault="5F884969" w:rsidP="5F884969">
      <w:pPr>
        <w:pStyle w:val="Title"/>
        <w:numPr>
          <w:ilvl w:val="0"/>
          <w:numId w:val="3"/>
        </w:numPr>
        <w:ind w:left="360" w:hanging="180"/>
        <w:rPr>
          <w:rFonts w:ascii="Garamond" w:hAnsi="Garamond"/>
          <w:b/>
          <w:bCs/>
          <w:sz w:val="32"/>
          <w:szCs w:val="32"/>
        </w:rPr>
      </w:pPr>
      <w:bookmarkStart w:id="4" w:name="AssessmentPastGoals"/>
      <w:r w:rsidRPr="5F884969">
        <w:rPr>
          <w:rFonts w:ascii="Garamond" w:hAnsi="Garamond"/>
          <w:b/>
          <w:bCs/>
          <w:sz w:val="32"/>
          <w:szCs w:val="32"/>
        </w:rPr>
        <w:lastRenderedPageBreak/>
        <w:t>Assessment of Past Goals and Actions</w:t>
      </w:r>
    </w:p>
    <w:bookmarkEnd w:id="4"/>
    <w:p w14:paraId="3CBF60A3" w14:textId="77777777" w:rsidR="00743C47" w:rsidRPr="00743C47" w:rsidRDefault="00743C47" w:rsidP="00743C47">
      <w:pPr>
        <w:pStyle w:val="ColorfulList-Accent11"/>
        <w:spacing w:after="240"/>
        <w:ind w:left="360"/>
        <w:rPr>
          <w:rFonts w:ascii="Calibri" w:eastAsia="Calibri" w:hAnsi="Calibri"/>
          <w:bCs/>
        </w:rPr>
      </w:pPr>
    </w:p>
    <w:p w14:paraId="14EB2376" w14:textId="4B19DF0F" w:rsidR="00743C47" w:rsidRPr="00FA2C50" w:rsidRDefault="5F884969" w:rsidP="0068270B">
      <w:pPr>
        <w:pStyle w:val="ColorfulList-Accent11"/>
        <w:spacing w:after="240"/>
        <w:ind w:left="360"/>
        <w:rPr>
          <w:rFonts w:ascii="Calibri" w:eastAsia="Calibri" w:hAnsi="Calibri"/>
          <w:b/>
          <w:bCs/>
          <w:i/>
        </w:rPr>
      </w:pPr>
      <w:r w:rsidRPr="00FA2C50">
        <w:rPr>
          <w:rFonts w:ascii="Calibri" w:eastAsia="Calibri" w:hAnsi="Calibri"/>
          <w:b/>
          <w:bCs/>
          <w:i/>
        </w:rPr>
        <w:t>Discuss what progress has been made toward the achievement of fair housing goals.</w:t>
      </w:r>
    </w:p>
    <w:p w14:paraId="60F88E4F" w14:textId="77777777" w:rsidR="006622E8" w:rsidRDefault="006622E8" w:rsidP="006622E8">
      <w:pPr>
        <w:pStyle w:val="ColorfulList-Accent11"/>
        <w:spacing w:after="240"/>
        <w:ind w:left="0"/>
        <w:rPr>
          <w:rFonts w:asciiTheme="minorHAnsi" w:eastAsia="Calibri" w:hAnsiTheme="minorHAnsi"/>
          <w:bCs/>
        </w:rPr>
      </w:pPr>
    </w:p>
    <w:p w14:paraId="19707CFB" w14:textId="2564B58D" w:rsidR="006622E8" w:rsidRDefault="5F884969" w:rsidP="5F884969">
      <w:pPr>
        <w:pStyle w:val="ColorfulList-Accent11"/>
        <w:spacing w:after="240"/>
        <w:ind w:left="360"/>
        <w:rPr>
          <w:rFonts w:asciiTheme="minorHAnsi" w:eastAsia="Calibri" w:hAnsiTheme="minorHAnsi"/>
        </w:rPr>
      </w:pPr>
      <w:r w:rsidRPr="5F884969">
        <w:rPr>
          <w:rFonts w:asciiTheme="minorHAnsi" w:eastAsia="Calibri" w:hAnsiTheme="minorHAnsi"/>
        </w:rPr>
        <w:t>The City of Burlington last published an Analysis of Impediments (</w:t>
      </w:r>
      <w:proofErr w:type="spellStart"/>
      <w:r w:rsidRPr="5F884969">
        <w:rPr>
          <w:rFonts w:asciiTheme="minorHAnsi" w:eastAsia="Calibri" w:hAnsiTheme="minorHAnsi"/>
        </w:rPr>
        <w:t>AoI</w:t>
      </w:r>
      <w:proofErr w:type="spellEnd"/>
      <w:r w:rsidRPr="5F884969">
        <w:rPr>
          <w:rFonts w:asciiTheme="minorHAnsi" w:eastAsia="Calibri" w:hAnsiTheme="minorHAnsi"/>
        </w:rPr>
        <w:t xml:space="preserve">) to Fair Housing Choice in 2010.  The </w:t>
      </w:r>
      <w:proofErr w:type="spellStart"/>
      <w:r w:rsidR="00D51726" w:rsidRPr="5F884969">
        <w:rPr>
          <w:rFonts w:asciiTheme="minorHAnsi" w:eastAsia="Calibri" w:hAnsiTheme="minorHAnsi"/>
        </w:rPr>
        <w:t>AoI</w:t>
      </w:r>
      <w:proofErr w:type="spellEnd"/>
      <w:r w:rsidR="00D51726" w:rsidRPr="5F884969">
        <w:rPr>
          <w:rFonts w:asciiTheme="minorHAnsi" w:eastAsia="Calibri" w:hAnsiTheme="minorHAnsi"/>
        </w:rPr>
        <w:t xml:space="preserve"> identified</w:t>
      </w:r>
      <w:r w:rsidRPr="5F884969">
        <w:rPr>
          <w:rFonts w:asciiTheme="minorHAnsi" w:eastAsia="Calibri" w:hAnsiTheme="minorHAnsi"/>
        </w:rPr>
        <w:t xml:space="preserve"> five impediments, as well as five specific goals to overcome impediments to fair housing. This analysis is available online at: </w:t>
      </w:r>
    </w:p>
    <w:p w14:paraId="0B7767E7" w14:textId="77777777" w:rsidR="006622E8" w:rsidRDefault="006622E8" w:rsidP="006622E8">
      <w:pPr>
        <w:pStyle w:val="ColorfulList-Accent11"/>
        <w:spacing w:after="240"/>
        <w:ind w:left="0"/>
        <w:rPr>
          <w:rFonts w:asciiTheme="minorHAnsi" w:eastAsia="Calibri" w:hAnsiTheme="minorHAnsi"/>
          <w:bCs/>
        </w:rPr>
      </w:pPr>
    </w:p>
    <w:p w14:paraId="7ED9BDAA" w14:textId="6956A8CB" w:rsidR="006622E8" w:rsidRPr="00D80115" w:rsidRDefault="00E67926" w:rsidP="009A2CF5">
      <w:pPr>
        <w:pStyle w:val="ColorfulList-Accent11"/>
        <w:numPr>
          <w:ilvl w:val="0"/>
          <w:numId w:val="15"/>
        </w:numPr>
        <w:spacing w:after="240"/>
        <w:rPr>
          <w:rFonts w:asciiTheme="minorHAnsi" w:eastAsia="Calibri" w:hAnsiTheme="minorHAnsi"/>
          <w:bCs/>
        </w:rPr>
      </w:pPr>
      <w:hyperlink r:id="rId15" w:history="1">
        <w:r w:rsidR="008B027E" w:rsidRPr="00853FC5">
          <w:rPr>
            <w:rStyle w:val="Hyperlink"/>
            <w:rFonts w:asciiTheme="minorHAnsi" w:eastAsia="Calibri" w:hAnsiTheme="minorHAnsi"/>
            <w:bCs/>
          </w:rPr>
          <w:t>http://www.vhfa.org/documents/cedo_2010.pdf</w:t>
        </w:r>
      </w:hyperlink>
      <w:r w:rsidR="008B027E">
        <w:rPr>
          <w:rFonts w:asciiTheme="minorHAnsi" w:eastAsia="Calibri" w:hAnsiTheme="minorHAnsi"/>
          <w:bCs/>
        </w:rPr>
        <w:t xml:space="preserve"> </w:t>
      </w:r>
    </w:p>
    <w:p w14:paraId="09E81165" w14:textId="77777777" w:rsidR="006622E8" w:rsidRDefault="006622E8" w:rsidP="006622E8">
      <w:pPr>
        <w:pStyle w:val="ColorfulList-Accent11"/>
        <w:spacing w:after="240"/>
        <w:ind w:left="0"/>
        <w:rPr>
          <w:rFonts w:asciiTheme="minorHAnsi" w:eastAsia="Calibri" w:hAnsiTheme="minorHAnsi"/>
          <w:bCs/>
        </w:rPr>
      </w:pPr>
    </w:p>
    <w:p w14:paraId="26F004E5" w14:textId="77777777" w:rsidR="006622E8" w:rsidRDefault="5F884969" w:rsidP="5F884969">
      <w:pPr>
        <w:pStyle w:val="ColorfulList-Accent11"/>
        <w:spacing w:after="240"/>
        <w:ind w:left="360"/>
        <w:rPr>
          <w:rFonts w:asciiTheme="minorHAnsi" w:eastAsia="Calibri" w:hAnsiTheme="minorHAnsi"/>
        </w:rPr>
      </w:pPr>
      <w:r w:rsidRPr="5F884969">
        <w:rPr>
          <w:rFonts w:asciiTheme="minorHAnsi" w:eastAsia="Calibri" w:hAnsiTheme="minorHAnsi"/>
        </w:rPr>
        <w:t>Following is a summary of each goal and the progress the City and its partners have made toward achieving those goals:</w:t>
      </w:r>
    </w:p>
    <w:p w14:paraId="6C10E66A" w14:textId="77777777" w:rsidR="006622E8" w:rsidRDefault="006622E8" w:rsidP="006622E8">
      <w:pPr>
        <w:pStyle w:val="ColorfulList-Accent11"/>
        <w:spacing w:after="240"/>
        <w:ind w:left="360"/>
        <w:rPr>
          <w:rFonts w:asciiTheme="minorHAnsi" w:eastAsia="Calibri" w:hAnsiTheme="minorHAnsi"/>
          <w:bCs/>
        </w:rPr>
      </w:pPr>
    </w:p>
    <w:p w14:paraId="0E9B0FF3" w14:textId="77777777" w:rsidR="006622E8" w:rsidRPr="006622E8" w:rsidRDefault="5F884969" w:rsidP="002F7C2E">
      <w:pPr>
        <w:pStyle w:val="ColorfulList-Accent11"/>
        <w:spacing w:after="240"/>
        <w:ind w:left="360"/>
        <w:outlineLvl w:val="0"/>
        <w:rPr>
          <w:rFonts w:asciiTheme="minorHAnsi" w:eastAsia="Calibri" w:hAnsiTheme="minorHAnsi"/>
          <w:sz w:val="24"/>
          <w:szCs w:val="24"/>
          <w:u w:val="single"/>
        </w:rPr>
      </w:pPr>
      <w:r w:rsidRPr="5F884969">
        <w:rPr>
          <w:rFonts w:asciiTheme="minorHAnsi" w:eastAsia="Calibri" w:hAnsiTheme="minorHAnsi"/>
          <w:b/>
          <w:bCs/>
          <w:sz w:val="24"/>
          <w:szCs w:val="24"/>
          <w:u w:val="single"/>
        </w:rPr>
        <w:t>Impediment 1</w:t>
      </w:r>
    </w:p>
    <w:p w14:paraId="6DBF9FE3" w14:textId="77777777" w:rsidR="006622E8" w:rsidRPr="006622E8" w:rsidRDefault="5F884969" w:rsidP="5F884969">
      <w:pPr>
        <w:pStyle w:val="ColorfulList-Accent11"/>
        <w:spacing w:after="240"/>
        <w:ind w:left="360"/>
        <w:rPr>
          <w:rFonts w:asciiTheme="minorHAnsi" w:eastAsia="Calibri" w:hAnsiTheme="minorHAnsi"/>
          <w:i/>
          <w:iCs/>
          <w:sz w:val="24"/>
          <w:szCs w:val="24"/>
        </w:rPr>
      </w:pPr>
      <w:r w:rsidRPr="5F884969">
        <w:rPr>
          <w:rFonts w:asciiTheme="minorHAnsi" w:eastAsia="Calibri" w:hAnsiTheme="minorHAnsi"/>
          <w:i/>
          <w:iCs/>
          <w:sz w:val="24"/>
          <w:szCs w:val="24"/>
        </w:rPr>
        <w:t xml:space="preserve">High rental and homeownership prices, and limited land and public resources, have a disparate impact on people in protected classes who have low incomes by limiting their housing options. </w:t>
      </w:r>
    </w:p>
    <w:p w14:paraId="6B65B3A9" w14:textId="77777777" w:rsidR="006622E8" w:rsidRDefault="006622E8" w:rsidP="003B294F">
      <w:pPr>
        <w:pStyle w:val="ColorfulList-Accent11"/>
        <w:spacing w:after="240"/>
        <w:ind w:left="360"/>
        <w:rPr>
          <w:rFonts w:asciiTheme="minorHAnsi" w:eastAsia="Calibri" w:hAnsiTheme="minorHAnsi"/>
          <w:b/>
          <w:bCs/>
        </w:rPr>
      </w:pPr>
    </w:p>
    <w:tbl>
      <w:tblPr>
        <w:tblStyle w:val="TableGrid"/>
        <w:tblW w:w="0" w:type="auto"/>
        <w:tblInd w:w="364" w:type="dxa"/>
        <w:tblLook w:val="04A0" w:firstRow="1" w:lastRow="0" w:firstColumn="1" w:lastColumn="0" w:noHBand="0" w:noVBand="1"/>
      </w:tblPr>
      <w:tblGrid>
        <w:gridCol w:w="8986"/>
      </w:tblGrid>
      <w:tr w:rsidR="006622E8" w14:paraId="194C2068" w14:textId="77777777" w:rsidTr="00D51726">
        <w:trPr>
          <w:trHeight w:val="314"/>
        </w:trPr>
        <w:tc>
          <w:tcPr>
            <w:tcW w:w="9180" w:type="dxa"/>
            <w:shd w:val="clear" w:color="auto" w:fill="B5C0DF" w:themeFill="accent1" w:themeFillTint="66"/>
          </w:tcPr>
          <w:p w14:paraId="37AA3F53" w14:textId="77777777" w:rsidR="006622E8" w:rsidRPr="00D51726" w:rsidRDefault="5F884969" w:rsidP="5F884969">
            <w:pPr>
              <w:pStyle w:val="ColorfulList-Accent11"/>
              <w:ind w:left="360"/>
              <w:rPr>
                <w:rFonts w:asciiTheme="minorHAnsi" w:eastAsia="Calibri" w:hAnsiTheme="minorHAnsi"/>
                <w:b/>
                <w:bCs/>
              </w:rPr>
            </w:pPr>
            <w:r w:rsidRPr="00D51726">
              <w:rPr>
                <w:rFonts w:asciiTheme="minorHAnsi" w:eastAsia="Calibri" w:hAnsiTheme="minorHAnsi"/>
                <w:b/>
                <w:bCs/>
              </w:rPr>
              <w:t>Goal</w:t>
            </w:r>
          </w:p>
        </w:tc>
      </w:tr>
      <w:tr w:rsidR="006622E8" w14:paraId="1927E8AD" w14:textId="77777777" w:rsidTr="5F884969">
        <w:trPr>
          <w:trHeight w:val="85"/>
        </w:trPr>
        <w:tc>
          <w:tcPr>
            <w:tcW w:w="9180" w:type="dxa"/>
          </w:tcPr>
          <w:p w14:paraId="1883F3AD" w14:textId="42B5B4EF" w:rsidR="006622E8" w:rsidRPr="00B82B15" w:rsidRDefault="5F884969" w:rsidP="5F884969">
            <w:pPr>
              <w:pStyle w:val="ColorfulList-Accent11"/>
              <w:ind w:left="360"/>
              <w:rPr>
                <w:rFonts w:asciiTheme="minorHAnsi" w:eastAsia="Calibri" w:hAnsiTheme="minorHAnsi"/>
              </w:rPr>
            </w:pPr>
            <w:r w:rsidRPr="5F884969">
              <w:rPr>
                <w:rFonts w:asciiTheme="minorHAnsi" w:eastAsia="Calibri" w:hAnsiTheme="minorHAnsi"/>
              </w:rPr>
              <w:t>Encourage more affordable and subsidized housing development within the City and throughout the greater Chittenden County region.</w:t>
            </w:r>
          </w:p>
        </w:tc>
      </w:tr>
    </w:tbl>
    <w:p w14:paraId="2B15EA7F" w14:textId="77777777" w:rsidR="006622E8" w:rsidRDefault="006622E8" w:rsidP="006622E8">
      <w:pPr>
        <w:pStyle w:val="ColorfulList-Accent11"/>
        <w:spacing w:after="240"/>
        <w:ind w:left="0"/>
        <w:rPr>
          <w:rFonts w:asciiTheme="minorHAnsi" w:eastAsia="Calibri" w:hAnsiTheme="minorHAnsi"/>
          <w:b/>
          <w:bCs/>
          <w:sz w:val="28"/>
          <w:szCs w:val="28"/>
        </w:rPr>
      </w:pPr>
    </w:p>
    <w:p w14:paraId="02D1E614" w14:textId="2466CEA4" w:rsidR="006622E8" w:rsidRPr="00D51726" w:rsidRDefault="5F884969" w:rsidP="002F7C2E">
      <w:pPr>
        <w:pStyle w:val="ColorfulList-Accent11"/>
        <w:spacing w:after="240"/>
        <w:ind w:left="360"/>
        <w:outlineLvl w:val="0"/>
        <w:rPr>
          <w:rFonts w:asciiTheme="minorHAnsi" w:eastAsia="Calibri" w:hAnsiTheme="minorHAnsi"/>
          <w:b/>
          <w:bCs/>
          <w:i/>
        </w:rPr>
      </w:pPr>
      <w:r w:rsidRPr="00D51726">
        <w:rPr>
          <w:rFonts w:asciiTheme="minorHAnsi" w:eastAsia="Calibri" w:hAnsiTheme="minorHAnsi"/>
          <w:b/>
          <w:bCs/>
          <w:i/>
        </w:rPr>
        <w:t>Progress:</w:t>
      </w:r>
    </w:p>
    <w:p w14:paraId="49743BDF" w14:textId="77777777" w:rsidR="006622E8" w:rsidRDefault="006622E8" w:rsidP="008B027E">
      <w:pPr>
        <w:pStyle w:val="ColorfulList-Accent11"/>
        <w:spacing w:after="240"/>
        <w:ind w:left="360"/>
        <w:rPr>
          <w:rFonts w:asciiTheme="minorHAnsi" w:eastAsia="Calibri" w:hAnsiTheme="minorHAnsi"/>
          <w:b/>
          <w:bCs/>
          <w:sz w:val="28"/>
          <w:szCs w:val="28"/>
        </w:rPr>
      </w:pPr>
    </w:p>
    <w:p w14:paraId="0B29B31B" w14:textId="2C9531AB" w:rsidR="006622E8" w:rsidRPr="006622E8" w:rsidRDefault="5F884969" w:rsidP="5F884969">
      <w:pPr>
        <w:pStyle w:val="ColorfulList-Accent11"/>
        <w:spacing w:after="240"/>
        <w:ind w:left="360"/>
        <w:rPr>
          <w:rFonts w:asciiTheme="minorHAnsi" w:eastAsia="Calibri" w:hAnsiTheme="minorHAnsi"/>
        </w:rPr>
      </w:pPr>
      <w:r w:rsidRPr="5F884969">
        <w:rPr>
          <w:rFonts w:asciiTheme="minorHAnsi" w:eastAsia="Calibri" w:hAnsiTheme="minorHAnsi"/>
        </w:rPr>
        <w:t xml:space="preserve">In order to encourage more affordable and subsidized housing development within the city and throughout the county, over the course of the past five years, the City and partners have been carrying out the following activities: </w:t>
      </w:r>
    </w:p>
    <w:p w14:paraId="59C8DC2A" w14:textId="77777777" w:rsidR="006622E8" w:rsidRPr="006622E8" w:rsidRDefault="5F884969" w:rsidP="009A2CF5">
      <w:pPr>
        <w:pStyle w:val="Default"/>
        <w:numPr>
          <w:ilvl w:val="0"/>
          <w:numId w:val="16"/>
        </w:numPr>
        <w:spacing w:after="68"/>
        <w:ind w:left="810"/>
        <w:rPr>
          <w:rFonts w:asciiTheme="minorHAnsi" w:hAnsiTheme="minorHAnsi"/>
          <w:sz w:val="22"/>
          <w:szCs w:val="22"/>
        </w:rPr>
      </w:pPr>
      <w:r w:rsidRPr="5F884969">
        <w:rPr>
          <w:rFonts w:asciiTheme="minorHAnsi" w:hAnsiTheme="minorHAnsi"/>
          <w:sz w:val="22"/>
          <w:szCs w:val="22"/>
        </w:rPr>
        <w:t xml:space="preserve">Sharing best practices and data, answering questions and advocating regionally for a wide range of housing policies that promote housing development that will benefit people in protected classes by participating in the Chittenden County Sustainable Communities Regional Planning Grant stakeholders group – a group that promotes fair housing policies across the county. </w:t>
      </w:r>
    </w:p>
    <w:p w14:paraId="09B30A6F" w14:textId="1DBF1F18" w:rsidR="006622E8" w:rsidRPr="006622E8" w:rsidRDefault="5F884969" w:rsidP="009A2CF5">
      <w:pPr>
        <w:pStyle w:val="Default"/>
        <w:numPr>
          <w:ilvl w:val="0"/>
          <w:numId w:val="16"/>
        </w:numPr>
        <w:spacing w:after="68"/>
        <w:ind w:left="810"/>
        <w:rPr>
          <w:rFonts w:asciiTheme="minorHAnsi" w:hAnsiTheme="minorHAnsi"/>
          <w:sz w:val="22"/>
          <w:szCs w:val="22"/>
        </w:rPr>
      </w:pPr>
      <w:r w:rsidRPr="5F884969">
        <w:rPr>
          <w:rFonts w:asciiTheme="minorHAnsi" w:hAnsiTheme="minorHAnsi"/>
          <w:sz w:val="22"/>
          <w:szCs w:val="22"/>
        </w:rPr>
        <w:t>Along with other stakeholders, the City has provided sufficient resources for the Champlain Housing Trust (CHT) redevelopment plans for the Bright Street Co-op project as well as new affordable housing at the Thayer School. Please see the total units created in the table below.</w:t>
      </w:r>
    </w:p>
    <w:p w14:paraId="34A3E944" w14:textId="3D043068" w:rsidR="006622E8" w:rsidRPr="006622E8" w:rsidRDefault="5F884969" w:rsidP="009A2CF5">
      <w:pPr>
        <w:pStyle w:val="Default"/>
        <w:numPr>
          <w:ilvl w:val="0"/>
          <w:numId w:val="16"/>
        </w:numPr>
        <w:spacing w:after="68"/>
        <w:ind w:left="810"/>
        <w:rPr>
          <w:rFonts w:asciiTheme="minorHAnsi" w:hAnsiTheme="minorHAnsi"/>
          <w:sz w:val="22"/>
          <w:szCs w:val="22"/>
        </w:rPr>
      </w:pPr>
      <w:r w:rsidRPr="5F884969">
        <w:rPr>
          <w:rFonts w:asciiTheme="minorHAnsi" w:hAnsiTheme="minorHAnsi"/>
          <w:sz w:val="22"/>
          <w:szCs w:val="22"/>
        </w:rPr>
        <w:t>In addition, no publically-assisted affordable housing units were lost to conversion to market rate units, conversion to commercial use, or by demolition. The City advocated for local Section 8 properties which were at risk of contract expirations or conversions to market rate housing, worked with property owners and potential buyers to ensure that existing tenants’ homes were protected and rents remain stable, and/or helped to find sufficient resources (including dedicating HOME and CDBG</w:t>
      </w:r>
      <w:r w:rsidR="00077CCE">
        <w:rPr>
          <w:rFonts w:asciiTheme="minorHAnsi" w:hAnsiTheme="minorHAnsi"/>
          <w:sz w:val="22"/>
          <w:szCs w:val="22"/>
        </w:rPr>
        <w:t xml:space="preserve"> funds</w:t>
      </w:r>
      <w:r w:rsidRPr="5F884969">
        <w:rPr>
          <w:rFonts w:asciiTheme="minorHAnsi" w:hAnsiTheme="minorHAnsi"/>
          <w:sz w:val="22"/>
          <w:szCs w:val="22"/>
        </w:rPr>
        <w:t>) to preserve the affordable units at Wharf Lane, Bobbin Mill, Salmon Run, and the scattered site City Neighborhoods project.</w:t>
      </w:r>
    </w:p>
    <w:p w14:paraId="0F389E3D" w14:textId="77777777" w:rsidR="006622E8" w:rsidRPr="00FA2C50" w:rsidRDefault="5F884969" w:rsidP="009A2CF5">
      <w:pPr>
        <w:pStyle w:val="Default"/>
        <w:numPr>
          <w:ilvl w:val="0"/>
          <w:numId w:val="16"/>
        </w:numPr>
        <w:spacing w:after="68"/>
        <w:ind w:left="810"/>
        <w:rPr>
          <w:rFonts w:asciiTheme="minorHAnsi" w:hAnsiTheme="minorHAnsi"/>
          <w:sz w:val="22"/>
          <w:szCs w:val="22"/>
        </w:rPr>
      </w:pPr>
      <w:r w:rsidRPr="5F884969">
        <w:rPr>
          <w:rFonts w:asciiTheme="minorHAnsi" w:hAnsiTheme="minorHAnsi"/>
          <w:sz w:val="22"/>
          <w:szCs w:val="22"/>
        </w:rPr>
        <w:t>The City regularly discusses housing development plans, enrollment plans, and creative housing options with both the University of Vermont (UVM) and Champlain College. There is a</w:t>
      </w:r>
      <w:r w:rsidRPr="5F884969">
        <w:rPr>
          <w:sz w:val="22"/>
          <w:szCs w:val="22"/>
        </w:rPr>
        <w:t xml:space="preserve"> clear </w:t>
      </w:r>
      <w:r w:rsidRPr="00FA2C50">
        <w:rPr>
          <w:rFonts w:asciiTheme="minorHAnsi" w:hAnsiTheme="minorHAnsi"/>
          <w:sz w:val="22"/>
          <w:szCs w:val="22"/>
        </w:rPr>
        <w:lastRenderedPageBreak/>
        <w:t>understanding that increasing the supply of student housing will increase the supply of affordable rental housing available to non-student renters in protected classes. UVM has added over 400 student beds on campus and Champlain College has added nearly 300 beds with another 400 beds in the construction phase.</w:t>
      </w:r>
    </w:p>
    <w:p w14:paraId="0A1B370C" w14:textId="77777777" w:rsidR="006622E8" w:rsidRPr="00FA2C50" w:rsidRDefault="5F884969" w:rsidP="009A2CF5">
      <w:pPr>
        <w:pStyle w:val="Default"/>
        <w:numPr>
          <w:ilvl w:val="0"/>
          <w:numId w:val="16"/>
        </w:numPr>
        <w:spacing w:after="68"/>
        <w:ind w:left="810"/>
        <w:rPr>
          <w:rFonts w:asciiTheme="minorHAnsi" w:hAnsiTheme="minorHAnsi"/>
          <w:sz w:val="22"/>
          <w:szCs w:val="22"/>
        </w:rPr>
      </w:pPr>
      <w:r w:rsidRPr="00FA2C50">
        <w:rPr>
          <w:rFonts w:asciiTheme="minorHAnsi" w:hAnsiTheme="minorHAnsi"/>
          <w:sz w:val="22"/>
          <w:szCs w:val="22"/>
        </w:rPr>
        <w:t xml:space="preserve">Since 2016, the City advocated for an increase to the City’s Housing Trust Fund and has made available almost double the amount of funding to go to affordable housing projects. </w:t>
      </w:r>
    </w:p>
    <w:p w14:paraId="511B7344" w14:textId="77777777" w:rsidR="006622E8" w:rsidRPr="00FA2C50" w:rsidRDefault="5F884969" w:rsidP="009A2CF5">
      <w:pPr>
        <w:pStyle w:val="Default"/>
        <w:numPr>
          <w:ilvl w:val="0"/>
          <w:numId w:val="16"/>
        </w:numPr>
        <w:spacing w:after="68"/>
        <w:ind w:left="810"/>
        <w:rPr>
          <w:rFonts w:asciiTheme="minorHAnsi" w:hAnsiTheme="minorHAnsi"/>
          <w:sz w:val="22"/>
          <w:szCs w:val="22"/>
        </w:rPr>
      </w:pPr>
      <w:r w:rsidRPr="00FA2C50">
        <w:rPr>
          <w:rFonts w:asciiTheme="minorHAnsi" w:hAnsiTheme="minorHAnsi"/>
          <w:sz w:val="22"/>
          <w:szCs w:val="22"/>
        </w:rPr>
        <w:t xml:space="preserve">In 2016, Vermont Legal Aid (VLA) provided comments on land use planning and zoning proposals and on large housing, and mixed use developments in Burlington, urging developers to include, and the city require, more units that are subsidized or affordable than market rate. </w:t>
      </w:r>
    </w:p>
    <w:p w14:paraId="59155497" w14:textId="77777777" w:rsidR="008400DD" w:rsidRPr="00FA2C50" w:rsidRDefault="5F884969" w:rsidP="009A2CF5">
      <w:pPr>
        <w:pStyle w:val="ListParagraph"/>
        <w:numPr>
          <w:ilvl w:val="0"/>
          <w:numId w:val="16"/>
        </w:numPr>
        <w:spacing w:after="200" w:line="276" w:lineRule="auto"/>
        <w:ind w:left="810"/>
      </w:pPr>
      <w:r w:rsidRPr="00FA2C50">
        <w:t>In order to maintain an affordable mobile home park in Burlington, the City played a key role both in helping the residents purchase the park from the previous owner which prevented wide scale displacement of low income residents. Not only did CEDO provide very substantial development and staff support to the resident cooperative, the City Housing Trust Fund invested over $160,000 in City funds to help with the purchase and improvement of the park. Specifically, funds helped a) prevent the loss of land and allowed the cooperative to retain important green space and; 2) fund the removal and disposal of abandoned and dilapidated mobile homes.</w:t>
      </w:r>
    </w:p>
    <w:p w14:paraId="1BAF98E3" w14:textId="356CC935" w:rsidR="008400DD" w:rsidRPr="00FA2C50" w:rsidRDefault="5F884969" w:rsidP="009A2CF5">
      <w:pPr>
        <w:pStyle w:val="ListParagraph"/>
        <w:numPr>
          <w:ilvl w:val="0"/>
          <w:numId w:val="16"/>
        </w:numPr>
        <w:ind w:left="810"/>
      </w:pPr>
      <w:r w:rsidRPr="00FA2C50">
        <w:t xml:space="preserve">Building Homes </w:t>
      </w:r>
      <w:proofErr w:type="gramStart"/>
      <w:r w:rsidRPr="00FA2C50">
        <w:t>Together</w:t>
      </w:r>
      <w:proofErr w:type="gramEnd"/>
      <w:r w:rsidRPr="00FA2C50">
        <w:t xml:space="preserve"> is a campaign which aims to build 3,500 homes by 2021, for people of all incomes, including 700 affordable homes, in Chittenden County. Launched in June 2016, the campaign is a joint effort of Champlain Housing Trust, Housing Vermont and the Chittenden County Regional Planning Commission, fueled by the housing shortage which is accompanied by unhealthy vacancy rates and high rents. About 20% of the 3,500 goal are anticipated to be developed by nonprofit housing organizations, with the remainder by private developers. Building Homes </w:t>
      </w:r>
      <w:proofErr w:type="gramStart"/>
      <w:r w:rsidRPr="00FA2C50">
        <w:t>Together</w:t>
      </w:r>
      <w:proofErr w:type="gramEnd"/>
      <w:r w:rsidRPr="00FA2C50">
        <w:t xml:space="preserve"> is targeted with millennials in mind, and the increase in production will not only expand the housing stock and infrastructure for communities, but will help boost the economy and contribute to the tax base.  The campaign is supported by a broad coalition of housing, business, local and state government, and social services leaders.  </w:t>
      </w:r>
    </w:p>
    <w:p w14:paraId="729F2DB5" w14:textId="7BF9B39F" w:rsidR="008400DD" w:rsidRPr="00FA2C50" w:rsidRDefault="5F884969" w:rsidP="009A2CF5">
      <w:pPr>
        <w:pStyle w:val="ListParagraph"/>
        <w:numPr>
          <w:ilvl w:val="0"/>
          <w:numId w:val="16"/>
        </w:numPr>
        <w:spacing w:after="200" w:line="276" w:lineRule="auto"/>
        <w:ind w:left="810"/>
      </w:pPr>
      <w:r w:rsidRPr="00FA2C50">
        <w:t xml:space="preserve"> In June 2017, Vermont Legislature approved a $35 million housing revenue bond which will be used for the creation of rental housing and homeownership opportunities for 550-650 low-and moderate-income Vermonters over the next two to three years. The bond will be matched with state, federal and private resources to leverage approximately $2-$3 for every one dollar of bond funds, resulting in $70-$100 million in additional resources for housing development. At least 25% of the housing will be targeted to households with incomes below $35,000 and another $25% will be targeted to middle-income Vermonters earning $55,000-$83,000 annually (for 4-person households). The balance of the funds will be awarded to projects based on community needs, applications received and the availability of resources for leverage. The revenue bond will be issued by the Vermont Housing Finance Agency (VHFA) which is currently gathering input on the highest priority housing needs and potential projects across the state.</w:t>
      </w:r>
    </w:p>
    <w:p w14:paraId="40AD56E2" w14:textId="33F8E9FA" w:rsidR="00D51726" w:rsidRPr="00FA2C50" w:rsidRDefault="5F884969" w:rsidP="009A2CF5">
      <w:pPr>
        <w:pStyle w:val="ListParagraph"/>
        <w:numPr>
          <w:ilvl w:val="0"/>
          <w:numId w:val="16"/>
        </w:numPr>
        <w:spacing w:after="200" w:line="276" w:lineRule="auto"/>
        <w:ind w:left="810"/>
      </w:pPr>
      <w:r w:rsidRPr="00FA2C50">
        <w:t>In the past five year Consolidated Plan (2013-2017) the following goals were set and accomplished to increase the supply of affordable housing in the City of Burlington:</w:t>
      </w:r>
    </w:p>
    <w:p w14:paraId="6F34F834" w14:textId="77777777" w:rsidR="007A3270" w:rsidRPr="007A3270" w:rsidRDefault="007A3270" w:rsidP="007A3270">
      <w:pPr>
        <w:pStyle w:val="ListParagraph"/>
        <w:spacing w:after="200" w:line="276" w:lineRule="auto"/>
        <w:ind w:left="810"/>
      </w:pPr>
    </w:p>
    <w:p w14:paraId="24C3DA6B" w14:textId="44997713" w:rsidR="00A974AE" w:rsidRPr="008A57A6" w:rsidRDefault="5F884969" w:rsidP="5F884969">
      <w:pPr>
        <w:pStyle w:val="ListParagraph"/>
        <w:spacing w:after="200" w:line="276" w:lineRule="auto"/>
        <w:ind w:left="540"/>
        <w:rPr>
          <w:color w:val="FF0000"/>
          <w:sz w:val="20"/>
          <w:szCs w:val="20"/>
        </w:rPr>
      </w:pPr>
      <w:r w:rsidRPr="5F884969">
        <w:rPr>
          <w:b/>
          <w:bCs/>
          <w:i/>
          <w:iCs/>
          <w:sz w:val="20"/>
          <w:szCs w:val="20"/>
        </w:rPr>
        <w:t>Table 1:</w:t>
      </w:r>
      <w:r w:rsidRPr="5F884969">
        <w:rPr>
          <w:sz w:val="20"/>
          <w:szCs w:val="20"/>
        </w:rPr>
        <w:t xml:space="preserve"> Housing goals, targets and actual units.</w:t>
      </w:r>
    </w:p>
    <w:tbl>
      <w:tblPr>
        <w:tblStyle w:val="TableGrid"/>
        <w:tblW w:w="0" w:type="auto"/>
        <w:tblInd w:w="540" w:type="dxa"/>
        <w:tblLook w:val="04A0" w:firstRow="1" w:lastRow="0" w:firstColumn="1" w:lastColumn="0" w:noHBand="0" w:noVBand="1"/>
      </w:tblPr>
      <w:tblGrid>
        <w:gridCol w:w="3064"/>
        <w:gridCol w:w="2873"/>
        <w:gridCol w:w="2873"/>
      </w:tblGrid>
      <w:tr w:rsidR="00764C95" w14:paraId="1AE3084D" w14:textId="77777777" w:rsidTr="5F884969">
        <w:tc>
          <w:tcPr>
            <w:tcW w:w="3116" w:type="dxa"/>
          </w:tcPr>
          <w:p w14:paraId="6E77248F" w14:textId="6025F73D" w:rsidR="006622E8" w:rsidRPr="006C38C3" w:rsidRDefault="5F884969" w:rsidP="5F884969">
            <w:pPr>
              <w:pStyle w:val="ListParagraph"/>
              <w:spacing w:after="200" w:line="276" w:lineRule="auto"/>
              <w:ind w:left="0"/>
              <w:rPr>
                <w:b/>
                <w:bCs/>
              </w:rPr>
            </w:pPr>
            <w:r w:rsidRPr="5F884969">
              <w:rPr>
                <w:b/>
                <w:bCs/>
              </w:rPr>
              <w:lastRenderedPageBreak/>
              <w:t>Housing Goals</w:t>
            </w:r>
          </w:p>
        </w:tc>
        <w:tc>
          <w:tcPr>
            <w:tcW w:w="3117" w:type="dxa"/>
          </w:tcPr>
          <w:p w14:paraId="6BC28645" w14:textId="05DF100B" w:rsidR="006622E8" w:rsidRPr="006C38C3" w:rsidRDefault="5F884969" w:rsidP="5F884969">
            <w:pPr>
              <w:pStyle w:val="ListParagraph"/>
              <w:spacing w:after="200" w:line="276" w:lineRule="auto"/>
              <w:ind w:left="0"/>
              <w:rPr>
                <w:b/>
                <w:bCs/>
              </w:rPr>
            </w:pPr>
            <w:r w:rsidRPr="5F884969">
              <w:rPr>
                <w:b/>
                <w:bCs/>
              </w:rPr>
              <w:t>Target Goal</w:t>
            </w:r>
          </w:p>
        </w:tc>
        <w:tc>
          <w:tcPr>
            <w:tcW w:w="3117" w:type="dxa"/>
          </w:tcPr>
          <w:p w14:paraId="20A5FCE1" w14:textId="24F79146" w:rsidR="006622E8" w:rsidRPr="006C38C3" w:rsidRDefault="5F884969" w:rsidP="5F884969">
            <w:pPr>
              <w:pStyle w:val="ListParagraph"/>
              <w:spacing w:after="200" w:line="276" w:lineRule="auto"/>
              <w:ind w:left="0"/>
              <w:rPr>
                <w:b/>
                <w:bCs/>
              </w:rPr>
            </w:pPr>
            <w:r w:rsidRPr="5F884969">
              <w:rPr>
                <w:b/>
                <w:bCs/>
              </w:rPr>
              <w:t xml:space="preserve">Actual Units </w:t>
            </w:r>
          </w:p>
        </w:tc>
      </w:tr>
      <w:tr w:rsidR="00764C95" w14:paraId="76B713BA" w14:textId="77777777" w:rsidTr="5F884969">
        <w:tc>
          <w:tcPr>
            <w:tcW w:w="3116" w:type="dxa"/>
          </w:tcPr>
          <w:p w14:paraId="12C22D2B" w14:textId="0B1F8FF4" w:rsidR="006622E8" w:rsidRDefault="5F884969" w:rsidP="006622E8">
            <w:pPr>
              <w:pStyle w:val="ListParagraph"/>
              <w:spacing w:after="200" w:line="276" w:lineRule="auto"/>
              <w:ind w:left="0"/>
            </w:pPr>
            <w:r>
              <w:t>New Permanent Supportive Housing Units</w:t>
            </w:r>
          </w:p>
        </w:tc>
        <w:tc>
          <w:tcPr>
            <w:tcW w:w="3117" w:type="dxa"/>
          </w:tcPr>
          <w:p w14:paraId="3E4B9121" w14:textId="54E2340B" w:rsidR="006622E8" w:rsidRDefault="5F884969" w:rsidP="006622E8">
            <w:pPr>
              <w:pStyle w:val="ListParagraph"/>
              <w:spacing w:after="200" w:line="276" w:lineRule="auto"/>
              <w:ind w:left="0"/>
            </w:pPr>
            <w:r>
              <w:t>22</w:t>
            </w:r>
          </w:p>
        </w:tc>
        <w:tc>
          <w:tcPr>
            <w:tcW w:w="3117" w:type="dxa"/>
          </w:tcPr>
          <w:p w14:paraId="740B75E7" w14:textId="04F370E0" w:rsidR="006622E8" w:rsidRDefault="5F884969" w:rsidP="006622E8">
            <w:pPr>
              <w:pStyle w:val="ListParagraph"/>
              <w:spacing w:after="200" w:line="276" w:lineRule="auto"/>
              <w:ind w:left="0"/>
            </w:pPr>
            <w:r>
              <w:t>31</w:t>
            </w:r>
          </w:p>
        </w:tc>
      </w:tr>
      <w:tr w:rsidR="00764C95" w14:paraId="16CD0A04" w14:textId="77777777" w:rsidTr="5F884969">
        <w:tc>
          <w:tcPr>
            <w:tcW w:w="3116" w:type="dxa"/>
          </w:tcPr>
          <w:p w14:paraId="687CCDAA" w14:textId="0A3E03EA" w:rsidR="006622E8" w:rsidRDefault="5F884969" w:rsidP="006622E8">
            <w:pPr>
              <w:pStyle w:val="ListParagraph"/>
              <w:spacing w:after="200" w:line="276" w:lineRule="auto"/>
              <w:ind w:left="0"/>
            </w:pPr>
            <w:r>
              <w:t>New Special Needs Units</w:t>
            </w:r>
          </w:p>
        </w:tc>
        <w:tc>
          <w:tcPr>
            <w:tcW w:w="3117" w:type="dxa"/>
          </w:tcPr>
          <w:p w14:paraId="16EADFC8" w14:textId="0828E6E0" w:rsidR="006622E8" w:rsidRDefault="5F884969" w:rsidP="006622E8">
            <w:pPr>
              <w:pStyle w:val="ListParagraph"/>
              <w:spacing w:after="200" w:line="276" w:lineRule="auto"/>
              <w:ind w:left="0"/>
            </w:pPr>
            <w:r>
              <w:t>36</w:t>
            </w:r>
          </w:p>
        </w:tc>
        <w:tc>
          <w:tcPr>
            <w:tcW w:w="3117" w:type="dxa"/>
          </w:tcPr>
          <w:p w14:paraId="4B97BA25" w14:textId="242DE210" w:rsidR="006622E8" w:rsidRDefault="5F884969" w:rsidP="006622E8">
            <w:pPr>
              <w:pStyle w:val="ListParagraph"/>
              <w:spacing w:after="200" w:line="276" w:lineRule="auto"/>
              <w:ind w:left="0"/>
            </w:pPr>
            <w:r>
              <w:t>6</w:t>
            </w:r>
          </w:p>
        </w:tc>
      </w:tr>
      <w:tr w:rsidR="00764C95" w14:paraId="7B3A7ABA" w14:textId="77777777" w:rsidTr="5F884969">
        <w:tc>
          <w:tcPr>
            <w:tcW w:w="3116" w:type="dxa"/>
          </w:tcPr>
          <w:p w14:paraId="5305F67F" w14:textId="0F464C9E" w:rsidR="006622E8" w:rsidRDefault="5F884969" w:rsidP="006622E8">
            <w:pPr>
              <w:pStyle w:val="ListParagraph"/>
              <w:spacing w:after="200" w:line="276" w:lineRule="auto"/>
              <w:ind w:left="0"/>
            </w:pPr>
            <w:r>
              <w:t>New Affordable Rental Units</w:t>
            </w:r>
          </w:p>
        </w:tc>
        <w:tc>
          <w:tcPr>
            <w:tcW w:w="3117" w:type="dxa"/>
          </w:tcPr>
          <w:p w14:paraId="26CE4513" w14:textId="16F603D8" w:rsidR="006622E8" w:rsidRDefault="5F884969" w:rsidP="006622E8">
            <w:pPr>
              <w:pStyle w:val="ListParagraph"/>
              <w:spacing w:after="200" w:line="276" w:lineRule="auto"/>
              <w:ind w:left="0"/>
            </w:pPr>
            <w:r>
              <w:t>75</w:t>
            </w:r>
          </w:p>
        </w:tc>
        <w:tc>
          <w:tcPr>
            <w:tcW w:w="3117" w:type="dxa"/>
          </w:tcPr>
          <w:p w14:paraId="523CA2B2" w14:textId="76FE4304" w:rsidR="006622E8" w:rsidRDefault="5F884969" w:rsidP="006622E8">
            <w:pPr>
              <w:pStyle w:val="ListParagraph"/>
              <w:spacing w:after="200" w:line="276" w:lineRule="auto"/>
              <w:ind w:left="0"/>
            </w:pPr>
            <w:r>
              <w:t>96</w:t>
            </w:r>
          </w:p>
        </w:tc>
      </w:tr>
      <w:tr w:rsidR="00764C95" w14:paraId="30577250" w14:textId="77777777" w:rsidTr="5F884969">
        <w:tc>
          <w:tcPr>
            <w:tcW w:w="3116" w:type="dxa"/>
          </w:tcPr>
          <w:p w14:paraId="0D831946" w14:textId="15E34EFC" w:rsidR="006622E8" w:rsidRDefault="5F884969" w:rsidP="006622E8">
            <w:pPr>
              <w:pStyle w:val="ListParagraph"/>
              <w:spacing w:after="200" w:line="276" w:lineRule="auto"/>
              <w:ind w:left="0"/>
            </w:pPr>
            <w:r>
              <w:t>New Affordable Homeowner Units</w:t>
            </w:r>
          </w:p>
        </w:tc>
        <w:tc>
          <w:tcPr>
            <w:tcW w:w="3117" w:type="dxa"/>
          </w:tcPr>
          <w:p w14:paraId="796D54E3" w14:textId="4C59DEA1" w:rsidR="006622E8" w:rsidRDefault="5F884969" w:rsidP="006622E8">
            <w:pPr>
              <w:pStyle w:val="ListParagraph"/>
              <w:spacing w:after="200" w:line="276" w:lineRule="auto"/>
              <w:ind w:left="0"/>
            </w:pPr>
            <w:r>
              <w:t>67</w:t>
            </w:r>
          </w:p>
        </w:tc>
        <w:tc>
          <w:tcPr>
            <w:tcW w:w="3117" w:type="dxa"/>
          </w:tcPr>
          <w:p w14:paraId="725E8D16" w14:textId="2EBEB276" w:rsidR="006622E8" w:rsidRDefault="5F884969" w:rsidP="006622E8">
            <w:pPr>
              <w:pStyle w:val="ListParagraph"/>
              <w:spacing w:after="200" w:line="276" w:lineRule="auto"/>
              <w:ind w:left="0"/>
            </w:pPr>
            <w:r>
              <w:t>32</w:t>
            </w:r>
          </w:p>
        </w:tc>
      </w:tr>
      <w:tr w:rsidR="00764C95" w14:paraId="3A9779BC" w14:textId="77777777" w:rsidTr="5F884969">
        <w:tc>
          <w:tcPr>
            <w:tcW w:w="3116" w:type="dxa"/>
          </w:tcPr>
          <w:p w14:paraId="25C94181" w14:textId="64D128E4" w:rsidR="006622E8" w:rsidRDefault="5F884969" w:rsidP="006622E8">
            <w:pPr>
              <w:pStyle w:val="ListParagraph"/>
              <w:spacing w:after="200" w:line="276" w:lineRule="auto"/>
              <w:ind w:left="0"/>
            </w:pPr>
            <w:r>
              <w:t>Acquire/Preserve/Upgrade Affordable Units</w:t>
            </w:r>
          </w:p>
        </w:tc>
        <w:tc>
          <w:tcPr>
            <w:tcW w:w="3117" w:type="dxa"/>
          </w:tcPr>
          <w:p w14:paraId="34E2AE8E" w14:textId="33F695D4" w:rsidR="006622E8" w:rsidRDefault="5F884969" w:rsidP="006622E8">
            <w:pPr>
              <w:pStyle w:val="ListParagraph"/>
              <w:spacing w:after="200" w:line="276" w:lineRule="auto"/>
              <w:ind w:left="0"/>
            </w:pPr>
            <w:r>
              <w:t>287</w:t>
            </w:r>
          </w:p>
        </w:tc>
        <w:tc>
          <w:tcPr>
            <w:tcW w:w="3117" w:type="dxa"/>
          </w:tcPr>
          <w:p w14:paraId="774F5C5E" w14:textId="15DEB7B1" w:rsidR="006622E8" w:rsidRDefault="5F884969" w:rsidP="006622E8">
            <w:pPr>
              <w:pStyle w:val="ListParagraph"/>
              <w:spacing w:after="200" w:line="276" w:lineRule="auto"/>
              <w:ind w:left="0"/>
            </w:pPr>
            <w:r>
              <w:t>292</w:t>
            </w:r>
          </w:p>
        </w:tc>
      </w:tr>
      <w:tr w:rsidR="00041A1B" w14:paraId="1DE662D0" w14:textId="77777777" w:rsidTr="5F884969">
        <w:tc>
          <w:tcPr>
            <w:tcW w:w="3116" w:type="dxa"/>
          </w:tcPr>
          <w:p w14:paraId="430EACCF" w14:textId="2A697CDC" w:rsidR="00041A1B" w:rsidRPr="00041A1B" w:rsidRDefault="00041A1B" w:rsidP="006622E8">
            <w:pPr>
              <w:pStyle w:val="ListParagraph"/>
              <w:spacing w:after="200" w:line="276" w:lineRule="auto"/>
              <w:ind w:left="0"/>
              <w:rPr>
                <w:b/>
              </w:rPr>
            </w:pPr>
            <w:r w:rsidRPr="00041A1B">
              <w:rPr>
                <w:b/>
              </w:rPr>
              <w:t xml:space="preserve">Total Units </w:t>
            </w:r>
          </w:p>
        </w:tc>
        <w:tc>
          <w:tcPr>
            <w:tcW w:w="3117" w:type="dxa"/>
          </w:tcPr>
          <w:p w14:paraId="2508471C" w14:textId="77777777" w:rsidR="00041A1B" w:rsidRDefault="00041A1B" w:rsidP="006622E8">
            <w:pPr>
              <w:pStyle w:val="ListParagraph"/>
              <w:spacing w:after="200" w:line="276" w:lineRule="auto"/>
              <w:ind w:left="0"/>
            </w:pPr>
          </w:p>
        </w:tc>
        <w:tc>
          <w:tcPr>
            <w:tcW w:w="3117" w:type="dxa"/>
          </w:tcPr>
          <w:p w14:paraId="499CC2B4" w14:textId="2BE7DFB6" w:rsidR="00041A1B" w:rsidRPr="00041A1B" w:rsidRDefault="00041A1B" w:rsidP="006622E8">
            <w:pPr>
              <w:pStyle w:val="ListParagraph"/>
              <w:spacing w:after="200" w:line="276" w:lineRule="auto"/>
              <w:ind w:left="0"/>
              <w:rPr>
                <w:b/>
              </w:rPr>
            </w:pPr>
            <w:r w:rsidRPr="00041A1B">
              <w:rPr>
                <w:b/>
              </w:rPr>
              <w:t>457</w:t>
            </w:r>
          </w:p>
        </w:tc>
      </w:tr>
    </w:tbl>
    <w:p w14:paraId="06C6CB22" w14:textId="77777777" w:rsidR="006622E8" w:rsidRPr="004129A9" w:rsidRDefault="006622E8" w:rsidP="006622E8">
      <w:pPr>
        <w:pStyle w:val="ListParagraph"/>
        <w:spacing w:after="200" w:line="276" w:lineRule="auto"/>
        <w:ind w:left="540"/>
        <w:rPr>
          <w:rFonts w:eastAsiaTheme="minorHAnsi"/>
        </w:rPr>
      </w:pPr>
    </w:p>
    <w:p w14:paraId="100951A3" w14:textId="77777777" w:rsidR="00AF6F1E" w:rsidRPr="00AF6F1E" w:rsidRDefault="5F884969" w:rsidP="002F7C2E">
      <w:pPr>
        <w:pStyle w:val="ColorfulList-Accent11"/>
        <w:spacing w:after="240"/>
        <w:ind w:left="360"/>
        <w:outlineLvl w:val="0"/>
        <w:rPr>
          <w:rFonts w:asciiTheme="minorHAnsi" w:eastAsia="Calibri" w:hAnsiTheme="minorHAnsi"/>
          <w:b/>
          <w:bCs/>
          <w:u w:val="single"/>
        </w:rPr>
      </w:pPr>
      <w:r w:rsidRPr="5F884969">
        <w:rPr>
          <w:rFonts w:asciiTheme="minorHAnsi" w:eastAsia="Calibri" w:hAnsiTheme="minorHAnsi"/>
          <w:b/>
          <w:bCs/>
          <w:u w:val="single"/>
        </w:rPr>
        <w:t>Impediment 2</w:t>
      </w:r>
    </w:p>
    <w:p w14:paraId="508D9D46" w14:textId="77777777" w:rsidR="00AF6F1E" w:rsidRPr="00AF6F1E" w:rsidRDefault="5F884969" w:rsidP="002F7C2E">
      <w:pPr>
        <w:pStyle w:val="ColorfulList-Accent11"/>
        <w:spacing w:after="240"/>
        <w:ind w:left="360"/>
        <w:outlineLvl w:val="0"/>
        <w:rPr>
          <w:rFonts w:asciiTheme="minorHAnsi" w:eastAsia="Calibri" w:hAnsiTheme="minorHAnsi"/>
          <w:i/>
          <w:iCs/>
        </w:rPr>
      </w:pPr>
      <w:r w:rsidRPr="5F884969">
        <w:rPr>
          <w:rFonts w:asciiTheme="minorHAnsi" w:eastAsia="Calibri" w:hAnsiTheme="minorHAnsi"/>
          <w:i/>
          <w:iCs/>
        </w:rPr>
        <w:t>Some housing professionals’ policies and practices limit housing options for protected classes.</w:t>
      </w:r>
    </w:p>
    <w:p w14:paraId="63D77612" w14:textId="77777777" w:rsidR="00AF6F1E" w:rsidRDefault="00AF6F1E" w:rsidP="00AF6F1E">
      <w:pPr>
        <w:pStyle w:val="ColorfulList-Accent11"/>
        <w:spacing w:after="240"/>
        <w:ind w:left="1080"/>
        <w:rPr>
          <w:rFonts w:asciiTheme="minorHAnsi" w:eastAsia="Calibri" w:hAnsiTheme="minorHAnsi"/>
          <w:b/>
          <w:bCs/>
        </w:rPr>
      </w:pPr>
    </w:p>
    <w:tbl>
      <w:tblPr>
        <w:tblStyle w:val="TableGrid"/>
        <w:tblW w:w="0" w:type="auto"/>
        <w:tblInd w:w="364" w:type="dxa"/>
        <w:tblLook w:val="04A0" w:firstRow="1" w:lastRow="0" w:firstColumn="1" w:lastColumn="0" w:noHBand="0" w:noVBand="1"/>
      </w:tblPr>
      <w:tblGrid>
        <w:gridCol w:w="8910"/>
      </w:tblGrid>
      <w:tr w:rsidR="00AF6F1E" w:rsidRPr="00AF6F1E" w14:paraId="4287723C" w14:textId="77777777" w:rsidTr="5F884969">
        <w:trPr>
          <w:trHeight w:val="85"/>
        </w:trPr>
        <w:tc>
          <w:tcPr>
            <w:tcW w:w="8910" w:type="dxa"/>
            <w:shd w:val="clear" w:color="auto" w:fill="B5C0DF" w:themeFill="accent1" w:themeFillTint="66"/>
          </w:tcPr>
          <w:p w14:paraId="5BD9831A" w14:textId="77777777" w:rsidR="00AF6F1E" w:rsidRPr="00AF6F1E" w:rsidRDefault="00AF6F1E" w:rsidP="5F884969">
            <w:pPr>
              <w:pStyle w:val="ColorfulList-Accent11"/>
              <w:tabs>
                <w:tab w:val="left" w:pos="1814"/>
              </w:tabs>
              <w:ind w:left="0"/>
              <w:rPr>
                <w:rFonts w:asciiTheme="minorHAnsi" w:eastAsia="Calibri" w:hAnsiTheme="minorHAnsi"/>
                <w:b/>
                <w:bCs/>
              </w:rPr>
            </w:pPr>
            <w:r w:rsidRPr="5F884969">
              <w:rPr>
                <w:rFonts w:asciiTheme="minorHAnsi" w:eastAsia="Calibri" w:hAnsiTheme="minorHAnsi"/>
                <w:b/>
                <w:bCs/>
              </w:rPr>
              <w:t>Goal (A)</w:t>
            </w:r>
            <w:r w:rsidRPr="00AF6F1E">
              <w:rPr>
                <w:rFonts w:asciiTheme="minorHAnsi" w:eastAsia="Calibri" w:hAnsiTheme="minorHAnsi"/>
                <w:b/>
                <w:bCs/>
              </w:rPr>
              <w:tab/>
            </w:r>
          </w:p>
        </w:tc>
      </w:tr>
      <w:tr w:rsidR="00AF6F1E" w:rsidRPr="00AF6F1E" w14:paraId="76DA7A68" w14:textId="77777777" w:rsidTr="5F884969">
        <w:trPr>
          <w:trHeight w:val="566"/>
        </w:trPr>
        <w:tc>
          <w:tcPr>
            <w:tcW w:w="8910" w:type="dxa"/>
          </w:tcPr>
          <w:p w14:paraId="61362FF3" w14:textId="77777777" w:rsidR="00AF6F1E" w:rsidRPr="00AF6F1E" w:rsidRDefault="5F884969" w:rsidP="5F884969">
            <w:pPr>
              <w:pStyle w:val="ColorfulList-Accent11"/>
              <w:ind w:left="0"/>
              <w:rPr>
                <w:rFonts w:asciiTheme="minorHAnsi" w:eastAsia="Calibri" w:hAnsiTheme="minorHAnsi"/>
                <w:i/>
                <w:iCs/>
              </w:rPr>
            </w:pPr>
            <w:r w:rsidRPr="5F884969">
              <w:rPr>
                <w:rFonts w:asciiTheme="minorHAnsi" w:eastAsia="Calibri" w:hAnsiTheme="minorHAnsi"/>
              </w:rPr>
              <w:t>Discourage housing professionals from using unfair or illegal housing practices that discriminate against protected classes.</w:t>
            </w:r>
          </w:p>
        </w:tc>
      </w:tr>
    </w:tbl>
    <w:p w14:paraId="3696CEA9" w14:textId="77777777" w:rsidR="00AF6F1E" w:rsidRPr="00D51726" w:rsidRDefault="00AF6F1E" w:rsidP="00AF6F1E">
      <w:pPr>
        <w:pStyle w:val="ColorfulList-Accent11"/>
        <w:spacing w:after="240"/>
        <w:ind w:left="0"/>
        <w:rPr>
          <w:rFonts w:asciiTheme="minorHAnsi" w:eastAsia="Calibri" w:hAnsiTheme="minorHAnsi"/>
          <w:b/>
          <w:bCs/>
          <w:i/>
        </w:rPr>
      </w:pPr>
    </w:p>
    <w:p w14:paraId="5282EC01" w14:textId="77777777" w:rsidR="00AF6F1E" w:rsidRPr="00D51726" w:rsidRDefault="5F884969" w:rsidP="002F7C2E">
      <w:pPr>
        <w:pStyle w:val="ColorfulList-Accent11"/>
        <w:spacing w:after="240"/>
        <w:ind w:left="360"/>
        <w:outlineLvl w:val="0"/>
        <w:rPr>
          <w:rFonts w:asciiTheme="minorHAnsi" w:eastAsia="Calibri" w:hAnsiTheme="minorHAnsi"/>
          <w:b/>
          <w:bCs/>
          <w:i/>
          <w:iCs/>
        </w:rPr>
      </w:pPr>
      <w:r w:rsidRPr="00D51726">
        <w:rPr>
          <w:rFonts w:asciiTheme="minorHAnsi" w:eastAsia="Calibri" w:hAnsiTheme="minorHAnsi"/>
          <w:b/>
          <w:bCs/>
          <w:i/>
        </w:rPr>
        <w:t>Progress</w:t>
      </w:r>
      <w:r w:rsidRPr="00D51726">
        <w:rPr>
          <w:rFonts w:asciiTheme="minorHAnsi" w:eastAsia="Calibri" w:hAnsiTheme="minorHAnsi"/>
          <w:b/>
          <w:bCs/>
          <w:i/>
          <w:iCs/>
        </w:rPr>
        <w:t>:</w:t>
      </w:r>
    </w:p>
    <w:p w14:paraId="03A4CE90" w14:textId="77777777" w:rsidR="00AF6F1E" w:rsidRPr="00AF6F1E" w:rsidRDefault="00AF6F1E" w:rsidP="00852936">
      <w:pPr>
        <w:pStyle w:val="ColorfulList-Accent11"/>
        <w:spacing w:after="240"/>
        <w:ind w:left="360"/>
        <w:rPr>
          <w:rFonts w:asciiTheme="minorHAnsi" w:eastAsia="Calibri" w:hAnsiTheme="minorHAnsi"/>
          <w:b/>
          <w:bCs/>
          <w:i/>
        </w:rPr>
      </w:pPr>
    </w:p>
    <w:p w14:paraId="649528E0" w14:textId="77777777" w:rsidR="00AF6F1E" w:rsidRPr="00AF6F1E" w:rsidRDefault="5F884969" w:rsidP="5F884969">
      <w:pPr>
        <w:pStyle w:val="ColorfulList-Accent11"/>
        <w:spacing w:after="240"/>
        <w:ind w:left="360"/>
        <w:rPr>
          <w:rFonts w:asciiTheme="minorHAnsi" w:eastAsia="Calibri" w:hAnsiTheme="minorHAnsi"/>
        </w:rPr>
      </w:pPr>
      <w:r w:rsidRPr="5F884969">
        <w:rPr>
          <w:rFonts w:asciiTheme="minorHAnsi" w:eastAsia="Calibri" w:hAnsiTheme="minorHAnsi"/>
        </w:rPr>
        <w:t xml:space="preserve">In order to discourage housing professionals from using unfair or illegal housing practices that discriminate again protected classes, the City has adopted the following practices and activities: </w:t>
      </w:r>
    </w:p>
    <w:p w14:paraId="494E0CEA" w14:textId="02FA4E97"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The Community &amp; Economic Development and Code Enforcement Office</w:t>
      </w:r>
      <w:r w:rsidRPr="006A2A66">
        <w:rPr>
          <w:rFonts w:asciiTheme="minorHAnsi" w:hAnsiTheme="minorHAnsi"/>
          <w:sz w:val="22"/>
          <w:szCs w:val="22"/>
        </w:rPr>
        <w:t>s</w:t>
      </w:r>
      <w:r w:rsidRPr="5F884969">
        <w:rPr>
          <w:rFonts w:asciiTheme="minorHAnsi" w:hAnsiTheme="minorHAnsi"/>
          <w:sz w:val="22"/>
          <w:szCs w:val="22"/>
        </w:rPr>
        <w:t xml:space="preserve"> continue to hand out Fair Housing booklets to landlords during inspections of registered rental properties, with around one-third of all city rental properties routinely inspected annually. </w:t>
      </w:r>
    </w:p>
    <w:p w14:paraId="52524A4B" w14:textId="77777777"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 xml:space="preserve">Vermont Legal Aid undertakes numerous activities to combat discriminatory housing practices by housing professionals including: receiving Fair Housing Act complaints, conducting fair housing testing; providing legal counseling about fair housing rights to complaints; and reviewing advertisement and responding to the poster, advising them of Fair Housing law. </w:t>
      </w:r>
    </w:p>
    <w:p w14:paraId="39F8FE8E" w14:textId="769967EF" w:rsidR="00AF6F1E" w:rsidRPr="00AF6F1E" w:rsidRDefault="000E4132" w:rsidP="009A2CF5">
      <w:pPr>
        <w:pStyle w:val="Default"/>
        <w:numPr>
          <w:ilvl w:val="0"/>
          <w:numId w:val="16"/>
        </w:numPr>
        <w:ind w:left="810"/>
        <w:rPr>
          <w:rFonts w:asciiTheme="minorHAnsi" w:eastAsia="Calibri" w:hAnsiTheme="minorHAnsi"/>
          <w:b/>
          <w:bCs/>
          <w:i/>
          <w:iCs/>
          <w:sz w:val="22"/>
          <w:szCs w:val="22"/>
        </w:rPr>
      </w:pPr>
      <w:r>
        <w:rPr>
          <w:rFonts w:asciiTheme="minorHAnsi" w:hAnsiTheme="minorHAnsi"/>
          <w:sz w:val="22"/>
          <w:szCs w:val="22"/>
        </w:rPr>
        <w:t>Champlain Housing Trust (CHT)</w:t>
      </w:r>
      <w:r w:rsidR="008A57A6">
        <w:rPr>
          <w:rFonts w:asciiTheme="minorHAnsi" w:hAnsiTheme="minorHAnsi"/>
          <w:sz w:val="22"/>
          <w:szCs w:val="22"/>
        </w:rPr>
        <w:t xml:space="preserve"> </w:t>
      </w:r>
      <w:r w:rsidR="5F884969" w:rsidRPr="5F884969">
        <w:rPr>
          <w:rFonts w:asciiTheme="minorHAnsi" w:hAnsiTheme="minorHAnsi"/>
          <w:sz w:val="22"/>
          <w:szCs w:val="22"/>
        </w:rPr>
        <w:t xml:space="preserve">offers Ready Set Rent, a program designed to remove credit and other barriers to renting an apartment. The program serves rental applicants who have been denied a CHT apartment because of poor credit or no credit history. Once an applicant completes their education and develops an action plan to address their credit, CHT applies $100 towards one month's rent. Many vulnerable tenants who were previously denied an apartment are now developing solid rental histories through this program. </w:t>
      </w:r>
    </w:p>
    <w:p w14:paraId="204A693A" w14:textId="77777777"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With ongoing City funding, the Champlain Housing Trust's Homeownership Center is providing interpreters for its eight-hour homeownership classes.</w:t>
      </w:r>
    </w:p>
    <w:p w14:paraId="61B38F2A" w14:textId="743E6322"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Since 2014, Champlain Valley’s Office of Economic Opportunit</w:t>
      </w:r>
      <w:r w:rsidR="00041A1B">
        <w:rPr>
          <w:rFonts w:asciiTheme="minorHAnsi" w:hAnsiTheme="minorHAnsi"/>
          <w:sz w:val="22"/>
          <w:szCs w:val="22"/>
        </w:rPr>
        <w:t xml:space="preserve">y has offered </w:t>
      </w:r>
      <w:proofErr w:type="spellStart"/>
      <w:r w:rsidR="00041A1B">
        <w:rPr>
          <w:rFonts w:asciiTheme="minorHAnsi" w:hAnsiTheme="minorHAnsi"/>
          <w:sz w:val="22"/>
          <w:szCs w:val="22"/>
        </w:rPr>
        <w:t>RentRight</w:t>
      </w:r>
      <w:proofErr w:type="spellEnd"/>
      <w:r w:rsidR="00041A1B">
        <w:rPr>
          <w:rFonts w:asciiTheme="minorHAnsi" w:hAnsiTheme="minorHAnsi"/>
          <w:sz w:val="22"/>
          <w:szCs w:val="22"/>
        </w:rPr>
        <w:t xml:space="preserve"> </w:t>
      </w:r>
      <w:r w:rsidRPr="5F884969">
        <w:rPr>
          <w:rFonts w:asciiTheme="minorHAnsi" w:hAnsiTheme="minorHAnsi"/>
          <w:sz w:val="22"/>
          <w:szCs w:val="22"/>
        </w:rPr>
        <w:t xml:space="preserve">courses to serving over 250 Burlington attendees. The Program combines the expertise of three programs in one educational setting. Vermont Tenants, Financial Futures and Housing Assistance programs have teamed up to create and implement it. Participants attend 10 hours </w:t>
      </w:r>
      <w:r w:rsidRPr="5F884969">
        <w:rPr>
          <w:rFonts w:asciiTheme="minorHAnsi" w:hAnsiTheme="minorHAnsi"/>
          <w:sz w:val="22"/>
          <w:szCs w:val="22"/>
        </w:rPr>
        <w:lastRenderedPageBreak/>
        <w:t xml:space="preserve">of course work and individual sessions as well as commit to follow-up work with the program. The curriculum covers credit repair and building, spending management skills, setting financial goals, communicating with and understanding the landlord's perspective; legal responsibilities and avoiding eviction. Those who successfully complete the course earn a Preferred Renter card, giving them a significant edge in a tight housing market. </w:t>
      </w:r>
    </w:p>
    <w:p w14:paraId="408827D5" w14:textId="77777777" w:rsidR="00AF6F1E" w:rsidRPr="00AF6F1E" w:rsidRDefault="5F884969" w:rsidP="009A2CF5">
      <w:pPr>
        <w:pStyle w:val="ListParagraph"/>
        <w:widowControl w:val="0"/>
        <w:numPr>
          <w:ilvl w:val="0"/>
          <w:numId w:val="16"/>
        </w:numPr>
        <w:spacing w:beforeAutospacing="1" w:after="200" w:afterAutospacing="1" w:line="276" w:lineRule="auto"/>
        <w:ind w:left="810"/>
        <w:rPr>
          <w:rFonts w:cs="Arial"/>
        </w:rPr>
      </w:pPr>
      <w:r>
        <w:t xml:space="preserve">VLA's FHIP continually conducts fair housing testing and investigation and has published two reports of its systemic and complaint-based testing results, furthering fair housing by adding to the information available to analyze the types and prevalence of such discrimination. VLA published its most recent testing and investigation findings in June, 2014. It is available online: </w:t>
      </w:r>
      <w:hyperlink r:id="rId16">
        <w:r w:rsidRPr="5F884969">
          <w:rPr>
            <w:rStyle w:val="Hyperlink"/>
          </w:rPr>
          <w:t>http://www.vtlegalaid.org/sites/default/files/Rental%20Discrimination%20Report%202014.pdf</w:t>
        </w:r>
      </w:hyperlink>
      <w:r>
        <w:t xml:space="preserve"> </w:t>
      </w:r>
    </w:p>
    <w:p w14:paraId="67E3CA8A" w14:textId="77777777" w:rsidR="00AF6F1E" w:rsidRPr="00AF6F1E" w:rsidRDefault="00AF6F1E" w:rsidP="00AF6F1E">
      <w:pPr>
        <w:pStyle w:val="Default"/>
        <w:ind w:left="540"/>
        <w:rPr>
          <w:rFonts w:asciiTheme="minorHAnsi" w:eastAsia="Calibri" w:hAnsiTheme="minorHAnsi"/>
          <w:b/>
          <w:bCs/>
          <w:i/>
          <w:sz w:val="22"/>
          <w:szCs w:val="22"/>
        </w:rPr>
      </w:pPr>
    </w:p>
    <w:p w14:paraId="28DE06AC" w14:textId="77777777" w:rsidR="00AF6F1E" w:rsidRPr="00AF6F1E" w:rsidRDefault="00AF6F1E" w:rsidP="00AF6F1E">
      <w:pPr>
        <w:pStyle w:val="ColorfulList-Accent11"/>
        <w:spacing w:after="240"/>
        <w:ind w:left="0"/>
        <w:rPr>
          <w:rFonts w:asciiTheme="minorHAnsi" w:eastAsia="Calibri" w:hAnsiTheme="minorHAnsi"/>
          <w:b/>
          <w:bCs/>
        </w:rPr>
      </w:pPr>
    </w:p>
    <w:tbl>
      <w:tblPr>
        <w:tblStyle w:val="TableGrid"/>
        <w:tblW w:w="0" w:type="auto"/>
        <w:tblInd w:w="364" w:type="dxa"/>
        <w:tblLook w:val="04A0" w:firstRow="1" w:lastRow="0" w:firstColumn="1" w:lastColumn="0" w:noHBand="0" w:noVBand="1"/>
      </w:tblPr>
      <w:tblGrid>
        <w:gridCol w:w="8910"/>
      </w:tblGrid>
      <w:tr w:rsidR="00AF6F1E" w:rsidRPr="00AF6F1E" w14:paraId="2AED8281" w14:textId="77777777" w:rsidTr="5F884969">
        <w:trPr>
          <w:trHeight w:val="85"/>
        </w:trPr>
        <w:tc>
          <w:tcPr>
            <w:tcW w:w="8910" w:type="dxa"/>
            <w:shd w:val="clear" w:color="auto" w:fill="B5C0DF" w:themeFill="accent1" w:themeFillTint="66"/>
          </w:tcPr>
          <w:p w14:paraId="68B2B598" w14:textId="77777777" w:rsidR="00AF6F1E" w:rsidRPr="00AF6F1E" w:rsidRDefault="00AF6F1E" w:rsidP="5F884969">
            <w:pPr>
              <w:pStyle w:val="ColorfulList-Accent11"/>
              <w:tabs>
                <w:tab w:val="left" w:pos="1814"/>
              </w:tabs>
              <w:ind w:left="0"/>
              <w:rPr>
                <w:rFonts w:asciiTheme="minorHAnsi" w:eastAsia="Calibri" w:hAnsiTheme="minorHAnsi"/>
                <w:b/>
                <w:bCs/>
              </w:rPr>
            </w:pPr>
            <w:r w:rsidRPr="5F884969">
              <w:rPr>
                <w:rFonts w:asciiTheme="minorHAnsi" w:eastAsia="Calibri" w:hAnsiTheme="minorHAnsi"/>
                <w:b/>
                <w:bCs/>
              </w:rPr>
              <w:t>Goal (B)</w:t>
            </w:r>
            <w:r w:rsidRPr="00AF6F1E">
              <w:rPr>
                <w:rFonts w:asciiTheme="minorHAnsi" w:eastAsia="Calibri" w:hAnsiTheme="minorHAnsi"/>
                <w:b/>
                <w:bCs/>
              </w:rPr>
              <w:tab/>
            </w:r>
          </w:p>
        </w:tc>
      </w:tr>
      <w:tr w:rsidR="00AF6F1E" w:rsidRPr="00AF6F1E" w14:paraId="44E5B84F" w14:textId="77777777" w:rsidTr="5F884969">
        <w:trPr>
          <w:trHeight w:val="368"/>
        </w:trPr>
        <w:tc>
          <w:tcPr>
            <w:tcW w:w="8910" w:type="dxa"/>
          </w:tcPr>
          <w:p w14:paraId="74B4531F" w14:textId="77777777" w:rsidR="00AF6F1E" w:rsidRPr="00AF6F1E" w:rsidRDefault="5F884969" w:rsidP="5F884969">
            <w:pPr>
              <w:pStyle w:val="ColorfulList-Accent11"/>
              <w:ind w:left="0"/>
              <w:rPr>
                <w:rFonts w:asciiTheme="minorHAnsi" w:eastAsia="Calibri" w:hAnsiTheme="minorHAnsi"/>
                <w:i/>
                <w:iCs/>
              </w:rPr>
            </w:pPr>
            <w:r w:rsidRPr="5F884969">
              <w:rPr>
                <w:rFonts w:asciiTheme="minorHAnsi" w:eastAsia="Calibri" w:hAnsiTheme="minorHAnsi"/>
              </w:rPr>
              <w:t>Educate the public about unfair or illegal housing practices which can limit housing choices.</w:t>
            </w:r>
          </w:p>
        </w:tc>
      </w:tr>
    </w:tbl>
    <w:p w14:paraId="3BDC85D7" w14:textId="77777777" w:rsidR="00AF6F1E" w:rsidRPr="00AF6F1E" w:rsidRDefault="00AF6F1E" w:rsidP="00AF6F1E">
      <w:pPr>
        <w:pStyle w:val="ColorfulList-Accent11"/>
        <w:tabs>
          <w:tab w:val="left" w:pos="5775"/>
        </w:tabs>
        <w:spacing w:after="240"/>
        <w:ind w:left="0"/>
        <w:rPr>
          <w:rFonts w:asciiTheme="minorHAnsi" w:eastAsia="Calibri" w:hAnsiTheme="minorHAnsi"/>
          <w:b/>
          <w:bCs/>
        </w:rPr>
      </w:pPr>
    </w:p>
    <w:p w14:paraId="16076C77" w14:textId="77777777" w:rsidR="00AF6F1E" w:rsidRPr="00D51726" w:rsidRDefault="5F884969" w:rsidP="002F7C2E">
      <w:pPr>
        <w:pStyle w:val="ColorfulList-Accent11"/>
        <w:tabs>
          <w:tab w:val="left" w:pos="5775"/>
        </w:tabs>
        <w:spacing w:after="240"/>
        <w:ind w:left="360"/>
        <w:outlineLvl w:val="0"/>
        <w:rPr>
          <w:rFonts w:asciiTheme="minorHAnsi" w:eastAsia="Calibri" w:hAnsiTheme="minorHAnsi"/>
          <w:b/>
          <w:bCs/>
          <w:i/>
        </w:rPr>
      </w:pPr>
      <w:r w:rsidRPr="00D51726">
        <w:rPr>
          <w:rFonts w:asciiTheme="minorHAnsi" w:eastAsia="Calibri" w:hAnsiTheme="minorHAnsi"/>
          <w:b/>
          <w:bCs/>
          <w:i/>
        </w:rPr>
        <w:t>Progress:</w:t>
      </w:r>
    </w:p>
    <w:p w14:paraId="35D8BF2A" w14:textId="77777777" w:rsidR="00AF6F1E" w:rsidRPr="00AF6F1E" w:rsidRDefault="00AF6F1E" w:rsidP="00852936">
      <w:pPr>
        <w:pStyle w:val="ColorfulList-Accent11"/>
        <w:tabs>
          <w:tab w:val="left" w:pos="5775"/>
        </w:tabs>
        <w:spacing w:after="240"/>
        <w:ind w:left="360"/>
        <w:rPr>
          <w:rFonts w:asciiTheme="minorHAnsi" w:eastAsia="Calibri" w:hAnsiTheme="minorHAnsi"/>
          <w:b/>
          <w:bCs/>
        </w:rPr>
      </w:pPr>
    </w:p>
    <w:p w14:paraId="572A6EFF" w14:textId="77777777" w:rsidR="00AF6F1E" w:rsidRPr="00AF6F1E" w:rsidRDefault="5F884969" w:rsidP="00D51726">
      <w:pPr>
        <w:pStyle w:val="ColorfulList-Accent11"/>
        <w:tabs>
          <w:tab w:val="left" w:pos="5775"/>
        </w:tabs>
        <w:ind w:left="360"/>
        <w:rPr>
          <w:rFonts w:asciiTheme="minorHAnsi" w:eastAsia="Calibri" w:hAnsiTheme="minorHAnsi"/>
        </w:rPr>
      </w:pPr>
      <w:r w:rsidRPr="5F884969">
        <w:rPr>
          <w:rFonts w:asciiTheme="minorHAnsi" w:eastAsia="Calibri" w:hAnsiTheme="minorHAnsi"/>
        </w:rPr>
        <w:t>The City and other particular institutions have worked hard to administer education and outreach to the public and other housing entities about unfair and illegal housing practices that can limit housing choices. These activities include:</w:t>
      </w:r>
    </w:p>
    <w:p w14:paraId="11F10415" w14:textId="77777777" w:rsidR="00AF6F1E" w:rsidRPr="00AF6F1E" w:rsidRDefault="00AF6F1E" w:rsidP="00AF6F1E">
      <w:pPr>
        <w:pStyle w:val="Default"/>
        <w:ind w:left="540"/>
        <w:rPr>
          <w:rFonts w:asciiTheme="minorHAnsi" w:hAnsiTheme="minorHAnsi"/>
          <w:sz w:val="22"/>
          <w:szCs w:val="22"/>
        </w:rPr>
      </w:pPr>
    </w:p>
    <w:p w14:paraId="66364C21" w14:textId="77777777"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 xml:space="preserve">CEDO and the Code Enforcement Office continue to hand out Fair Housing booklets to landlords during inspections of registered rental properties, with around one-third of all city rental properties routinely inspected annually. </w:t>
      </w:r>
    </w:p>
    <w:p w14:paraId="4C137829" w14:textId="77777777"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 xml:space="preserve">The Fair Housing Project distributed 60 Fair Housing Guides for Families including 10 each in English, Somali, Burmese, Nepali, Chinese and Arabic at the libraries in Burlington, South Burlington and Winooski. In addition, Guides were distributed to the Vermont Refugee Resettlement Program and the Association of Africans Living in Vermont. </w:t>
      </w:r>
    </w:p>
    <w:p w14:paraId="21F5A57F" w14:textId="77777777"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 xml:space="preserve">The CVOEO Fair Housing Project conducts neighborhood outreach meetings promoting the benefits of inclusive communities and affordable housing. Over several years, Fair Housing presentations were given to neighborhood planning assemblies reaching over 75 residents and also televised quarterly Fair Housing shows reaching a wider audience. </w:t>
      </w:r>
    </w:p>
    <w:p w14:paraId="67DAC27D" w14:textId="77777777"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 xml:space="preserve">The City, in association with the Fair Housing Project, sponsored a Heart and Home art project during April in celebration of Fair Housing Month. It was organized in collaboration between ONE Art Center, Fair Housing Project, and Burlington City Arts plus others. Exhibit and performance venues included but were not limited to: ONE Art Center, North End Studio, Radio Bean, Burlington City Hall, and Arts Riot. Many exhibits were up for the entire month and all exhibits and performances revolved around some aspects of home, affordability, inclusion and diversity. </w:t>
      </w:r>
    </w:p>
    <w:p w14:paraId="4E642EF1" w14:textId="77777777"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In 2015, the Fair Housing Project sponsored a month long art exhibit themed Inclusive Communities and Home at the Old North End Art Center during Fair Housing Month.</w:t>
      </w:r>
    </w:p>
    <w:p w14:paraId="7469C537" w14:textId="77777777" w:rsidR="00AF6F1E" w:rsidRPr="00AF6F1E"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sz w:val="22"/>
          <w:szCs w:val="22"/>
        </w:rPr>
        <w:t xml:space="preserve">The City convenes a Realtor Luncheon with a panel featuring the CVOEO Fair Housing Project to </w:t>
      </w:r>
      <w:r w:rsidRPr="5F884969">
        <w:rPr>
          <w:rFonts w:asciiTheme="minorHAnsi" w:hAnsiTheme="minorHAnsi" w:cstheme="minorBidi"/>
          <w:color w:val="auto"/>
          <w:sz w:val="22"/>
          <w:szCs w:val="22"/>
        </w:rPr>
        <w:t xml:space="preserve">educate Realtors about their Fair Housing obligations. </w:t>
      </w:r>
    </w:p>
    <w:p w14:paraId="5DEB5F08" w14:textId="133B1DE1" w:rsidR="00AF6F1E" w:rsidRPr="007A3270" w:rsidRDefault="5F884969" w:rsidP="009A2CF5">
      <w:pPr>
        <w:pStyle w:val="Default"/>
        <w:numPr>
          <w:ilvl w:val="0"/>
          <w:numId w:val="16"/>
        </w:numPr>
        <w:ind w:left="810"/>
        <w:rPr>
          <w:rFonts w:asciiTheme="minorHAnsi" w:hAnsiTheme="minorHAnsi"/>
          <w:sz w:val="22"/>
          <w:szCs w:val="22"/>
        </w:rPr>
      </w:pPr>
      <w:r w:rsidRPr="5F884969">
        <w:rPr>
          <w:rFonts w:asciiTheme="minorHAnsi" w:hAnsiTheme="minorHAnsi" w:cstheme="minorBidi"/>
          <w:color w:val="auto"/>
          <w:sz w:val="22"/>
          <w:szCs w:val="22"/>
        </w:rPr>
        <w:t xml:space="preserve">The Vermont Human Rights Commission (HRC) continues to lead proactive outreach and education efforts to the public. Efforts included a public service announcements on local </w:t>
      </w:r>
      <w:r w:rsidRPr="5F884969">
        <w:rPr>
          <w:rFonts w:asciiTheme="minorHAnsi" w:hAnsiTheme="minorHAnsi" w:cstheme="minorBidi"/>
          <w:color w:val="auto"/>
          <w:sz w:val="22"/>
          <w:szCs w:val="22"/>
        </w:rPr>
        <w:lastRenderedPageBreak/>
        <w:t xml:space="preserve">broadcasting stations. Efforts are expected to continue during FY17 due to additional grant funding from HUD. See Table II below. </w:t>
      </w:r>
    </w:p>
    <w:p w14:paraId="5E22E1AB" w14:textId="77777777" w:rsidR="007A3270" w:rsidRPr="00A974AE" w:rsidRDefault="007A3270" w:rsidP="007A3270">
      <w:pPr>
        <w:pStyle w:val="Default"/>
        <w:ind w:left="810"/>
        <w:rPr>
          <w:rFonts w:asciiTheme="minorHAnsi" w:hAnsiTheme="minorHAnsi"/>
          <w:sz w:val="22"/>
          <w:szCs w:val="22"/>
        </w:rPr>
      </w:pPr>
    </w:p>
    <w:tbl>
      <w:tblPr>
        <w:tblStyle w:val="TableGrid"/>
        <w:tblW w:w="0" w:type="auto"/>
        <w:tblInd w:w="369" w:type="dxa"/>
        <w:tblLook w:val="04A0" w:firstRow="1" w:lastRow="0" w:firstColumn="1" w:lastColumn="0" w:noHBand="0" w:noVBand="1"/>
      </w:tblPr>
      <w:tblGrid>
        <w:gridCol w:w="2618"/>
        <w:gridCol w:w="1901"/>
        <w:gridCol w:w="2232"/>
        <w:gridCol w:w="2240"/>
      </w:tblGrid>
      <w:tr w:rsidR="00AF6F1E" w:rsidRPr="00AF6F1E" w14:paraId="6B8606D4" w14:textId="77777777" w:rsidTr="5F884969">
        <w:trPr>
          <w:trHeight w:val="297"/>
        </w:trPr>
        <w:tc>
          <w:tcPr>
            <w:tcW w:w="9350" w:type="dxa"/>
            <w:gridSpan w:val="4"/>
            <w:tcBorders>
              <w:top w:val="nil"/>
              <w:left w:val="nil"/>
              <w:bottom w:val="single" w:sz="4" w:space="0" w:color="auto"/>
              <w:right w:val="nil"/>
            </w:tcBorders>
          </w:tcPr>
          <w:p w14:paraId="29A9A0AE" w14:textId="3F2CE136" w:rsidR="00AF6F1E" w:rsidRPr="00747840" w:rsidRDefault="5F884969" w:rsidP="5F884969">
            <w:pPr>
              <w:pStyle w:val="Default"/>
              <w:rPr>
                <w:rFonts w:asciiTheme="minorHAnsi" w:hAnsiTheme="minorHAnsi"/>
                <w:b/>
                <w:bCs/>
                <w:sz w:val="20"/>
                <w:szCs w:val="20"/>
              </w:rPr>
            </w:pPr>
            <w:r w:rsidRPr="5F884969">
              <w:rPr>
                <w:rFonts w:asciiTheme="minorHAnsi" w:hAnsiTheme="minorHAnsi"/>
                <w:b/>
                <w:bCs/>
                <w:i/>
                <w:iCs/>
                <w:sz w:val="20"/>
                <w:szCs w:val="20"/>
              </w:rPr>
              <w:t xml:space="preserve">Table 2: </w:t>
            </w:r>
            <w:r w:rsidRPr="5F884969">
              <w:rPr>
                <w:rFonts w:asciiTheme="minorHAnsi" w:hAnsiTheme="minorHAnsi"/>
                <w:b/>
                <w:bCs/>
                <w:sz w:val="20"/>
                <w:szCs w:val="20"/>
              </w:rPr>
              <w:t xml:space="preserve"> </w:t>
            </w:r>
            <w:r w:rsidRPr="5F884969">
              <w:rPr>
                <w:rFonts w:asciiTheme="minorHAnsi" w:hAnsiTheme="minorHAnsi"/>
                <w:sz w:val="20"/>
                <w:szCs w:val="20"/>
              </w:rPr>
              <w:t>Education Provided by HRC Staff</w:t>
            </w:r>
            <w:r w:rsidRPr="5F884969">
              <w:rPr>
                <w:rFonts w:asciiTheme="minorHAnsi" w:hAnsiTheme="minorHAnsi"/>
                <w:b/>
                <w:bCs/>
                <w:sz w:val="20"/>
                <w:szCs w:val="20"/>
              </w:rPr>
              <w:t xml:space="preserve"> </w:t>
            </w:r>
          </w:p>
        </w:tc>
      </w:tr>
      <w:tr w:rsidR="00AF6F1E" w:rsidRPr="00AF6F1E" w14:paraId="100BF4D4" w14:textId="77777777" w:rsidTr="5F884969">
        <w:tc>
          <w:tcPr>
            <w:tcW w:w="2695" w:type="dxa"/>
            <w:tcBorders>
              <w:top w:val="single" w:sz="4" w:space="0" w:color="auto"/>
            </w:tcBorders>
          </w:tcPr>
          <w:p w14:paraId="0FC0E822" w14:textId="77777777" w:rsidR="00AF6F1E" w:rsidRPr="00AF6F1E" w:rsidRDefault="5F884969" w:rsidP="5F884969">
            <w:pPr>
              <w:pStyle w:val="Default"/>
              <w:rPr>
                <w:rFonts w:asciiTheme="minorHAnsi" w:hAnsiTheme="minorHAnsi"/>
                <w:sz w:val="22"/>
                <w:szCs w:val="22"/>
              </w:rPr>
            </w:pPr>
            <w:r w:rsidRPr="5F884969">
              <w:rPr>
                <w:rFonts w:asciiTheme="minorHAnsi" w:hAnsiTheme="minorHAnsi"/>
                <w:sz w:val="22"/>
                <w:szCs w:val="22"/>
              </w:rPr>
              <w:t>Event Type</w:t>
            </w:r>
          </w:p>
        </w:tc>
        <w:tc>
          <w:tcPr>
            <w:tcW w:w="1979" w:type="dxa"/>
            <w:tcBorders>
              <w:top w:val="single" w:sz="4" w:space="0" w:color="auto"/>
            </w:tcBorders>
          </w:tcPr>
          <w:p w14:paraId="7696103A" w14:textId="77777777" w:rsidR="00AF6F1E" w:rsidRPr="00AF6F1E" w:rsidRDefault="5F884969" w:rsidP="5F884969">
            <w:pPr>
              <w:pStyle w:val="Default"/>
              <w:rPr>
                <w:rFonts w:asciiTheme="minorHAnsi" w:hAnsiTheme="minorHAnsi"/>
                <w:sz w:val="22"/>
                <w:szCs w:val="22"/>
              </w:rPr>
            </w:pPr>
            <w:r w:rsidRPr="5F884969">
              <w:rPr>
                <w:rFonts w:asciiTheme="minorHAnsi" w:hAnsiTheme="minorHAnsi"/>
                <w:sz w:val="22"/>
                <w:szCs w:val="22"/>
              </w:rPr>
              <w:t>Number of Events</w:t>
            </w:r>
          </w:p>
        </w:tc>
        <w:tc>
          <w:tcPr>
            <w:tcW w:w="2338" w:type="dxa"/>
            <w:tcBorders>
              <w:top w:val="single" w:sz="4" w:space="0" w:color="auto"/>
            </w:tcBorders>
          </w:tcPr>
          <w:p w14:paraId="75F983E4" w14:textId="77777777" w:rsidR="00AF6F1E" w:rsidRPr="00AF6F1E" w:rsidRDefault="5F884969" w:rsidP="5F884969">
            <w:pPr>
              <w:pStyle w:val="Default"/>
              <w:rPr>
                <w:rFonts w:asciiTheme="minorHAnsi" w:hAnsiTheme="minorHAnsi"/>
                <w:sz w:val="22"/>
                <w:szCs w:val="22"/>
              </w:rPr>
            </w:pPr>
            <w:r w:rsidRPr="5F884969">
              <w:rPr>
                <w:rFonts w:asciiTheme="minorHAnsi" w:hAnsiTheme="minorHAnsi"/>
                <w:sz w:val="22"/>
                <w:szCs w:val="22"/>
              </w:rPr>
              <w:t>Number of People</w:t>
            </w:r>
          </w:p>
        </w:tc>
        <w:tc>
          <w:tcPr>
            <w:tcW w:w="2338" w:type="dxa"/>
            <w:tcBorders>
              <w:top w:val="single" w:sz="4" w:space="0" w:color="auto"/>
            </w:tcBorders>
          </w:tcPr>
          <w:p w14:paraId="0045C7BB" w14:textId="77777777" w:rsidR="00AF6F1E" w:rsidRPr="00AF6F1E" w:rsidRDefault="5F884969" w:rsidP="5F884969">
            <w:pPr>
              <w:pStyle w:val="Default"/>
              <w:rPr>
                <w:rFonts w:asciiTheme="minorHAnsi" w:hAnsiTheme="minorHAnsi"/>
                <w:sz w:val="22"/>
                <w:szCs w:val="22"/>
              </w:rPr>
            </w:pPr>
            <w:r w:rsidRPr="5F884969">
              <w:rPr>
                <w:rFonts w:asciiTheme="minorHAnsi" w:hAnsiTheme="minorHAnsi"/>
                <w:sz w:val="22"/>
                <w:szCs w:val="22"/>
              </w:rPr>
              <w:t>Amount Collected</w:t>
            </w:r>
          </w:p>
        </w:tc>
      </w:tr>
      <w:tr w:rsidR="00AF6F1E" w:rsidRPr="00AF6F1E" w14:paraId="54FB7706" w14:textId="77777777" w:rsidTr="5F884969">
        <w:tc>
          <w:tcPr>
            <w:tcW w:w="2695" w:type="dxa"/>
          </w:tcPr>
          <w:p w14:paraId="35BC1CB8" w14:textId="77777777" w:rsidR="00AF6F1E" w:rsidRPr="00AF6F1E" w:rsidRDefault="5F884969" w:rsidP="5F884969">
            <w:pPr>
              <w:pStyle w:val="Default"/>
              <w:rPr>
                <w:rFonts w:asciiTheme="minorHAnsi" w:hAnsiTheme="minorHAnsi"/>
                <w:sz w:val="22"/>
                <w:szCs w:val="22"/>
              </w:rPr>
            </w:pPr>
            <w:r w:rsidRPr="5F884969">
              <w:rPr>
                <w:rFonts w:asciiTheme="minorHAnsi" w:hAnsiTheme="minorHAnsi"/>
                <w:sz w:val="22"/>
                <w:szCs w:val="22"/>
              </w:rPr>
              <w:t>Employment</w:t>
            </w:r>
          </w:p>
        </w:tc>
        <w:tc>
          <w:tcPr>
            <w:tcW w:w="1979" w:type="dxa"/>
          </w:tcPr>
          <w:p w14:paraId="0CA68D6E"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1</w:t>
            </w:r>
          </w:p>
        </w:tc>
        <w:tc>
          <w:tcPr>
            <w:tcW w:w="2338" w:type="dxa"/>
          </w:tcPr>
          <w:p w14:paraId="6C8C5EB2"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150</w:t>
            </w:r>
          </w:p>
        </w:tc>
        <w:tc>
          <w:tcPr>
            <w:tcW w:w="2338" w:type="dxa"/>
          </w:tcPr>
          <w:p w14:paraId="6019B32C"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$0</w:t>
            </w:r>
          </w:p>
        </w:tc>
      </w:tr>
      <w:tr w:rsidR="00AF6F1E" w:rsidRPr="00AF6F1E" w14:paraId="1FB97E98" w14:textId="77777777" w:rsidTr="5F884969">
        <w:tc>
          <w:tcPr>
            <w:tcW w:w="2695" w:type="dxa"/>
          </w:tcPr>
          <w:p w14:paraId="4E120B6D" w14:textId="77777777" w:rsidR="00AF6F1E" w:rsidRPr="00AF6F1E" w:rsidRDefault="5F884969" w:rsidP="5F884969">
            <w:pPr>
              <w:pStyle w:val="Default"/>
              <w:rPr>
                <w:rFonts w:asciiTheme="minorHAnsi" w:hAnsiTheme="minorHAnsi"/>
                <w:sz w:val="22"/>
                <w:szCs w:val="22"/>
              </w:rPr>
            </w:pPr>
            <w:r w:rsidRPr="5F884969">
              <w:rPr>
                <w:rFonts w:asciiTheme="minorHAnsi" w:hAnsiTheme="minorHAnsi"/>
                <w:sz w:val="22"/>
                <w:szCs w:val="22"/>
              </w:rPr>
              <w:t>Housing</w:t>
            </w:r>
          </w:p>
        </w:tc>
        <w:tc>
          <w:tcPr>
            <w:tcW w:w="1979" w:type="dxa"/>
          </w:tcPr>
          <w:p w14:paraId="254D442B"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23</w:t>
            </w:r>
          </w:p>
        </w:tc>
        <w:tc>
          <w:tcPr>
            <w:tcW w:w="2338" w:type="dxa"/>
          </w:tcPr>
          <w:p w14:paraId="203CEADB"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377</w:t>
            </w:r>
          </w:p>
        </w:tc>
        <w:tc>
          <w:tcPr>
            <w:tcW w:w="2338" w:type="dxa"/>
          </w:tcPr>
          <w:p w14:paraId="5C0AA71A"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$1,370</w:t>
            </w:r>
          </w:p>
        </w:tc>
      </w:tr>
      <w:tr w:rsidR="00AF6F1E" w:rsidRPr="00AF6F1E" w14:paraId="50EFCA3B" w14:textId="77777777" w:rsidTr="5F884969">
        <w:tc>
          <w:tcPr>
            <w:tcW w:w="2695" w:type="dxa"/>
          </w:tcPr>
          <w:p w14:paraId="2A3A4125" w14:textId="77777777" w:rsidR="00AF6F1E" w:rsidRPr="00AF6F1E" w:rsidRDefault="5F884969" w:rsidP="5F884969">
            <w:pPr>
              <w:pStyle w:val="Default"/>
              <w:rPr>
                <w:rFonts w:asciiTheme="minorHAnsi" w:hAnsiTheme="minorHAnsi"/>
                <w:sz w:val="22"/>
                <w:szCs w:val="22"/>
              </w:rPr>
            </w:pPr>
            <w:r w:rsidRPr="5F884969">
              <w:rPr>
                <w:rFonts w:asciiTheme="minorHAnsi" w:hAnsiTheme="minorHAnsi"/>
                <w:sz w:val="22"/>
                <w:szCs w:val="22"/>
              </w:rPr>
              <w:t>Public Accommodation</w:t>
            </w:r>
          </w:p>
        </w:tc>
        <w:tc>
          <w:tcPr>
            <w:tcW w:w="1979" w:type="dxa"/>
          </w:tcPr>
          <w:p w14:paraId="17E1FD90"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7</w:t>
            </w:r>
          </w:p>
        </w:tc>
        <w:tc>
          <w:tcPr>
            <w:tcW w:w="2338" w:type="dxa"/>
          </w:tcPr>
          <w:p w14:paraId="53C93DFA"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305</w:t>
            </w:r>
          </w:p>
        </w:tc>
        <w:tc>
          <w:tcPr>
            <w:tcW w:w="2338" w:type="dxa"/>
          </w:tcPr>
          <w:p w14:paraId="6A5B704B"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$0</w:t>
            </w:r>
          </w:p>
        </w:tc>
      </w:tr>
      <w:tr w:rsidR="00AF6F1E" w:rsidRPr="00AF6F1E" w14:paraId="294C262F" w14:textId="77777777" w:rsidTr="5F884969">
        <w:tc>
          <w:tcPr>
            <w:tcW w:w="2695" w:type="dxa"/>
          </w:tcPr>
          <w:p w14:paraId="1A2E233C" w14:textId="77777777" w:rsidR="00AF6F1E" w:rsidRPr="00AF6F1E" w:rsidRDefault="5F884969" w:rsidP="5F884969">
            <w:pPr>
              <w:pStyle w:val="Default"/>
              <w:rPr>
                <w:rFonts w:asciiTheme="minorHAnsi" w:hAnsiTheme="minorHAnsi"/>
                <w:sz w:val="22"/>
                <w:szCs w:val="22"/>
              </w:rPr>
            </w:pPr>
            <w:r w:rsidRPr="5F884969">
              <w:rPr>
                <w:rFonts w:asciiTheme="minorHAnsi" w:hAnsiTheme="minorHAnsi"/>
                <w:sz w:val="22"/>
                <w:szCs w:val="22"/>
              </w:rPr>
              <w:t>Implicit Bias</w:t>
            </w:r>
          </w:p>
        </w:tc>
        <w:tc>
          <w:tcPr>
            <w:tcW w:w="1979" w:type="dxa"/>
          </w:tcPr>
          <w:p w14:paraId="770A7A8D"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9</w:t>
            </w:r>
          </w:p>
        </w:tc>
        <w:tc>
          <w:tcPr>
            <w:tcW w:w="2338" w:type="dxa"/>
          </w:tcPr>
          <w:p w14:paraId="680C778B"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321</w:t>
            </w:r>
          </w:p>
        </w:tc>
        <w:tc>
          <w:tcPr>
            <w:tcW w:w="2338" w:type="dxa"/>
          </w:tcPr>
          <w:p w14:paraId="4153074F"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$500</w:t>
            </w:r>
          </w:p>
        </w:tc>
      </w:tr>
      <w:tr w:rsidR="00AF6F1E" w:rsidRPr="00AF6F1E" w14:paraId="7C9BEF6C" w14:textId="77777777" w:rsidTr="5F884969">
        <w:tc>
          <w:tcPr>
            <w:tcW w:w="2695" w:type="dxa"/>
          </w:tcPr>
          <w:p w14:paraId="6961B3A9" w14:textId="77777777" w:rsidR="00AF6F1E" w:rsidRPr="00AF6F1E" w:rsidRDefault="5F884969" w:rsidP="5F884969">
            <w:pPr>
              <w:pStyle w:val="Default"/>
              <w:rPr>
                <w:rFonts w:asciiTheme="minorHAnsi" w:hAnsiTheme="minorHAnsi"/>
                <w:sz w:val="22"/>
                <w:szCs w:val="22"/>
              </w:rPr>
            </w:pPr>
            <w:r w:rsidRPr="5F884969">
              <w:rPr>
                <w:rFonts w:asciiTheme="minorHAnsi" w:hAnsiTheme="minorHAnsi"/>
                <w:sz w:val="22"/>
                <w:szCs w:val="22"/>
              </w:rPr>
              <w:t>Total</w:t>
            </w:r>
          </w:p>
        </w:tc>
        <w:tc>
          <w:tcPr>
            <w:tcW w:w="1979" w:type="dxa"/>
          </w:tcPr>
          <w:p w14:paraId="64364B62"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40</w:t>
            </w:r>
          </w:p>
        </w:tc>
        <w:tc>
          <w:tcPr>
            <w:tcW w:w="2338" w:type="dxa"/>
          </w:tcPr>
          <w:p w14:paraId="11F6EB83"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1109</w:t>
            </w:r>
          </w:p>
        </w:tc>
        <w:tc>
          <w:tcPr>
            <w:tcW w:w="2338" w:type="dxa"/>
          </w:tcPr>
          <w:p w14:paraId="48B5AC33" w14:textId="77777777" w:rsidR="00AF6F1E" w:rsidRPr="00AF6F1E" w:rsidRDefault="5F884969" w:rsidP="5F884969">
            <w:pPr>
              <w:pStyle w:val="Default"/>
              <w:jc w:val="right"/>
              <w:rPr>
                <w:rFonts w:asciiTheme="minorHAnsi" w:hAnsiTheme="minorHAnsi"/>
                <w:sz w:val="22"/>
                <w:szCs w:val="22"/>
              </w:rPr>
            </w:pPr>
            <w:r w:rsidRPr="5F884969">
              <w:rPr>
                <w:rFonts w:asciiTheme="minorHAnsi" w:hAnsiTheme="minorHAnsi"/>
                <w:sz w:val="22"/>
                <w:szCs w:val="22"/>
              </w:rPr>
              <w:t>$1870</w:t>
            </w:r>
          </w:p>
        </w:tc>
      </w:tr>
    </w:tbl>
    <w:p w14:paraId="121D22A5" w14:textId="77777777" w:rsidR="00AF6F1E" w:rsidRDefault="00AF6F1E" w:rsidP="00AF6F1E">
      <w:pPr>
        <w:pStyle w:val="ColorfulList-Accent11"/>
        <w:spacing w:after="240"/>
        <w:ind w:left="0"/>
        <w:rPr>
          <w:rFonts w:asciiTheme="minorHAnsi" w:eastAsia="Calibri" w:hAnsiTheme="minorHAnsi"/>
          <w:b/>
          <w:bCs/>
        </w:rPr>
      </w:pPr>
    </w:p>
    <w:p w14:paraId="6D2A75CE" w14:textId="77777777" w:rsidR="00C108CF" w:rsidRPr="001414DE" w:rsidRDefault="5F884969" w:rsidP="002F7C2E">
      <w:pPr>
        <w:pStyle w:val="ColorfulList-Accent11"/>
        <w:spacing w:after="240"/>
        <w:ind w:left="360"/>
        <w:outlineLvl w:val="0"/>
        <w:rPr>
          <w:rFonts w:asciiTheme="minorHAnsi" w:eastAsia="Calibri" w:hAnsiTheme="minorHAnsi"/>
          <w:b/>
          <w:bCs/>
        </w:rPr>
      </w:pPr>
      <w:r w:rsidRPr="5F884969">
        <w:rPr>
          <w:rFonts w:asciiTheme="minorHAnsi" w:eastAsia="Calibri" w:hAnsiTheme="minorHAnsi"/>
          <w:b/>
          <w:bCs/>
          <w:u w:val="single"/>
        </w:rPr>
        <w:t xml:space="preserve">Impediment 3 </w:t>
      </w:r>
    </w:p>
    <w:p w14:paraId="10F64179" w14:textId="77777777" w:rsidR="00C108CF" w:rsidRPr="001414DE" w:rsidRDefault="5F884969" w:rsidP="5F884969">
      <w:pPr>
        <w:pStyle w:val="ColorfulList-Accent11"/>
        <w:spacing w:after="240"/>
        <w:ind w:left="360"/>
        <w:rPr>
          <w:rFonts w:asciiTheme="minorHAnsi" w:eastAsia="Calibri" w:hAnsiTheme="minorHAnsi"/>
          <w:i/>
          <w:iCs/>
        </w:rPr>
      </w:pPr>
      <w:r w:rsidRPr="5F884969">
        <w:rPr>
          <w:rFonts w:asciiTheme="minorHAnsi" w:eastAsia="Calibri" w:hAnsiTheme="minorHAnsi"/>
          <w:i/>
          <w:iCs/>
        </w:rPr>
        <w:t xml:space="preserve">Discrimination against people in protected classes by real estate and other housing professionals may go undetected and unaddressed if not adequately monitored and enforced. Considering the growing number of residents in protected classes there is greater need for fair housing awareness, education and enforcement opportunities. </w:t>
      </w:r>
    </w:p>
    <w:p w14:paraId="523A6625" w14:textId="77777777" w:rsidR="00C108CF" w:rsidRPr="001414DE" w:rsidRDefault="00C108CF" w:rsidP="00C108CF">
      <w:pPr>
        <w:pStyle w:val="ColorfulList-Accent11"/>
        <w:spacing w:after="240"/>
        <w:ind w:left="1080"/>
        <w:rPr>
          <w:rFonts w:asciiTheme="minorHAnsi" w:eastAsia="Calibri" w:hAnsiTheme="minorHAnsi"/>
          <w:bCs/>
        </w:rPr>
      </w:pPr>
    </w:p>
    <w:tbl>
      <w:tblPr>
        <w:tblStyle w:val="TableGrid"/>
        <w:tblW w:w="0" w:type="auto"/>
        <w:tblInd w:w="364" w:type="dxa"/>
        <w:tblLook w:val="04A0" w:firstRow="1" w:lastRow="0" w:firstColumn="1" w:lastColumn="0" w:noHBand="0" w:noVBand="1"/>
      </w:tblPr>
      <w:tblGrid>
        <w:gridCol w:w="8910"/>
      </w:tblGrid>
      <w:tr w:rsidR="00C108CF" w:rsidRPr="00CC4C61" w14:paraId="72E982F4" w14:textId="77777777" w:rsidTr="5F884969">
        <w:trPr>
          <w:trHeight w:val="85"/>
        </w:trPr>
        <w:tc>
          <w:tcPr>
            <w:tcW w:w="8910" w:type="dxa"/>
            <w:shd w:val="clear" w:color="auto" w:fill="B5C0DF" w:themeFill="accent1" w:themeFillTint="66"/>
          </w:tcPr>
          <w:p w14:paraId="256D7335" w14:textId="77777777" w:rsidR="00C108CF" w:rsidRPr="00D51726" w:rsidRDefault="00C108CF" w:rsidP="5F884969">
            <w:pPr>
              <w:pStyle w:val="ColorfulList-Accent11"/>
              <w:tabs>
                <w:tab w:val="left" w:pos="1814"/>
              </w:tabs>
              <w:ind w:left="0"/>
              <w:rPr>
                <w:rFonts w:asciiTheme="minorHAnsi" w:eastAsia="Calibri" w:hAnsiTheme="minorHAnsi"/>
                <w:b/>
                <w:bCs/>
              </w:rPr>
            </w:pPr>
            <w:r w:rsidRPr="00D51726">
              <w:rPr>
                <w:rFonts w:asciiTheme="minorHAnsi" w:eastAsia="Calibri" w:hAnsiTheme="minorHAnsi"/>
                <w:b/>
                <w:bCs/>
              </w:rPr>
              <w:t>Goal:</w:t>
            </w:r>
            <w:r w:rsidRPr="00D51726">
              <w:rPr>
                <w:rFonts w:asciiTheme="minorHAnsi" w:eastAsia="Calibri" w:hAnsiTheme="minorHAnsi"/>
                <w:b/>
                <w:bCs/>
              </w:rPr>
              <w:tab/>
            </w:r>
          </w:p>
        </w:tc>
      </w:tr>
      <w:tr w:rsidR="00C108CF" w:rsidRPr="00CC4C61" w14:paraId="746C6BCD" w14:textId="77777777" w:rsidTr="5F884969">
        <w:trPr>
          <w:trHeight w:val="350"/>
        </w:trPr>
        <w:tc>
          <w:tcPr>
            <w:tcW w:w="8910" w:type="dxa"/>
          </w:tcPr>
          <w:p w14:paraId="0351CE85" w14:textId="77777777" w:rsidR="00C108CF" w:rsidRPr="0085766A" w:rsidRDefault="5F884969" w:rsidP="5F884969">
            <w:pPr>
              <w:pStyle w:val="ColorfulList-Accent11"/>
              <w:ind w:left="0"/>
              <w:rPr>
                <w:rFonts w:asciiTheme="minorHAnsi" w:eastAsia="Calibri" w:hAnsiTheme="minorHAnsi"/>
                <w:i/>
                <w:iCs/>
              </w:rPr>
            </w:pPr>
            <w:r w:rsidRPr="5F884969">
              <w:rPr>
                <w:rFonts w:asciiTheme="minorHAnsi" w:eastAsia="Calibri" w:hAnsiTheme="minorHAnsi"/>
              </w:rPr>
              <w:t>Need additional funding for fair housing efforts in Burlington and Statewide.</w:t>
            </w:r>
          </w:p>
        </w:tc>
      </w:tr>
    </w:tbl>
    <w:p w14:paraId="7E708D1C" w14:textId="77777777" w:rsidR="00C108CF" w:rsidRDefault="00C108CF" w:rsidP="00C108CF">
      <w:pPr>
        <w:pStyle w:val="ColorfulList-Accent11"/>
        <w:spacing w:after="240"/>
        <w:ind w:left="0"/>
        <w:rPr>
          <w:rFonts w:asciiTheme="minorHAnsi" w:eastAsia="Calibri" w:hAnsiTheme="minorHAnsi"/>
          <w:b/>
          <w:bCs/>
        </w:rPr>
      </w:pPr>
    </w:p>
    <w:p w14:paraId="3EE262D5" w14:textId="77777777" w:rsidR="00C108CF" w:rsidRPr="00D51726" w:rsidRDefault="5F884969" w:rsidP="002F7C2E">
      <w:pPr>
        <w:pStyle w:val="ColorfulList-Accent11"/>
        <w:spacing w:after="240"/>
        <w:ind w:left="360"/>
        <w:outlineLvl w:val="0"/>
        <w:rPr>
          <w:rFonts w:asciiTheme="minorHAnsi" w:eastAsia="Calibri" w:hAnsiTheme="minorHAnsi"/>
          <w:b/>
          <w:bCs/>
          <w:i/>
          <w:iCs/>
        </w:rPr>
      </w:pPr>
      <w:r w:rsidRPr="00D51726">
        <w:rPr>
          <w:rFonts w:asciiTheme="minorHAnsi" w:eastAsia="Calibri" w:hAnsiTheme="minorHAnsi"/>
          <w:b/>
          <w:bCs/>
          <w:i/>
          <w:iCs/>
        </w:rPr>
        <w:t>Progress:</w:t>
      </w:r>
    </w:p>
    <w:p w14:paraId="0DF6625E" w14:textId="423CCA85" w:rsidR="00C108CF" w:rsidRPr="00575313" w:rsidRDefault="5F884969" w:rsidP="5F884969">
      <w:pPr>
        <w:pStyle w:val="ColorfulList-Accent11"/>
        <w:spacing w:after="240"/>
        <w:ind w:left="360"/>
        <w:rPr>
          <w:rFonts w:asciiTheme="minorHAnsi" w:eastAsia="Calibri" w:hAnsiTheme="minorHAnsi"/>
        </w:rPr>
      </w:pPr>
      <w:r w:rsidRPr="5F884969">
        <w:rPr>
          <w:rFonts w:asciiTheme="minorHAnsi" w:eastAsia="Calibri" w:hAnsiTheme="minorHAnsi"/>
        </w:rPr>
        <w:t>The City has taken extensive measures to document and measure fair housing challenges and progress in order to present sufficient evidence to justify additional funding for housing efforts in Burlington and elsewhere. These activities include the following:</w:t>
      </w:r>
    </w:p>
    <w:p w14:paraId="40287396" w14:textId="5970E250" w:rsidR="00C108CF" w:rsidRPr="00747840" w:rsidRDefault="5F884969" w:rsidP="009A2CF5">
      <w:pPr>
        <w:pStyle w:val="Default"/>
        <w:numPr>
          <w:ilvl w:val="0"/>
          <w:numId w:val="19"/>
        </w:numPr>
        <w:ind w:left="810"/>
        <w:rPr>
          <w:rFonts w:ascii="Calibri" w:hAnsi="Calibri"/>
          <w:sz w:val="22"/>
          <w:szCs w:val="22"/>
        </w:rPr>
      </w:pPr>
      <w:r w:rsidRPr="5F884969">
        <w:rPr>
          <w:rFonts w:ascii="Calibri" w:hAnsi="Calibri"/>
          <w:sz w:val="22"/>
          <w:szCs w:val="22"/>
        </w:rPr>
        <w:t>Vermont Legal Aid’s (VLA) testing and report of findings has affirmatively furthered fair housing by detecting violations and making them known.</w:t>
      </w:r>
    </w:p>
    <w:p w14:paraId="6AE70740" w14:textId="77777777" w:rsidR="00C108CF" w:rsidRPr="00747840" w:rsidRDefault="5F884969" w:rsidP="009A2CF5">
      <w:pPr>
        <w:pStyle w:val="Default"/>
        <w:numPr>
          <w:ilvl w:val="0"/>
          <w:numId w:val="19"/>
        </w:numPr>
        <w:ind w:left="810"/>
        <w:rPr>
          <w:rFonts w:ascii="Calibri" w:hAnsi="Calibri"/>
          <w:sz w:val="22"/>
          <w:szCs w:val="22"/>
        </w:rPr>
      </w:pPr>
      <w:r w:rsidRPr="5F884969">
        <w:rPr>
          <w:rFonts w:ascii="Calibri" w:hAnsi="Calibri"/>
          <w:sz w:val="22"/>
          <w:szCs w:val="22"/>
        </w:rPr>
        <w:t xml:space="preserve">The City produced a HUD grant funded webinar regarding Affirmatively Furthering Fair Housing and economic development including the value of density to increase affordability of housing and increase housing opportunity for people in protected classes. </w:t>
      </w:r>
    </w:p>
    <w:p w14:paraId="3C0E0036" w14:textId="77777777" w:rsidR="00C108CF" w:rsidRPr="00747840" w:rsidRDefault="5F884969" w:rsidP="009A2CF5">
      <w:pPr>
        <w:pStyle w:val="ColorfulList-Accent11"/>
        <w:numPr>
          <w:ilvl w:val="0"/>
          <w:numId w:val="22"/>
        </w:numPr>
        <w:ind w:left="810"/>
        <w:contextualSpacing w:val="0"/>
        <w:rPr>
          <w:rFonts w:ascii="Calibri" w:hAnsi="Calibri"/>
        </w:rPr>
      </w:pPr>
      <w:r w:rsidRPr="5F884969">
        <w:rPr>
          <w:rFonts w:ascii="Calibri" w:hAnsi="Calibri"/>
        </w:rPr>
        <w:t xml:space="preserve">VLA receives over 100 fair housing complaints per year and provides a wide range of legal services from legal advice to representation in discrimination enforcement actions in state and federal courts. </w:t>
      </w:r>
    </w:p>
    <w:p w14:paraId="002AE912" w14:textId="77777777" w:rsidR="00C108CF" w:rsidRPr="00747840" w:rsidRDefault="5F884969" w:rsidP="009A2CF5">
      <w:pPr>
        <w:pStyle w:val="ColorfulList-Accent11"/>
        <w:numPr>
          <w:ilvl w:val="0"/>
          <w:numId w:val="21"/>
        </w:numPr>
        <w:ind w:left="810"/>
        <w:contextualSpacing w:val="0"/>
        <w:rPr>
          <w:rFonts w:ascii="Calibri" w:eastAsia="Calibri" w:hAnsi="Calibri"/>
          <w:i/>
          <w:iCs/>
        </w:rPr>
      </w:pPr>
      <w:r w:rsidRPr="5F884969">
        <w:rPr>
          <w:rFonts w:ascii="Calibri" w:eastAsia="Calibri" w:hAnsi="Calibri"/>
        </w:rPr>
        <w:t xml:space="preserve">VLA conducts approximately 80 tests per year. </w:t>
      </w:r>
    </w:p>
    <w:p w14:paraId="093BF5AA" w14:textId="77777777" w:rsidR="00C108CF" w:rsidRPr="00747840" w:rsidRDefault="5F884969" w:rsidP="009A2CF5">
      <w:pPr>
        <w:pStyle w:val="Default"/>
        <w:numPr>
          <w:ilvl w:val="0"/>
          <w:numId w:val="21"/>
        </w:numPr>
        <w:ind w:left="810"/>
        <w:rPr>
          <w:rFonts w:ascii="Calibri" w:hAnsi="Calibri"/>
          <w:sz w:val="22"/>
          <w:szCs w:val="22"/>
        </w:rPr>
      </w:pPr>
      <w:r w:rsidRPr="5F884969">
        <w:rPr>
          <w:rFonts w:ascii="Calibri" w:hAnsi="Calibri"/>
          <w:sz w:val="22"/>
          <w:szCs w:val="22"/>
        </w:rPr>
        <w:t xml:space="preserve">The City convened a Burlington Fair Housing Working Group, a consortium of housing providers, social workers, and municipal officials that will work to ensure that the City takes affirmative steps to address identified impediments to fair housing choice. </w:t>
      </w:r>
    </w:p>
    <w:p w14:paraId="5C4C2EFC" w14:textId="77777777" w:rsidR="00C108CF" w:rsidRPr="00747840" w:rsidRDefault="5F884969" w:rsidP="009A2CF5">
      <w:pPr>
        <w:pStyle w:val="Default"/>
        <w:numPr>
          <w:ilvl w:val="0"/>
          <w:numId w:val="21"/>
        </w:numPr>
        <w:ind w:left="810"/>
        <w:rPr>
          <w:rFonts w:ascii="Calibri" w:hAnsi="Calibri"/>
          <w:sz w:val="22"/>
          <w:szCs w:val="22"/>
        </w:rPr>
      </w:pPr>
      <w:r w:rsidRPr="5F884969">
        <w:rPr>
          <w:rFonts w:ascii="Calibri" w:hAnsi="Calibri"/>
          <w:sz w:val="22"/>
          <w:szCs w:val="22"/>
        </w:rPr>
        <w:t>The City provided Certifications of Consistency for three local HUD Fair Housing applications to ensure additional funding for the community.</w:t>
      </w:r>
    </w:p>
    <w:p w14:paraId="71B3528D" w14:textId="77777777" w:rsidR="00C108CF" w:rsidRPr="00747840" w:rsidRDefault="5F884969" w:rsidP="009A2CF5">
      <w:pPr>
        <w:pStyle w:val="Default"/>
        <w:numPr>
          <w:ilvl w:val="0"/>
          <w:numId w:val="21"/>
        </w:numPr>
        <w:ind w:left="810"/>
        <w:rPr>
          <w:rFonts w:ascii="Calibri" w:hAnsi="Calibri"/>
          <w:sz w:val="22"/>
          <w:szCs w:val="22"/>
        </w:rPr>
      </w:pPr>
      <w:r w:rsidRPr="5F884969">
        <w:rPr>
          <w:rFonts w:ascii="Calibri" w:hAnsi="Calibri"/>
          <w:sz w:val="22"/>
          <w:szCs w:val="22"/>
        </w:rPr>
        <w:t xml:space="preserve">Issued proclamations on Fair Housing Month by Mayors Weinberger and Kiss.  Other Actions include Fair Housing previews shown at local movie theaters and public access television shows plus a Channel 3 “Across the Fence” show on Fair Housing.  </w:t>
      </w:r>
    </w:p>
    <w:p w14:paraId="0772D40D" w14:textId="77777777" w:rsidR="00C108CF" w:rsidRPr="00747840" w:rsidRDefault="5F884969" w:rsidP="009A2CF5">
      <w:pPr>
        <w:pStyle w:val="Default"/>
        <w:numPr>
          <w:ilvl w:val="0"/>
          <w:numId w:val="21"/>
        </w:numPr>
        <w:ind w:left="810"/>
        <w:rPr>
          <w:rFonts w:ascii="Calibri" w:hAnsi="Calibri"/>
          <w:sz w:val="22"/>
          <w:szCs w:val="22"/>
        </w:rPr>
      </w:pPr>
      <w:r w:rsidRPr="5F884969">
        <w:rPr>
          <w:rFonts w:ascii="Calibri" w:hAnsi="Calibri"/>
          <w:sz w:val="22"/>
          <w:szCs w:val="22"/>
        </w:rPr>
        <w:t xml:space="preserve">VLA provides fair housing education through six outreach/education events, media interviews, website maintenance, newsletter articles and sharing information via Facebook. </w:t>
      </w:r>
    </w:p>
    <w:p w14:paraId="5B3DAEB1" w14:textId="77777777" w:rsidR="00C108CF" w:rsidRPr="00747840" w:rsidRDefault="5F884969" w:rsidP="009A2CF5">
      <w:pPr>
        <w:pStyle w:val="Default"/>
        <w:numPr>
          <w:ilvl w:val="0"/>
          <w:numId w:val="17"/>
        </w:numPr>
        <w:ind w:left="810"/>
        <w:rPr>
          <w:rFonts w:ascii="Calibri" w:hAnsi="Calibri"/>
          <w:sz w:val="22"/>
          <w:szCs w:val="22"/>
        </w:rPr>
      </w:pPr>
      <w:r w:rsidRPr="5F884969">
        <w:rPr>
          <w:rFonts w:ascii="Calibri" w:hAnsi="Calibri"/>
          <w:sz w:val="22"/>
          <w:szCs w:val="22"/>
        </w:rPr>
        <w:t>VLA monitors and responds to discriminatory advertisements for housing informing the poster that the advertisement is discriminatory and requesting that they change the language of the advertisement.</w:t>
      </w:r>
    </w:p>
    <w:p w14:paraId="6863B070" w14:textId="77777777" w:rsidR="00C108CF" w:rsidRPr="00747840" w:rsidRDefault="5F884969" w:rsidP="009A2CF5">
      <w:pPr>
        <w:pStyle w:val="Default"/>
        <w:numPr>
          <w:ilvl w:val="0"/>
          <w:numId w:val="17"/>
        </w:numPr>
        <w:ind w:left="810"/>
        <w:rPr>
          <w:rFonts w:ascii="Calibri" w:hAnsi="Calibri"/>
          <w:sz w:val="22"/>
          <w:szCs w:val="22"/>
        </w:rPr>
      </w:pPr>
      <w:r w:rsidRPr="5F884969">
        <w:rPr>
          <w:rFonts w:ascii="Calibri" w:hAnsi="Calibri"/>
          <w:sz w:val="22"/>
          <w:szCs w:val="22"/>
        </w:rPr>
        <w:lastRenderedPageBreak/>
        <w:t xml:space="preserve">In 2015, the City worked with a team of partners including Chittenden County Regional Planning Commission, Northwest Regional Planning Commission, AARP, and Vermont Natural Resources Council, and Community Foundation, regarding the intersection of affordable housing, transportation opportunities and inclusive communities. Study area encompassed Franklin Grand Isle, and Chittenden Counties including Burlington. </w:t>
      </w:r>
    </w:p>
    <w:p w14:paraId="5374A75B" w14:textId="77777777" w:rsidR="00C108CF" w:rsidRDefault="00C108CF" w:rsidP="00747840">
      <w:pPr>
        <w:pStyle w:val="ColorfulList-Accent11"/>
        <w:spacing w:after="240"/>
        <w:ind w:left="360"/>
        <w:rPr>
          <w:rFonts w:asciiTheme="minorHAnsi" w:eastAsia="Calibri" w:hAnsiTheme="minorHAnsi"/>
          <w:bCs/>
        </w:rPr>
      </w:pPr>
    </w:p>
    <w:p w14:paraId="3D4532C3" w14:textId="77777777" w:rsidR="00C108CF" w:rsidRPr="00D45B54" w:rsidRDefault="5F884969" w:rsidP="002F7C2E">
      <w:pPr>
        <w:pStyle w:val="ColorfulList-Accent11"/>
        <w:spacing w:after="240"/>
        <w:ind w:left="360"/>
        <w:outlineLvl w:val="0"/>
        <w:rPr>
          <w:rFonts w:asciiTheme="minorHAnsi" w:eastAsia="Calibri" w:hAnsiTheme="minorHAnsi"/>
          <w:b/>
          <w:bCs/>
          <w:u w:val="single"/>
        </w:rPr>
      </w:pPr>
      <w:r w:rsidRPr="5F884969">
        <w:rPr>
          <w:rFonts w:asciiTheme="minorHAnsi" w:eastAsia="Calibri" w:hAnsiTheme="minorHAnsi"/>
          <w:b/>
          <w:bCs/>
          <w:u w:val="single"/>
        </w:rPr>
        <w:t>Impediment 4</w:t>
      </w:r>
    </w:p>
    <w:p w14:paraId="22B9417A" w14:textId="77777777" w:rsidR="00C108CF" w:rsidRPr="00D45B54" w:rsidRDefault="5F884969" w:rsidP="5F884969">
      <w:pPr>
        <w:pStyle w:val="ColorfulList-Accent11"/>
        <w:spacing w:after="240"/>
        <w:ind w:left="360"/>
        <w:rPr>
          <w:rFonts w:asciiTheme="minorHAnsi" w:eastAsia="Calibri" w:hAnsiTheme="minorHAnsi"/>
          <w:i/>
          <w:iCs/>
        </w:rPr>
      </w:pPr>
      <w:r w:rsidRPr="5F884969">
        <w:rPr>
          <w:rFonts w:asciiTheme="minorHAnsi" w:eastAsia="Calibri" w:hAnsiTheme="minorHAnsi"/>
          <w:i/>
          <w:iCs/>
        </w:rPr>
        <w:t xml:space="preserve">Fair housing policies attempt to ensure that all housing units are available and accessible to all people in protected classes. In order to guarantee an adequate supply of homes are available and accessible, some housing must be tailored to these populations. Burlington’s lack of enough housing units designed to accommodate people with disabilities who need accessibility modifications, frail elders, and larger families limits the housing choices of the protected class.  </w:t>
      </w:r>
    </w:p>
    <w:p w14:paraId="3811A89B" w14:textId="77777777" w:rsidR="00C108CF" w:rsidRDefault="00C108CF" w:rsidP="00C108CF">
      <w:pPr>
        <w:pStyle w:val="ColorfulList-Accent11"/>
        <w:spacing w:after="240"/>
        <w:ind w:left="1080"/>
        <w:rPr>
          <w:rFonts w:asciiTheme="minorHAnsi" w:eastAsia="Calibri" w:hAnsiTheme="minorHAnsi"/>
          <w:bCs/>
        </w:rPr>
      </w:pPr>
    </w:p>
    <w:tbl>
      <w:tblPr>
        <w:tblStyle w:val="TableGrid"/>
        <w:tblW w:w="0" w:type="auto"/>
        <w:tblInd w:w="364" w:type="dxa"/>
        <w:tblLook w:val="04A0" w:firstRow="1" w:lastRow="0" w:firstColumn="1" w:lastColumn="0" w:noHBand="0" w:noVBand="1"/>
      </w:tblPr>
      <w:tblGrid>
        <w:gridCol w:w="8910"/>
      </w:tblGrid>
      <w:tr w:rsidR="00C108CF" w:rsidRPr="00CC4C61" w14:paraId="39B167FA" w14:textId="77777777" w:rsidTr="5F884969">
        <w:trPr>
          <w:trHeight w:val="85"/>
        </w:trPr>
        <w:tc>
          <w:tcPr>
            <w:tcW w:w="8910" w:type="dxa"/>
            <w:shd w:val="clear" w:color="auto" w:fill="B5C0DF" w:themeFill="accent1" w:themeFillTint="66"/>
          </w:tcPr>
          <w:p w14:paraId="187E207F" w14:textId="1705AC16" w:rsidR="00C108CF" w:rsidRPr="00D51726" w:rsidRDefault="00747840" w:rsidP="5F884969">
            <w:pPr>
              <w:pStyle w:val="ColorfulList-Accent11"/>
              <w:tabs>
                <w:tab w:val="left" w:pos="1814"/>
              </w:tabs>
              <w:ind w:left="0"/>
              <w:rPr>
                <w:rFonts w:asciiTheme="minorHAnsi" w:eastAsia="Calibri" w:hAnsiTheme="minorHAnsi"/>
                <w:b/>
                <w:bCs/>
              </w:rPr>
            </w:pPr>
            <w:r w:rsidRPr="00D51726">
              <w:rPr>
                <w:rFonts w:asciiTheme="minorHAnsi" w:eastAsia="Calibri" w:hAnsiTheme="minorHAnsi"/>
                <w:b/>
                <w:bCs/>
              </w:rPr>
              <w:t>Goal</w:t>
            </w:r>
            <w:r w:rsidR="00C108CF" w:rsidRPr="00D51726">
              <w:rPr>
                <w:rFonts w:asciiTheme="minorHAnsi" w:eastAsia="Calibri" w:hAnsiTheme="minorHAnsi"/>
                <w:b/>
                <w:bCs/>
              </w:rPr>
              <w:t>:</w:t>
            </w:r>
            <w:r w:rsidR="00C108CF" w:rsidRPr="00D51726">
              <w:rPr>
                <w:rFonts w:asciiTheme="minorHAnsi" w:eastAsia="Calibri" w:hAnsiTheme="minorHAnsi"/>
                <w:b/>
                <w:bCs/>
              </w:rPr>
              <w:tab/>
            </w:r>
          </w:p>
        </w:tc>
      </w:tr>
      <w:tr w:rsidR="00C108CF" w:rsidRPr="0085766A" w14:paraId="113DA41B" w14:textId="77777777" w:rsidTr="5F884969">
        <w:trPr>
          <w:trHeight w:val="305"/>
        </w:trPr>
        <w:tc>
          <w:tcPr>
            <w:tcW w:w="8910" w:type="dxa"/>
          </w:tcPr>
          <w:p w14:paraId="65EEB25E" w14:textId="77777777" w:rsidR="00C108CF" w:rsidRPr="00D93124" w:rsidRDefault="5F884969" w:rsidP="5F884969">
            <w:pPr>
              <w:pStyle w:val="ColorfulList-Accent11"/>
              <w:ind w:left="0"/>
              <w:rPr>
                <w:rFonts w:asciiTheme="minorHAnsi" w:eastAsia="Calibri" w:hAnsiTheme="minorHAnsi"/>
              </w:rPr>
            </w:pPr>
            <w:r w:rsidRPr="5F884969">
              <w:rPr>
                <w:rFonts w:asciiTheme="minorHAnsi" w:eastAsia="Calibri" w:hAnsiTheme="minorHAnsi"/>
              </w:rPr>
              <w:t>Increase the number of rental housing units with more than three bedrooms.</w:t>
            </w:r>
          </w:p>
        </w:tc>
      </w:tr>
    </w:tbl>
    <w:p w14:paraId="55C714C2" w14:textId="77777777" w:rsidR="00C108CF" w:rsidRDefault="00C108CF" w:rsidP="00C108CF">
      <w:pPr>
        <w:pStyle w:val="ColorfulList-Accent11"/>
        <w:spacing w:after="240"/>
        <w:ind w:left="0"/>
        <w:rPr>
          <w:rFonts w:asciiTheme="minorHAnsi" w:eastAsia="Calibri" w:hAnsiTheme="minorHAnsi"/>
          <w:b/>
          <w:bCs/>
          <w:i/>
          <w:sz w:val="28"/>
          <w:szCs w:val="28"/>
        </w:rPr>
      </w:pPr>
    </w:p>
    <w:p w14:paraId="517430EA" w14:textId="77777777" w:rsidR="00C108CF" w:rsidRPr="00D51726" w:rsidRDefault="5F884969" w:rsidP="002F7C2E">
      <w:pPr>
        <w:pStyle w:val="ColorfulList-Accent11"/>
        <w:spacing w:after="240"/>
        <w:ind w:left="360"/>
        <w:outlineLvl w:val="0"/>
        <w:rPr>
          <w:rFonts w:asciiTheme="minorHAnsi" w:eastAsia="Calibri" w:hAnsiTheme="minorHAnsi"/>
          <w:b/>
          <w:bCs/>
          <w:i/>
          <w:iCs/>
        </w:rPr>
      </w:pPr>
      <w:r w:rsidRPr="00D51726">
        <w:rPr>
          <w:rFonts w:asciiTheme="minorHAnsi" w:eastAsia="Calibri" w:hAnsiTheme="minorHAnsi"/>
          <w:b/>
          <w:bCs/>
          <w:i/>
          <w:iCs/>
        </w:rPr>
        <w:t>Progress:</w:t>
      </w:r>
    </w:p>
    <w:p w14:paraId="14B3AF13" w14:textId="4084E3CF" w:rsidR="00747840" w:rsidRPr="00747840" w:rsidRDefault="5F884969" w:rsidP="009A2CF5">
      <w:pPr>
        <w:pStyle w:val="Default"/>
        <w:numPr>
          <w:ilvl w:val="0"/>
          <w:numId w:val="20"/>
        </w:numPr>
        <w:ind w:left="900"/>
        <w:rPr>
          <w:rFonts w:ascii="Calibri" w:hAnsi="Calibri"/>
          <w:sz w:val="22"/>
          <w:szCs w:val="22"/>
        </w:rPr>
      </w:pPr>
      <w:r w:rsidRPr="5F884969">
        <w:rPr>
          <w:rFonts w:ascii="Calibri" w:hAnsi="Calibri"/>
          <w:sz w:val="22"/>
          <w:szCs w:val="22"/>
        </w:rPr>
        <w:t>At the City's request to accommodate larger families which are disproportionately families of color, the nonprofit housing development organizations have included some 3 a</w:t>
      </w:r>
      <w:r w:rsidR="00C37518">
        <w:rPr>
          <w:rFonts w:ascii="Calibri" w:hAnsi="Calibri"/>
          <w:sz w:val="22"/>
          <w:szCs w:val="22"/>
        </w:rPr>
        <w:t xml:space="preserve">nd 4 bedroom units in </w:t>
      </w:r>
      <w:r w:rsidRPr="5F884969">
        <w:rPr>
          <w:rFonts w:ascii="Calibri" w:hAnsi="Calibri"/>
          <w:sz w:val="22"/>
          <w:szCs w:val="22"/>
        </w:rPr>
        <w:t xml:space="preserve">new rental developments including the Bright Street Cooperative and Thayer School Apartments. </w:t>
      </w:r>
    </w:p>
    <w:p w14:paraId="255C9899" w14:textId="76702C4F" w:rsidR="00C108CF" w:rsidRPr="00747840" w:rsidRDefault="5F884969" w:rsidP="009A2CF5">
      <w:pPr>
        <w:pStyle w:val="Default"/>
        <w:numPr>
          <w:ilvl w:val="0"/>
          <w:numId w:val="20"/>
        </w:numPr>
        <w:ind w:left="900"/>
        <w:rPr>
          <w:rFonts w:ascii="Calibri" w:hAnsi="Calibri"/>
          <w:sz w:val="22"/>
          <w:szCs w:val="22"/>
        </w:rPr>
      </w:pPr>
      <w:r w:rsidRPr="5F884969">
        <w:rPr>
          <w:rFonts w:ascii="Calibri" w:hAnsi="Calibri"/>
          <w:sz w:val="22"/>
          <w:szCs w:val="22"/>
        </w:rPr>
        <w:t>Accessory dwelling units separate housing units built within single family homes or in a smaller structure on the same piece of land, and can help relieve pressure on a community’s housing market as well as allow an aging population to remain in their homes. CEDO, in consultation with P</w:t>
      </w:r>
      <w:r w:rsidR="001465A2">
        <w:rPr>
          <w:rFonts w:ascii="Calibri" w:hAnsi="Calibri"/>
          <w:sz w:val="22"/>
          <w:szCs w:val="22"/>
        </w:rPr>
        <w:t xml:space="preserve">lanning </w:t>
      </w:r>
      <w:r w:rsidRPr="5F884969">
        <w:rPr>
          <w:rFonts w:ascii="Calibri" w:hAnsi="Calibri"/>
          <w:sz w:val="22"/>
          <w:szCs w:val="22"/>
        </w:rPr>
        <w:t>&amp;</w:t>
      </w:r>
      <w:r w:rsidR="001465A2">
        <w:rPr>
          <w:rFonts w:ascii="Calibri" w:hAnsi="Calibri"/>
          <w:sz w:val="22"/>
          <w:szCs w:val="22"/>
        </w:rPr>
        <w:t xml:space="preserve"> </w:t>
      </w:r>
      <w:r w:rsidRPr="5F884969">
        <w:rPr>
          <w:rFonts w:ascii="Calibri" w:hAnsi="Calibri"/>
          <w:sz w:val="22"/>
          <w:szCs w:val="22"/>
        </w:rPr>
        <w:t>Z</w:t>
      </w:r>
      <w:r w:rsidR="001465A2">
        <w:rPr>
          <w:rFonts w:ascii="Calibri" w:hAnsi="Calibri"/>
          <w:sz w:val="22"/>
          <w:szCs w:val="22"/>
        </w:rPr>
        <w:t>oning</w:t>
      </w:r>
      <w:r w:rsidRPr="5F884969">
        <w:rPr>
          <w:rFonts w:ascii="Calibri" w:hAnsi="Calibri"/>
          <w:sz w:val="22"/>
          <w:szCs w:val="22"/>
        </w:rPr>
        <w:t>, is evaluating the consequences of incentivizing this kind of construction and establish clear protections that prevent abuse of this type of unit within one year of the Housing Action Plan’s adoption by the City Council. CEDO’s evaluation will also include a thorough exploration of micro-housing, an innovative idea that has been pursued in other communities. The evaluation will consider various ways in which such a housing type could potentially work in Burlington.</w:t>
      </w:r>
    </w:p>
    <w:p w14:paraId="6C56F6E0" w14:textId="77777777" w:rsidR="00C108CF" w:rsidRPr="00747840" w:rsidRDefault="5F884969" w:rsidP="009A2CF5">
      <w:pPr>
        <w:numPr>
          <w:ilvl w:val="0"/>
          <w:numId w:val="20"/>
        </w:numPr>
        <w:spacing w:after="0" w:line="240" w:lineRule="auto"/>
        <w:ind w:left="900"/>
        <w:rPr>
          <w:rFonts w:ascii="Calibri" w:hAnsi="Calibri"/>
        </w:rPr>
      </w:pPr>
      <w:r w:rsidRPr="5F884969">
        <w:rPr>
          <w:rFonts w:ascii="Calibri" w:hAnsi="Calibri"/>
        </w:rPr>
        <w:t xml:space="preserve">The Fair Housing Working Group attempted to collect more data on the family size of current refugee populations, to assess whether changes in the nature of that population has changed the need for larger apartments. </w:t>
      </w:r>
    </w:p>
    <w:p w14:paraId="5F49F2A6" w14:textId="77777777" w:rsidR="00C108CF" w:rsidRPr="000373AA" w:rsidRDefault="00C108CF" w:rsidP="00C108CF">
      <w:pPr>
        <w:pStyle w:val="Default"/>
        <w:ind w:left="360"/>
        <w:rPr>
          <w:sz w:val="22"/>
          <w:szCs w:val="22"/>
        </w:rPr>
      </w:pPr>
    </w:p>
    <w:p w14:paraId="0974E199" w14:textId="77777777" w:rsidR="00C108CF" w:rsidRDefault="00C108CF" w:rsidP="00747840">
      <w:pPr>
        <w:pStyle w:val="ColorfulList-Accent11"/>
        <w:spacing w:after="240"/>
        <w:ind w:left="0"/>
        <w:rPr>
          <w:rFonts w:asciiTheme="minorHAnsi" w:eastAsia="Calibri" w:hAnsiTheme="minorHAnsi"/>
          <w:bCs/>
        </w:rPr>
      </w:pPr>
    </w:p>
    <w:tbl>
      <w:tblPr>
        <w:tblStyle w:val="TableGrid"/>
        <w:tblW w:w="0" w:type="auto"/>
        <w:tblInd w:w="544" w:type="dxa"/>
        <w:tblLook w:val="04A0" w:firstRow="1" w:lastRow="0" w:firstColumn="1" w:lastColumn="0" w:noHBand="0" w:noVBand="1"/>
      </w:tblPr>
      <w:tblGrid>
        <w:gridCol w:w="8806"/>
      </w:tblGrid>
      <w:tr w:rsidR="00C108CF" w:rsidRPr="00CC4C61" w14:paraId="5757F0A7" w14:textId="77777777" w:rsidTr="5F884969">
        <w:trPr>
          <w:trHeight w:val="85"/>
        </w:trPr>
        <w:tc>
          <w:tcPr>
            <w:tcW w:w="8910" w:type="dxa"/>
            <w:shd w:val="clear" w:color="auto" w:fill="B5C0DF" w:themeFill="accent1" w:themeFillTint="66"/>
          </w:tcPr>
          <w:p w14:paraId="63FF61CD" w14:textId="77777777" w:rsidR="00C108CF" w:rsidRPr="00D51726" w:rsidRDefault="00C108CF" w:rsidP="5F884969">
            <w:pPr>
              <w:pStyle w:val="ColorfulList-Accent11"/>
              <w:tabs>
                <w:tab w:val="left" w:pos="1814"/>
              </w:tabs>
              <w:ind w:left="0"/>
              <w:rPr>
                <w:rFonts w:asciiTheme="minorHAnsi" w:eastAsia="Calibri" w:hAnsiTheme="minorHAnsi"/>
                <w:b/>
                <w:bCs/>
              </w:rPr>
            </w:pPr>
            <w:r w:rsidRPr="00D51726">
              <w:rPr>
                <w:rFonts w:asciiTheme="minorHAnsi" w:eastAsia="Calibri" w:hAnsiTheme="minorHAnsi"/>
                <w:b/>
                <w:bCs/>
              </w:rPr>
              <w:t>Goal (B):</w:t>
            </w:r>
            <w:r w:rsidRPr="00D51726">
              <w:rPr>
                <w:rFonts w:asciiTheme="minorHAnsi" w:eastAsia="Calibri" w:hAnsiTheme="minorHAnsi"/>
                <w:b/>
                <w:bCs/>
              </w:rPr>
              <w:tab/>
            </w:r>
          </w:p>
        </w:tc>
      </w:tr>
      <w:tr w:rsidR="00C108CF" w:rsidRPr="00D93124" w14:paraId="2AEA7408" w14:textId="77777777" w:rsidTr="5F884969">
        <w:trPr>
          <w:trHeight w:val="305"/>
        </w:trPr>
        <w:tc>
          <w:tcPr>
            <w:tcW w:w="8910" w:type="dxa"/>
          </w:tcPr>
          <w:p w14:paraId="63B8282F" w14:textId="77777777" w:rsidR="00C108CF" w:rsidRPr="00D93124" w:rsidRDefault="5F884969" w:rsidP="5F884969">
            <w:pPr>
              <w:pStyle w:val="ColorfulList-Accent11"/>
              <w:ind w:left="0"/>
              <w:rPr>
                <w:rFonts w:asciiTheme="minorHAnsi" w:eastAsia="Calibri" w:hAnsiTheme="minorHAnsi"/>
              </w:rPr>
            </w:pPr>
            <w:r w:rsidRPr="5F884969">
              <w:rPr>
                <w:rFonts w:asciiTheme="minorHAnsi" w:eastAsia="Calibri" w:hAnsiTheme="minorHAnsi"/>
              </w:rPr>
              <w:t xml:space="preserve">Prioritize universal design elements that serve people of all abilities </w:t>
            </w:r>
          </w:p>
        </w:tc>
      </w:tr>
    </w:tbl>
    <w:p w14:paraId="7F723264" w14:textId="77777777" w:rsidR="00C108CF" w:rsidRDefault="00C108CF" w:rsidP="00C108CF">
      <w:pPr>
        <w:pStyle w:val="ColorfulList-Accent11"/>
        <w:spacing w:after="240"/>
        <w:ind w:left="0"/>
        <w:rPr>
          <w:rFonts w:asciiTheme="minorHAnsi" w:eastAsia="Calibri" w:hAnsiTheme="minorHAnsi"/>
          <w:bCs/>
        </w:rPr>
      </w:pPr>
    </w:p>
    <w:p w14:paraId="5B041E36" w14:textId="77777777" w:rsidR="00C108CF" w:rsidRPr="00747840" w:rsidRDefault="5F884969" w:rsidP="009A2CF5">
      <w:pPr>
        <w:pStyle w:val="Default"/>
        <w:numPr>
          <w:ilvl w:val="0"/>
          <w:numId w:val="18"/>
        </w:numPr>
        <w:ind w:left="900"/>
        <w:rPr>
          <w:rFonts w:ascii="Calibri" w:hAnsi="Calibri"/>
        </w:rPr>
      </w:pPr>
      <w:r w:rsidRPr="5F884969">
        <w:rPr>
          <w:rFonts w:ascii="Calibri" w:hAnsi="Calibri"/>
          <w:sz w:val="22"/>
          <w:szCs w:val="22"/>
        </w:rPr>
        <w:t xml:space="preserve">CEDO continues to operate an accessibility modification program for both rental and owner-occupied housing. In an effort to increase accessibility in Burlington, CEDO is collaborating with the Vermont Center for Independent Living and leveraging CDBG funds to modify single family homes and apartments. CEDO has reached out to non-profit partners CHT and Northgate Apartments to improve accessibility. </w:t>
      </w:r>
    </w:p>
    <w:p w14:paraId="4807EF6F" w14:textId="77777777" w:rsidR="00C108CF" w:rsidRPr="001465A2" w:rsidRDefault="5F884969" w:rsidP="009A2CF5">
      <w:pPr>
        <w:pStyle w:val="Default"/>
        <w:numPr>
          <w:ilvl w:val="0"/>
          <w:numId w:val="18"/>
        </w:numPr>
        <w:ind w:left="900"/>
        <w:rPr>
          <w:rFonts w:ascii="Calibri" w:hAnsi="Calibri"/>
        </w:rPr>
      </w:pPr>
      <w:r w:rsidRPr="5F884969">
        <w:rPr>
          <w:rFonts w:ascii="Calibri" w:hAnsi="Calibri"/>
          <w:sz w:val="22"/>
          <w:szCs w:val="22"/>
        </w:rPr>
        <w:t xml:space="preserve">The City works proactively to ensure that our HOME funded projects comply with the requirements of Section 504 and 24 CFR part 8 Subpart C. </w:t>
      </w:r>
    </w:p>
    <w:p w14:paraId="4860D00E" w14:textId="2476D746" w:rsidR="001465A2" w:rsidRPr="00747840" w:rsidRDefault="001465A2" w:rsidP="009A2CF5">
      <w:pPr>
        <w:pStyle w:val="Default"/>
        <w:numPr>
          <w:ilvl w:val="0"/>
          <w:numId w:val="18"/>
        </w:numPr>
        <w:ind w:left="900"/>
        <w:rPr>
          <w:rFonts w:ascii="Calibri" w:hAnsi="Calibri"/>
        </w:rPr>
      </w:pPr>
      <w:r>
        <w:rPr>
          <w:rFonts w:ascii="Calibri" w:hAnsi="Calibri"/>
          <w:sz w:val="22"/>
          <w:szCs w:val="22"/>
        </w:rPr>
        <w:lastRenderedPageBreak/>
        <w:t>Both Housing Authority partners provide housing and assistance to persons with disabilities as well as accommodations. This is discussed later in the document.</w:t>
      </w:r>
    </w:p>
    <w:p w14:paraId="73794BCA" w14:textId="6AB8B851" w:rsidR="00C108CF" w:rsidRPr="00C44FF3" w:rsidRDefault="5F884969" w:rsidP="009A2CF5">
      <w:pPr>
        <w:pStyle w:val="Default"/>
        <w:numPr>
          <w:ilvl w:val="0"/>
          <w:numId w:val="18"/>
        </w:numPr>
        <w:ind w:left="900"/>
        <w:rPr>
          <w:rFonts w:ascii="Calibri" w:hAnsi="Calibri"/>
          <w:sz w:val="22"/>
          <w:szCs w:val="22"/>
        </w:rPr>
      </w:pPr>
      <w:r w:rsidRPr="5F884969">
        <w:rPr>
          <w:rFonts w:ascii="Calibri" w:hAnsi="Calibri"/>
          <w:sz w:val="22"/>
          <w:szCs w:val="22"/>
        </w:rPr>
        <w:t xml:space="preserve">The City provides annual operating support and CDBG funds to </w:t>
      </w:r>
      <w:proofErr w:type="spellStart"/>
      <w:r w:rsidRPr="5F884969">
        <w:rPr>
          <w:rFonts w:ascii="Calibri" w:hAnsi="Calibri"/>
          <w:sz w:val="22"/>
          <w:szCs w:val="22"/>
        </w:rPr>
        <w:t>HomeShare</w:t>
      </w:r>
      <w:proofErr w:type="spellEnd"/>
      <w:r w:rsidRPr="5F884969">
        <w:rPr>
          <w:rFonts w:ascii="Calibri" w:hAnsi="Calibri"/>
          <w:sz w:val="22"/>
          <w:szCs w:val="22"/>
        </w:rPr>
        <w:t xml:space="preserve"> Vermont in support of elderly and persons with disabilities. Home-sharing is a simple idea where two or more </w:t>
      </w:r>
      <w:r w:rsidRPr="5F884969">
        <w:rPr>
          <w:rFonts w:ascii="Calibri" w:hAnsi="Calibri" w:cstheme="minorBidi"/>
          <w:color w:val="auto"/>
          <w:sz w:val="22"/>
          <w:szCs w:val="22"/>
        </w:rPr>
        <w:t xml:space="preserve">people share a home to their mutual benefit, just like an old-fashioned barter. A person offers accommodations in exchange for help around the house, rent, or a combination of the two. </w:t>
      </w:r>
      <w:r w:rsidRPr="5F884969">
        <w:rPr>
          <w:rFonts w:ascii="Calibri" w:hAnsi="Calibri" w:cstheme="minorBidi"/>
          <w:color w:val="auto"/>
          <w:sz w:val="22"/>
          <w:szCs w:val="22"/>
          <w:u w:val="single"/>
        </w:rPr>
        <w:t xml:space="preserve"> </w:t>
      </w:r>
      <w:r w:rsidRPr="5F884969">
        <w:rPr>
          <w:rFonts w:ascii="Calibri" w:hAnsi="Calibri" w:cstheme="minorBidi"/>
          <w:color w:val="auto"/>
          <w:sz w:val="22"/>
          <w:szCs w:val="22"/>
        </w:rPr>
        <w:t>See Table III below on the progress made through this program during this 5 year Consolidated Plan timeframe.</w:t>
      </w:r>
    </w:p>
    <w:p w14:paraId="37FA767B" w14:textId="77777777" w:rsidR="00D51726" w:rsidRDefault="00D51726" w:rsidP="007A3270">
      <w:pPr>
        <w:pStyle w:val="Default"/>
        <w:rPr>
          <w:rFonts w:ascii="Calibri" w:hAnsi="Calibri"/>
          <w:b/>
          <w:i/>
          <w:sz w:val="20"/>
          <w:szCs w:val="20"/>
        </w:rPr>
      </w:pPr>
    </w:p>
    <w:p w14:paraId="1E5113EE" w14:textId="77777777" w:rsidR="00C44FF3" w:rsidRPr="00747840" w:rsidRDefault="5F884969" w:rsidP="5F884969">
      <w:pPr>
        <w:pStyle w:val="Default"/>
        <w:ind w:left="360" w:firstLine="348"/>
        <w:rPr>
          <w:rFonts w:ascii="Calibri" w:hAnsi="Calibri"/>
          <w:sz w:val="20"/>
          <w:szCs w:val="20"/>
        </w:rPr>
      </w:pPr>
      <w:r w:rsidRPr="5F884969">
        <w:rPr>
          <w:rFonts w:ascii="Calibri" w:hAnsi="Calibri"/>
          <w:b/>
          <w:bCs/>
          <w:i/>
          <w:iCs/>
          <w:sz w:val="20"/>
          <w:szCs w:val="20"/>
        </w:rPr>
        <w:t>Table 3:</w:t>
      </w:r>
      <w:r w:rsidRPr="5F884969">
        <w:rPr>
          <w:rFonts w:ascii="Calibri" w:hAnsi="Calibri"/>
          <w:sz w:val="20"/>
          <w:szCs w:val="20"/>
        </w:rPr>
        <w:t xml:space="preserve"> Total number of persons assisted by grant period.</w:t>
      </w:r>
    </w:p>
    <w:tbl>
      <w:tblPr>
        <w:tblStyle w:val="TableGrid"/>
        <w:tblW w:w="0" w:type="auto"/>
        <w:tblInd w:w="1084" w:type="dxa"/>
        <w:tblLook w:val="04A0" w:firstRow="1" w:lastRow="0" w:firstColumn="1" w:lastColumn="0" w:noHBand="0" w:noVBand="1"/>
      </w:tblPr>
      <w:tblGrid>
        <w:gridCol w:w="1524"/>
        <w:gridCol w:w="1801"/>
      </w:tblGrid>
      <w:tr w:rsidR="00C44FF3" w14:paraId="59141F9C" w14:textId="77777777" w:rsidTr="5F884969">
        <w:tc>
          <w:tcPr>
            <w:tcW w:w="1524" w:type="dxa"/>
            <w:tcBorders>
              <w:top w:val="single" w:sz="4" w:space="0" w:color="auto"/>
            </w:tcBorders>
          </w:tcPr>
          <w:p w14:paraId="27764CF5" w14:textId="77777777" w:rsidR="00C44FF3" w:rsidRPr="00747840" w:rsidRDefault="5F884969" w:rsidP="5F884969">
            <w:pPr>
              <w:pStyle w:val="Default"/>
              <w:rPr>
                <w:rFonts w:ascii="Calibri" w:hAnsi="Calibri"/>
                <w:sz w:val="22"/>
                <w:szCs w:val="22"/>
              </w:rPr>
            </w:pPr>
            <w:r w:rsidRPr="5F884969">
              <w:rPr>
                <w:rFonts w:ascii="Calibri" w:hAnsi="Calibri"/>
                <w:sz w:val="22"/>
                <w:szCs w:val="22"/>
              </w:rPr>
              <w:t>Grant Period</w:t>
            </w:r>
          </w:p>
        </w:tc>
        <w:tc>
          <w:tcPr>
            <w:tcW w:w="1801" w:type="dxa"/>
            <w:tcBorders>
              <w:top w:val="single" w:sz="4" w:space="0" w:color="auto"/>
            </w:tcBorders>
          </w:tcPr>
          <w:p w14:paraId="00730F07" w14:textId="77777777" w:rsidR="00C44FF3" w:rsidRPr="00747840" w:rsidRDefault="5F884969" w:rsidP="5F884969">
            <w:pPr>
              <w:pStyle w:val="Default"/>
              <w:rPr>
                <w:rFonts w:ascii="Calibri" w:hAnsi="Calibri"/>
                <w:sz w:val="22"/>
                <w:szCs w:val="22"/>
              </w:rPr>
            </w:pPr>
            <w:r w:rsidRPr="5F884969">
              <w:rPr>
                <w:rFonts w:ascii="Calibri" w:hAnsi="Calibri"/>
                <w:sz w:val="22"/>
                <w:szCs w:val="22"/>
              </w:rPr>
              <w:t>Total Number of Persons Assisted</w:t>
            </w:r>
          </w:p>
        </w:tc>
      </w:tr>
      <w:tr w:rsidR="00C44FF3" w14:paraId="500FCA78" w14:textId="77777777" w:rsidTr="5F884969">
        <w:tc>
          <w:tcPr>
            <w:tcW w:w="1524" w:type="dxa"/>
          </w:tcPr>
          <w:p w14:paraId="740D99FB" w14:textId="77777777" w:rsidR="00C44FF3" w:rsidRPr="00747840" w:rsidRDefault="5F884969" w:rsidP="5F884969">
            <w:pPr>
              <w:pStyle w:val="Default"/>
              <w:rPr>
                <w:rFonts w:ascii="Calibri" w:hAnsi="Calibri"/>
                <w:sz w:val="22"/>
                <w:szCs w:val="22"/>
              </w:rPr>
            </w:pPr>
            <w:r w:rsidRPr="5F884969">
              <w:rPr>
                <w:rFonts w:ascii="Calibri" w:hAnsi="Calibri"/>
                <w:sz w:val="22"/>
                <w:szCs w:val="22"/>
              </w:rPr>
              <w:t>2013</w:t>
            </w:r>
          </w:p>
        </w:tc>
        <w:tc>
          <w:tcPr>
            <w:tcW w:w="1801" w:type="dxa"/>
          </w:tcPr>
          <w:p w14:paraId="48D93695" w14:textId="77777777" w:rsidR="00C44FF3" w:rsidRPr="00747840" w:rsidRDefault="5F884969" w:rsidP="5F884969">
            <w:pPr>
              <w:pStyle w:val="Default"/>
              <w:jc w:val="right"/>
              <w:rPr>
                <w:rFonts w:ascii="Calibri" w:hAnsi="Calibri"/>
                <w:sz w:val="22"/>
                <w:szCs w:val="22"/>
              </w:rPr>
            </w:pPr>
            <w:r w:rsidRPr="5F884969">
              <w:rPr>
                <w:rFonts w:ascii="Calibri" w:hAnsi="Calibri"/>
                <w:sz w:val="22"/>
                <w:szCs w:val="22"/>
              </w:rPr>
              <w:t>113</w:t>
            </w:r>
          </w:p>
        </w:tc>
      </w:tr>
      <w:tr w:rsidR="00C44FF3" w14:paraId="3947B364" w14:textId="77777777" w:rsidTr="5F884969">
        <w:tc>
          <w:tcPr>
            <w:tcW w:w="1524" w:type="dxa"/>
          </w:tcPr>
          <w:p w14:paraId="08D73D5B" w14:textId="77777777" w:rsidR="00C44FF3" w:rsidRPr="00747840" w:rsidRDefault="5F884969" w:rsidP="5F884969">
            <w:pPr>
              <w:pStyle w:val="Default"/>
              <w:rPr>
                <w:rFonts w:ascii="Calibri" w:hAnsi="Calibri"/>
                <w:sz w:val="22"/>
                <w:szCs w:val="22"/>
              </w:rPr>
            </w:pPr>
            <w:r w:rsidRPr="5F884969">
              <w:rPr>
                <w:rFonts w:ascii="Calibri" w:hAnsi="Calibri"/>
                <w:sz w:val="22"/>
                <w:szCs w:val="22"/>
              </w:rPr>
              <w:t>2014</w:t>
            </w:r>
          </w:p>
        </w:tc>
        <w:tc>
          <w:tcPr>
            <w:tcW w:w="1801" w:type="dxa"/>
          </w:tcPr>
          <w:p w14:paraId="445984C8" w14:textId="77777777" w:rsidR="00C44FF3" w:rsidRPr="00747840" w:rsidRDefault="5F884969" w:rsidP="5F884969">
            <w:pPr>
              <w:pStyle w:val="Default"/>
              <w:jc w:val="right"/>
              <w:rPr>
                <w:rFonts w:ascii="Calibri" w:hAnsi="Calibri"/>
                <w:sz w:val="22"/>
                <w:szCs w:val="22"/>
              </w:rPr>
            </w:pPr>
            <w:r w:rsidRPr="5F884969">
              <w:rPr>
                <w:rFonts w:ascii="Calibri" w:hAnsi="Calibri"/>
                <w:sz w:val="22"/>
                <w:szCs w:val="22"/>
              </w:rPr>
              <w:t>73</w:t>
            </w:r>
          </w:p>
        </w:tc>
      </w:tr>
      <w:tr w:rsidR="00C44FF3" w14:paraId="4D507060" w14:textId="77777777" w:rsidTr="5F884969">
        <w:tc>
          <w:tcPr>
            <w:tcW w:w="1524" w:type="dxa"/>
          </w:tcPr>
          <w:p w14:paraId="0EB9C8CA" w14:textId="77777777" w:rsidR="00C44FF3" w:rsidRPr="00747840" w:rsidRDefault="5F884969" w:rsidP="5F884969">
            <w:pPr>
              <w:pStyle w:val="Default"/>
              <w:rPr>
                <w:rFonts w:ascii="Calibri" w:hAnsi="Calibri"/>
                <w:sz w:val="22"/>
                <w:szCs w:val="22"/>
              </w:rPr>
            </w:pPr>
            <w:r w:rsidRPr="5F884969">
              <w:rPr>
                <w:rFonts w:ascii="Calibri" w:hAnsi="Calibri"/>
                <w:sz w:val="22"/>
                <w:szCs w:val="22"/>
              </w:rPr>
              <w:t>2015</w:t>
            </w:r>
          </w:p>
        </w:tc>
        <w:tc>
          <w:tcPr>
            <w:tcW w:w="1801" w:type="dxa"/>
          </w:tcPr>
          <w:p w14:paraId="0858AF79" w14:textId="77777777" w:rsidR="00C44FF3" w:rsidRPr="00747840" w:rsidRDefault="5F884969" w:rsidP="5F884969">
            <w:pPr>
              <w:pStyle w:val="Default"/>
              <w:jc w:val="right"/>
              <w:rPr>
                <w:rFonts w:ascii="Calibri" w:hAnsi="Calibri"/>
                <w:sz w:val="22"/>
                <w:szCs w:val="22"/>
              </w:rPr>
            </w:pPr>
            <w:r w:rsidRPr="5F884969">
              <w:rPr>
                <w:rFonts w:ascii="Calibri" w:hAnsi="Calibri"/>
                <w:sz w:val="22"/>
                <w:szCs w:val="22"/>
              </w:rPr>
              <w:t>18</w:t>
            </w:r>
          </w:p>
        </w:tc>
      </w:tr>
      <w:tr w:rsidR="00C44FF3" w14:paraId="4F6C3343" w14:textId="77777777" w:rsidTr="5F884969">
        <w:tc>
          <w:tcPr>
            <w:tcW w:w="1524" w:type="dxa"/>
          </w:tcPr>
          <w:p w14:paraId="21F3EE4A" w14:textId="77777777" w:rsidR="00C44FF3" w:rsidRPr="00747840" w:rsidRDefault="5F884969" w:rsidP="5F884969">
            <w:pPr>
              <w:pStyle w:val="Default"/>
              <w:rPr>
                <w:rFonts w:ascii="Calibri" w:hAnsi="Calibri"/>
                <w:sz w:val="22"/>
                <w:szCs w:val="22"/>
              </w:rPr>
            </w:pPr>
            <w:r w:rsidRPr="5F884969">
              <w:rPr>
                <w:rFonts w:ascii="Calibri" w:hAnsi="Calibri"/>
                <w:sz w:val="22"/>
                <w:szCs w:val="22"/>
              </w:rPr>
              <w:t>2016</w:t>
            </w:r>
          </w:p>
        </w:tc>
        <w:tc>
          <w:tcPr>
            <w:tcW w:w="1801" w:type="dxa"/>
          </w:tcPr>
          <w:p w14:paraId="26095770" w14:textId="77777777" w:rsidR="00C44FF3" w:rsidRPr="00747840" w:rsidRDefault="5F884969" w:rsidP="5F884969">
            <w:pPr>
              <w:pStyle w:val="Default"/>
              <w:jc w:val="right"/>
              <w:rPr>
                <w:rFonts w:ascii="Calibri" w:hAnsi="Calibri"/>
                <w:sz w:val="22"/>
                <w:szCs w:val="22"/>
              </w:rPr>
            </w:pPr>
            <w:r w:rsidRPr="5F884969">
              <w:rPr>
                <w:rFonts w:ascii="Calibri" w:hAnsi="Calibri"/>
                <w:sz w:val="22"/>
                <w:szCs w:val="22"/>
              </w:rPr>
              <w:t>123</w:t>
            </w:r>
          </w:p>
        </w:tc>
      </w:tr>
      <w:tr w:rsidR="00C44FF3" w14:paraId="39C9FB75" w14:textId="77777777" w:rsidTr="5F884969">
        <w:tc>
          <w:tcPr>
            <w:tcW w:w="1524" w:type="dxa"/>
          </w:tcPr>
          <w:p w14:paraId="04F76770" w14:textId="77777777" w:rsidR="00C44FF3" w:rsidRPr="00747840" w:rsidRDefault="5F884969" w:rsidP="5F884969">
            <w:pPr>
              <w:pStyle w:val="Default"/>
              <w:rPr>
                <w:rFonts w:ascii="Calibri" w:hAnsi="Calibri"/>
                <w:b/>
                <w:bCs/>
                <w:sz w:val="22"/>
                <w:szCs w:val="22"/>
              </w:rPr>
            </w:pPr>
            <w:r w:rsidRPr="5F884969">
              <w:rPr>
                <w:rFonts w:ascii="Calibri" w:hAnsi="Calibri"/>
                <w:b/>
                <w:bCs/>
                <w:sz w:val="22"/>
                <w:szCs w:val="22"/>
              </w:rPr>
              <w:t>Total</w:t>
            </w:r>
          </w:p>
        </w:tc>
        <w:tc>
          <w:tcPr>
            <w:tcW w:w="1801" w:type="dxa"/>
          </w:tcPr>
          <w:p w14:paraId="2247DBDA" w14:textId="77777777" w:rsidR="00C44FF3" w:rsidRPr="00747840" w:rsidRDefault="5F884969" w:rsidP="5F884969">
            <w:pPr>
              <w:pStyle w:val="Default"/>
              <w:jc w:val="right"/>
              <w:rPr>
                <w:rFonts w:ascii="Calibri" w:hAnsi="Calibri"/>
                <w:b/>
                <w:bCs/>
                <w:sz w:val="22"/>
                <w:szCs w:val="22"/>
              </w:rPr>
            </w:pPr>
            <w:r w:rsidRPr="5F884969">
              <w:rPr>
                <w:rFonts w:ascii="Calibri" w:hAnsi="Calibri"/>
                <w:b/>
                <w:bCs/>
                <w:sz w:val="22"/>
                <w:szCs w:val="22"/>
              </w:rPr>
              <w:t>324</w:t>
            </w:r>
          </w:p>
        </w:tc>
      </w:tr>
    </w:tbl>
    <w:p w14:paraId="6129DEB1" w14:textId="77777777" w:rsidR="00C44FF3" w:rsidRPr="00747840" w:rsidRDefault="00C44FF3" w:rsidP="00C44FF3">
      <w:pPr>
        <w:pStyle w:val="Default"/>
        <w:ind w:left="900"/>
        <w:rPr>
          <w:rFonts w:ascii="Calibri" w:hAnsi="Calibri"/>
          <w:sz w:val="22"/>
          <w:szCs w:val="22"/>
        </w:rPr>
      </w:pPr>
    </w:p>
    <w:p w14:paraId="4B2EEC48" w14:textId="71BEA581" w:rsidR="00C108CF" w:rsidRPr="00747840" w:rsidRDefault="5F884969" w:rsidP="009A2CF5">
      <w:pPr>
        <w:pStyle w:val="Default"/>
        <w:numPr>
          <w:ilvl w:val="0"/>
          <w:numId w:val="18"/>
        </w:numPr>
        <w:ind w:left="900"/>
        <w:rPr>
          <w:rFonts w:ascii="Calibri" w:hAnsi="Calibri"/>
          <w:sz w:val="22"/>
          <w:szCs w:val="22"/>
        </w:rPr>
      </w:pPr>
      <w:r w:rsidRPr="5F884969">
        <w:rPr>
          <w:rFonts w:ascii="Calibri" w:hAnsi="Calibri"/>
          <w:sz w:val="22"/>
          <w:szCs w:val="22"/>
        </w:rPr>
        <w:t xml:space="preserve">VLA represents approximately 25 people with disabilities annually on a range of fair housing issues from how to request a reasonable modification or reasonable accommodation to actions in before the Human Rights Commission, state and federal courts. </w:t>
      </w:r>
    </w:p>
    <w:p w14:paraId="47B8023E" w14:textId="77777777" w:rsidR="00C108CF" w:rsidRDefault="00C108CF" w:rsidP="00C108CF">
      <w:pPr>
        <w:pStyle w:val="Default"/>
        <w:rPr>
          <w:sz w:val="22"/>
          <w:szCs w:val="22"/>
        </w:rPr>
      </w:pPr>
    </w:p>
    <w:tbl>
      <w:tblPr>
        <w:tblStyle w:val="TableGrid"/>
        <w:tblW w:w="0" w:type="auto"/>
        <w:tblInd w:w="544" w:type="dxa"/>
        <w:tblLook w:val="04A0" w:firstRow="1" w:lastRow="0" w:firstColumn="1" w:lastColumn="0" w:noHBand="0" w:noVBand="1"/>
      </w:tblPr>
      <w:tblGrid>
        <w:gridCol w:w="8806"/>
      </w:tblGrid>
      <w:tr w:rsidR="00C108CF" w:rsidRPr="00CC4C61" w14:paraId="614674E8" w14:textId="77777777" w:rsidTr="5F884969">
        <w:trPr>
          <w:trHeight w:val="85"/>
        </w:trPr>
        <w:tc>
          <w:tcPr>
            <w:tcW w:w="8910" w:type="dxa"/>
            <w:shd w:val="clear" w:color="auto" w:fill="B5C0DF" w:themeFill="accent1" w:themeFillTint="66"/>
          </w:tcPr>
          <w:p w14:paraId="793AD691" w14:textId="77777777" w:rsidR="00C108CF" w:rsidRPr="00D51726" w:rsidRDefault="00C108CF" w:rsidP="5F884969">
            <w:pPr>
              <w:pStyle w:val="ColorfulList-Accent11"/>
              <w:tabs>
                <w:tab w:val="left" w:pos="1814"/>
              </w:tabs>
              <w:ind w:left="0"/>
              <w:rPr>
                <w:rFonts w:asciiTheme="minorHAnsi" w:eastAsia="Calibri" w:hAnsiTheme="minorHAnsi"/>
                <w:b/>
                <w:bCs/>
              </w:rPr>
            </w:pPr>
            <w:r w:rsidRPr="00D51726">
              <w:rPr>
                <w:rFonts w:asciiTheme="minorHAnsi" w:eastAsia="Calibri" w:hAnsiTheme="minorHAnsi"/>
                <w:b/>
                <w:bCs/>
              </w:rPr>
              <w:t>Goal (C):</w:t>
            </w:r>
            <w:r w:rsidRPr="00D51726">
              <w:rPr>
                <w:rFonts w:asciiTheme="minorHAnsi" w:eastAsia="Calibri" w:hAnsiTheme="minorHAnsi"/>
                <w:b/>
                <w:bCs/>
              </w:rPr>
              <w:tab/>
            </w:r>
          </w:p>
        </w:tc>
      </w:tr>
      <w:tr w:rsidR="00C108CF" w:rsidRPr="00D93124" w14:paraId="7DB86611" w14:textId="77777777" w:rsidTr="5F884969">
        <w:trPr>
          <w:trHeight w:val="305"/>
        </w:trPr>
        <w:tc>
          <w:tcPr>
            <w:tcW w:w="8910" w:type="dxa"/>
          </w:tcPr>
          <w:p w14:paraId="66FFC86A" w14:textId="77777777" w:rsidR="00C108CF" w:rsidRPr="00D93124" w:rsidRDefault="5F884969" w:rsidP="5F884969">
            <w:pPr>
              <w:pStyle w:val="ColorfulList-Accent11"/>
              <w:ind w:left="0"/>
              <w:rPr>
                <w:rFonts w:asciiTheme="minorHAnsi" w:eastAsia="Calibri" w:hAnsiTheme="minorHAnsi"/>
              </w:rPr>
            </w:pPr>
            <w:r w:rsidRPr="5F884969">
              <w:rPr>
                <w:rFonts w:asciiTheme="minorHAnsi" w:eastAsia="Calibri" w:hAnsiTheme="minorHAnsi"/>
              </w:rPr>
              <w:t xml:space="preserve">Require any housing that may be intended for elders to have a complete menu of supportive services.  </w:t>
            </w:r>
          </w:p>
        </w:tc>
      </w:tr>
    </w:tbl>
    <w:p w14:paraId="26309908" w14:textId="77777777" w:rsidR="00C108CF" w:rsidRDefault="00C108CF" w:rsidP="00C108CF">
      <w:pPr>
        <w:pStyle w:val="ColorfulList-Accent11"/>
        <w:spacing w:after="240"/>
        <w:ind w:left="0"/>
        <w:rPr>
          <w:rFonts w:asciiTheme="minorHAnsi" w:eastAsia="Calibri" w:hAnsiTheme="minorHAnsi"/>
          <w:bCs/>
          <w:i/>
        </w:rPr>
      </w:pPr>
    </w:p>
    <w:p w14:paraId="316B8F50" w14:textId="77777777" w:rsidR="00C108CF" w:rsidRPr="00C47E1E" w:rsidRDefault="5F884969" w:rsidP="009A2CF5">
      <w:pPr>
        <w:pStyle w:val="ColorfulList-Accent11"/>
        <w:numPr>
          <w:ilvl w:val="0"/>
          <w:numId w:val="20"/>
        </w:numPr>
        <w:spacing w:after="240"/>
        <w:ind w:left="900"/>
        <w:rPr>
          <w:rFonts w:asciiTheme="minorHAnsi" w:eastAsia="Calibri" w:hAnsiTheme="minorHAnsi"/>
          <w:i/>
          <w:iCs/>
        </w:rPr>
      </w:pPr>
      <w:r w:rsidRPr="5F884969">
        <w:rPr>
          <w:rFonts w:asciiTheme="minorHAnsi" w:eastAsia="Calibri" w:hAnsiTheme="minorHAnsi"/>
        </w:rPr>
        <w:t xml:space="preserve">The Burlington Advisory Committee on Accessibility advocated for consideration of people with disabilities and elder housing in the Burlington Housing Action Plan. They also encouraged departmental training on accessibility led by the Vermont Center for Independent Living, a statewide organization that supports mobility and independence in the home and built environment for people with disabilities. </w:t>
      </w:r>
    </w:p>
    <w:p w14:paraId="0665CDE0" w14:textId="0C1F328E" w:rsidR="00C108CF" w:rsidRDefault="5F884969" w:rsidP="009A2CF5">
      <w:pPr>
        <w:pStyle w:val="ColorfulList-Accent11"/>
        <w:numPr>
          <w:ilvl w:val="0"/>
          <w:numId w:val="20"/>
        </w:numPr>
        <w:spacing w:after="240"/>
        <w:ind w:left="900"/>
        <w:rPr>
          <w:rFonts w:asciiTheme="minorHAnsi" w:eastAsia="Calibri" w:hAnsiTheme="minorHAnsi"/>
          <w:i/>
          <w:iCs/>
        </w:rPr>
      </w:pPr>
      <w:r w:rsidRPr="5F884969">
        <w:rPr>
          <w:rFonts w:asciiTheme="minorHAnsi" w:eastAsia="Calibri" w:hAnsiTheme="minorHAnsi"/>
        </w:rPr>
        <w:t>In the Thayer School project, Cathedral Square developed 33 service-enriched apartments for seniors with a new program Support and Services at Home (SASH), offered through a care partnership between Cathedral Squar</w:t>
      </w:r>
      <w:r w:rsidR="006A2A66">
        <w:rPr>
          <w:rFonts w:asciiTheme="minorHAnsi" w:eastAsia="Calibri" w:hAnsiTheme="minorHAnsi"/>
        </w:rPr>
        <w:t>e, the VNA of Chittenden and Gra</w:t>
      </w:r>
      <w:r w:rsidRPr="5F884969">
        <w:rPr>
          <w:rFonts w:asciiTheme="minorHAnsi" w:eastAsia="Calibri" w:hAnsiTheme="minorHAnsi"/>
        </w:rPr>
        <w:t xml:space="preserve">nd Isle Counties, </w:t>
      </w:r>
      <w:proofErr w:type="spellStart"/>
      <w:r w:rsidRPr="5F884969">
        <w:rPr>
          <w:rFonts w:asciiTheme="minorHAnsi" w:eastAsia="Calibri" w:hAnsiTheme="minorHAnsi"/>
        </w:rPr>
        <w:t>AgeWell</w:t>
      </w:r>
      <w:proofErr w:type="spellEnd"/>
      <w:r w:rsidRPr="5F884969">
        <w:rPr>
          <w:rFonts w:asciiTheme="minorHAnsi" w:eastAsia="Calibri" w:hAnsiTheme="minorHAnsi"/>
        </w:rPr>
        <w:t>, and the PACE program.</w:t>
      </w:r>
    </w:p>
    <w:p w14:paraId="0A97CDBD" w14:textId="77777777" w:rsidR="00C108CF" w:rsidRPr="002D160C" w:rsidRDefault="00C108CF" w:rsidP="00C108CF">
      <w:pPr>
        <w:pStyle w:val="ColorfulList-Accent11"/>
        <w:spacing w:after="240"/>
        <w:ind w:left="360"/>
        <w:rPr>
          <w:rFonts w:asciiTheme="minorHAnsi" w:eastAsia="Calibri" w:hAnsiTheme="minorHAnsi"/>
          <w:bCs/>
          <w:i/>
        </w:rPr>
      </w:pPr>
    </w:p>
    <w:p w14:paraId="7CBC8A72" w14:textId="77777777" w:rsidR="00C108CF" w:rsidRPr="00C108CF" w:rsidRDefault="5F884969" w:rsidP="002F7C2E">
      <w:pPr>
        <w:pStyle w:val="ColorfulList-Accent11"/>
        <w:spacing w:after="240"/>
        <w:ind w:left="360"/>
        <w:outlineLvl w:val="0"/>
        <w:rPr>
          <w:rFonts w:asciiTheme="minorHAnsi" w:eastAsia="Calibri" w:hAnsiTheme="minorHAnsi"/>
          <w:b/>
          <w:bCs/>
          <w:u w:val="single"/>
        </w:rPr>
      </w:pPr>
      <w:r w:rsidRPr="5F884969">
        <w:rPr>
          <w:rFonts w:asciiTheme="minorHAnsi" w:eastAsia="Calibri" w:hAnsiTheme="minorHAnsi"/>
          <w:b/>
          <w:bCs/>
          <w:u w:val="single"/>
        </w:rPr>
        <w:t>Impediment 5</w:t>
      </w:r>
    </w:p>
    <w:p w14:paraId="68183FDB" w14:textId="77777777" w:rsidR="00C108CF" w:rsidRPr="00C108CF" w:rsidRDefault="5F884969" w:rsidP="5F884969">
      <w:pPr>
        <w:pStyle w:val="ColorfulList-Accent11"/>
        <w:spacing w:after="240"/>
        <w:ind w:left="360"/>
        <w:rPr>
          <w:rFonts w:asciiTheme="minorHAnsi" w:eastAsia="Calibri" w:hAnsiTheme="minorHAnsi"/>
          <w:i/>
          <w:iCs/>
        </w:rPr>
      </w:pPr>
      <w:r w:rsidRPr="5F884969">
        <w:rPr>
          <w:rFonts w:asciiTheme="minorHAnsi" w:eastAsia="Calibri" w:hAnsiTheme="minorHAnsi"/>
          <w:i/>
          <w:iCs/>
        </w:rPr>
        <w:t>Housing development and occupancy policies run the risk of limiting the number of affordable housing units most needed by protected classes. The following steps should be taken to ensure these regulations and policies encourage affordable housing options for all city residents.</w:t>
      </w:r>
    </w:p>
    <w:p w14:paraId="0556ABEC" w14:textId="77777777" w:rsidR="00C108CF" w:rsidRPr="00C108CF" w:rsidRDefault="00C108CF" w:rsidP="00C108CF">
      <w:pPr>
        <w:pStyle w:val="ColorfulList-Accent11"/>
        <w:spacing w:after="240"/>
        <w:ind w:left="1080"/>
        <w:rPr>
          <w:rFonts w:asciiTheme="minorHAnsi" w:eastAsia="Calibri" w:hAnsiTheme="minorHAnsi"/>
          <w:bCs/>
        </w:rPr>
      </w:pPr>
    </w:p>
    <w:tbl>
      <w:tblPr>
        <w:tblStyle w:val="TableGrid"/>
        <w:tblW w:w="0" w:type="auto"/>
        <w:tblInd w:w="364" w:type="dxa"/>
        <w:tblLook w:val="04A0" w:firstRow="1" w:lastRow="0" w:firstColumn="1" w:lastColumn="0" w:noHBand="0" w:noVBand="1"/>
      </w:tblPr>
      <w:tblGrid>
        <w:gridCol w:w="8910"/>
      </w:tblGrid>
      <w:tr w:rsidR="00C108CF" w:rsidRPr="00C108CF" w14:paraId="6264A1E1" w14:textId="77777777" w:rsidTr="5F884969">
        <w:trPr>
          <w:trHeight w:val="85"/>
        </w:trPr>
        <w:tc>
          <w:tcPr>
            <w:tcW w:w="8910" w:type="dxa"/>
            <w:shd w:val="clear" w:color="auto" w:fill="B5C0DF" w:themeFill="accent1" w:themeFillTint="66"/>
          </w:tcPr>
          <w:p w14:paraId="690E3DC5" w14:textId="77777777" w:rsidR="00C108CF" w:rsidRPr="00C108CF" w:rsidRDefault="00C108CF" w:rsidP="5F884969">
            <w:pPr>
              <w:pStyle w:val="ColorfulList-Accent11"/>
              <w:tabs>
                <w:tab w:val="left" w:pos="1814"/>
              </w:tabs>
              <w:ind w:left="0"/>
              <w:rPr>
                <w:rFonts w:asciiTheme="minorHAnsi" w:eastAsia="Calibri" w:hAnsiTheme="minorHAnsi"/>
                <w:b/>
                <w:bCs/>
              </w:rPr>
            </w:pPr>
            <w:r w:rsidRPr="5F884969">
              <w:rPr>
                <w:rFonts w:asciiTheme="minorHAnsi" w:eastAsia="Calibri" w:hAnsiTheme="minorHAnsi"/>
                <w:b/>
                <w:bCs/>
              </w:rPr>
              <w:t>Goal (A):</w:t>
            </w:r>
            <w:r w:rsidRPr="00C108CF">
              <w:rPr>
                <w:rFonts w:asciiTheme="minorHAnsi" w:eastAsia="Calibri" w:hAnsiTheme="minorHAnsi"/>
                <w:b/>
                <w:bCs/>
              </w:rPr>
              <w:tab/>
            </w:r>
          </w:p>
        </w:tc>
      </w:tr>
      <w:tr w:rsidR="00C108CF" w:rsidRPr="00C108CF" w14:paraId="1295115C" w14:textId="77777777" w:rsidTr="5F884969">
        <w:trPr>
          <w:trHeight w:val="305"/>
        </w:trPr>
        <w:tc>
          <w:tcPr>
            <w:tcW w:w="8910" w:type="dxa"/>
          </w:tcPr>
          <w:p w14:paraId="49A3237B" w14:textId="77777777" w:rsidR="00C108CF" w:rsidRPr="00C108CF" w:rsidRDefault="5F884969" w:rsidP="5F884969">
            <w:pPr>
              <w:pStyle w:val="ColorfulList-Accent11"/>
              <w:ind w:left="0"/>
              <w:rPr>
                <w:rFonts w:asciiTheme="minorHAnsi" w:eastAsia="Calibri" w:hAnsiTheme="minorHAnsi"/>
              </w:rPr>
            </w:pPr>
            <w:r w:rsidRPr="5F884969">
              <w:rPr>
                <w:rFonts w:asciiTheme="minorHAnsi" w:eastAsia="Calibri" w:hAnsiTheme="minorHAnsi"/>
              </w:rPr>
              <w:t>Change the Burlington Comprehensive Development Ordinance to increase the burden of proof when vague design review standards are used block housing development.</w:t>
            </w:r>
          </w:p>
        </w:tc>
      </w:tr>
    </w:tbl>
    <w:p w14:paraId="7BC7AA92" w14:textId="77777777" w:rsidR="00C108CF" w:rsidRPr="00C108CF" w:rsidRDefault="00C108CF" w:rsidP="00C108CF">
      <w:pPr>
        <w:pStyle w:val="ColorfulList-Accent11"/>
        <w:spacing w:after="240"/>
        <w:ind w:left="0"/>
        <w:rPr>
          <w:rFonts w:asciiTheme="minorHAnsi" w:eastAsia="Calibri" w:hAnsiTheme="minorHAnsi"/>
          <w:b/>
          <w:bCs/>
        </w:rPr>
      </w:pPr>
    </w:p>
    <w:p w14:paraId="35E78D10" w14:textId="77777777" w:rsidR="00C108CF" w:rsidRPr="00C108CF" w:rsidRDefault="5F884969" w:rsidP="009A2CF5">
      <w:pPr>
        <w:pStyle w:val="Default"/>
        <w:numPr>
          <w:ilvl w:val="0"/>
          <w:numId w:val="20"/>
        </w:numPr>
        <w:spacing w:after="68"/>
        <w:ind w:left="900"/>
        <w:rPr>
          <w:sz w:val="22"/>
          <w:szCs w:val="22"/>
        </w:rPr>
      </w:pPr>
      <w:r w:rsidRPr="5F884969">
        <w:rPr>
          <w:rFonts w:asciiTheme="minorHAnsi" w:hAnsiTheme="minorHAnsi"/>
          <w:sz w:val="22"/>
          <w:szCs w:val="22"/>
        </w:rPr>
        <w:lastRenderedPageBreak/>
        <w:t xml:space="preserve">A comprehensive, 22-Point Housing Action Plan, approved by Mayor Weinberger and City Council aimed at reducing the cost of housing for all Burlington residents and supporting existing affordable housing options within the City. The Action Plan outlines specific initiatives aimed at reducing regulatory barriers to the development of new housing; expanding and applying municipal resources to new low and moderate-income housing; finding creative solutions to college student housing; preserving the character of historic neighborhoods and buildings; adopting </w:t>
      </w:r>
      <w:r w:rsidRPr="5F884969">
        <w:rPr>
          <w:rFonts w:asciiTheme="minorHAnsi" w:hAnsiTheme="minorHAnsi" w:cstheme="minorBidi"/>
          <w:color w:val="auto"/>
          <w:sz w:val="22"/>
          <w:szCs w:val="22"/>
        </w:rPr>
        <w:t xml:space="preserve">innovative approaches to combating chronic homelessness; and ensuring appropriate housing options for the City’s aging population. </w:t>
      </w:r>
    </w:p>
    <w:p w14:paraId="0F1B798E" w14:textId="77777777" w:rsidR="00C108CF" w:rsidRPr="00C108CF" w:rsidRDefault="00C108CF" w:rsidP="00747840">
      <w:pPr>
        <w:pStyle w:val="ColorfulList-Accent11"/>
        <w:spacing w:after="240"/>
        <w:ind w:left="900"/>
        <w:rPr>
          <w:rFonts w:asciiTheme="minorHAnsi" w:eastAsia="Calibri" w:hAnsiTheme="minorHAnsi"/>
          <w:bCs/>
          <w:i/>
        </w:rPr>
      </w:pPr>
    </w:p>
    <w:p w14:paraId="70DBE223" w14:textId="2D68F10C" w:rsidR="0034035C" w:rsidRPr="00747840" w:rsidRDefault="5F884969" w:rsidP="009A2CF5">
      <w:pPr>
        <w:pStyle w:val="ColorfulList-Accent11"/>
        <w:numPr>
          <w:ilvl w:val="0"/>
          <w:numId w:val="20"/>
        </w:numPr>
        <w:spacing w:after="240"/>
        <w:ind w:left="900"/>
        <w:rPr>
          <w:rFonts w:asciiTheme="minorHAnsi" w:eastAsia="Calibri" w:hAnsiTheme="minorHAnsi"/>
          <w:i/>
          <w:iCs/>
        </w:rPr>
      </w:pPr>
      <w:r w:rsidRPr="5F884969">
        <w:rPr>
          <w:rFonts w:asciiTheme="minorHAnsi" w:eastAsia="Calibri" w:hAnsiTheme="minorHAnsi"/>
        </w:rPr>
        <w:t xml:space="preserve">In the Housing Action Plan, the City continues to examine policies and regulations that negatively impact our affordable housing market. During the development of the Plan, VLA urged the city to use public land for subsidized and workforce rather than college student housing. </w:t>
      </w:r>
    </w:p>
    <w:p w14:paraId="0531D14D" w14:textId="77777777" w:rsidR="00C108CF" w:rsidRPr="00C108CF" w:rsidRDefault="00C108CF" w:rsidP="00C108CF">
      <w:pPr>
        <w:pStyle w:val="ColorfulList-Accent11"/>
        <w:spacing w:after="240"/>
        <w:ind w:left="0"/>
        <w:rPr>
          <w:rFonts w:asciiTheme="minorHAnsi" w:eastAsia="Calibri" w:hAnsiTheme="minorHAnsi"/>
          <w:b/>
          <w:bCs/>
        </w:rPr>
      </w:pPr>
    </w:p>
    <w:tbl>
      <w:tblPr>
        <w:tblStyle w:val="TableGrid"/>
        <w:tblW w:w="0" w:type="auto"/>
        <w:tblInd w:w="364" w:type="dxa"/>
        <w:tblLook w:val="04A0" w:firstRow="1" w:lastRow="0" w:firstColumn="1" w:lastColumn="0" w:noHBand="0" w:noVBand="1"/>
      </w:tblPr>
      <w:tblGrid>
        <w:gridCol w:w="8910"/>
      </w:tblGrid>
      <w:tr w:rsidR="00C108CF" w:rsidRPr="00C108CF" w14:paraId="53B26E7D" w14:textId="77777777" w:rsidTr="5F884969">
        <w:trPr>
          <w:trHeight w:val="85"/>
        </w:trPr>
        <w:tc>
          <w:tcPr>
            <w:tcW w:w="8910" w:type="dxa"/>
            <w:shd w:val="clear" w:color="auto" w:fill="B5C0DF" w:themeFill="accent1" w:themeFillTint="66"/>
          </w:tcPr>
          <w:p w14:paraId="63371877" w14:textId="77777777" w:rsidR="00C108CF" w:rsidRPr="00C108CF" w:rsidRDefault="00C108CF" w:rsidP="5F884969">
            <w:pPr>
              <w:pStyle w:val="ColorfulList-Accent11"/>
              <w:tabs>
                <w:tab w:val="left" w:pos="1814"/>
              </w:tabs>
              <w:ind w:left="0"/>
              <w:rPr>
                <w:rFonts w:asciiTheme="minorHAnsi" w:eastAsia="Calibri" w:hAnsiTheme="minorHAnsi"/>
                <w:b/>
                <w:bCs/>
              </w:rPr>
            </w:pPr>
            <w:r w:rsidRPr="5F884969">
              <w:rPr>
                <w:rFonts w:asciiTheme="minorHAnsi" w:eastAsia="Calibri" w:hAnsiTheme="minorHAnsi"/>
                <w:b/>
                <w:bCs/>
              </w:rPr>
              <w:t>Goal (B):</w:t>
            </w:r>
            <w:r w:rsidRPr="00C108CF">
              <w:rPr>
                <w:rFonts w:asciiTheme="minorHAnsi" w:eastAsia="Calibri" w:hAnsiTheme="minorHAnsi"/>
                <w:b/>
                <w:bCs/>
              </w:rPr>
              <w:tab/>
            </w:r>
          </w:p>
        </w:tc>
      </w:tr>
      <w:tr w:rsidR="00C108CF" w:rsidRPr="00C108CF" w14:paraId="28A8B72F" w14:textId="77777777" w:rsidTr="5F884969">
        <w:trPr>
          <w:trHeight w:val="305"/>
        </w:trPr>
        <w:tc>
          <w:tcPr>
            <w:tcW w:w="8910" w:type="dxa"/>
          </w:tcPr>
          <w:p w14:paraId="7F458267" w14:textId="77777777" w:rsidR="00C108CF" w:rsidRPr="00C108CF" w:rsidRDefault="5F884969" w:rsidP="5F884969">
            <w:pPr>
              <w:pStyle w:val="ColorfulList-Accent11"/>
              <w:ind w:left="0"/>
              <w:rPr>
                <w:rFonts w:asciiTheme="minorHAnsi" w:eastAsia="Calibri" w:hAnsiTheme="minorHAnsi"/>
              </w:rPr>
            </w:pPr>
            <w:r w:rsidRPr="5F884969">
              <w:rPr>
                <w:rFonts w:asciiTheme="minorHAnsi" w:eastAsia="Calibri" w:hAnsiTheme="minorHAnsi"/>
              </w:rPr>
              <w:t xml:space="preserve">Track zoning variance and local permit applications and denials. In addition, track substantially adjusted residential permit applications to monitor if any systematic barriers to fair or affordable housing exist. </w:t>
            </w:r>
          </w:p>
        </w:tc>
      </w:tr>
    </w:tbl>
    <w:p w14:paraId="6B885306" w14:textId="77777777" w:rsidR="00C108CF" w:rsidRPr="00C108CF" w:rsidRDefault="00C108CF" w:rsidP="00C108CF">
      <w:pPr>
        <w:pStyle w:val="ColorfulList-Accent11"/>
        <w:spacing w:after="240"/>
        <w:ind w:left="0"/>
        <w:rPr>
          <w:rFonts w:asciiTheme="minorHAnsi" w:eastAsia="Calibri" w:hAnsiTheme="minorHAnsi"/>
          <w:bCs/>
          <w:i/>
        </w:rPr>
      </w:pPr>
    </w:p>
    <w:p w14:paraId="67E5FBEC" w14:textId="36F060AD" w:rsidR="00C108CF" w:rsidRPr="00C108CF" w:rsidRDefault="5F884969" w:rsidP="009A2CF5">
      <w:pPr>
        <w:pStyle w:val="ColorfulList-Accent11"/>
        <w:numPr>
          <w:ilvl w:val="0"/>
          <w:numId w:val="23"/>
        </w:numPr>
        <w:spacing w:after="240"/>
        <w:ind w:left="900"/>
        <w:rPr>
          <w:rFonts w:asciiTheme="minorHAnsi" w:eastAsia="Calibri" w:hAnsiTheme="minorHAnsi"/>
          <w:i/>
          <w:iCs/>
        </w:rPr>
      </w:pPr>
      <w:r w:rsidRPr="5F884969">
        <w:rPr>
          <w:rFonts w:asciiTheme="minorHAnsi" w:eastAsia="Calibri" w:hAnsiTheme="minorHAnsi"/>
        </w:rPr>
        <w:t>The City continues to extensively review barriers to housing affordability and the creation of both affordable and market rate housing, exploring all aspects of the development review process, zoning application fees, and inclusionary housing requirement with an emphas</w:t>
      </w:r>
      <w:r w:rsidR="00C02F00">
        <w:rPr>
          <w:rFonts w:asciiTheme="minorHAnsi" w:eastAsia="Calibri" w:hAnsiTheme="minorHAnsi"/>
        </w:rPr>
        <w:t>is on addressing challenges</w:t>
      </w:r>
      <w:r w:rsidRPr="5F884969">
        <w:rPr>
          <w:rFonts w:asciiTheme="minorHAnsi" w:eastAsia="Calibri" w:hAnsiTheme="minorHAnsi"/>
        </w:rPr>
        <w:t xml:space="preserve">. </w:t>
      </w:r>
    </w:p>
    <w:p w14:paraId="7CFE788E" w14:textId="728767C1" w:rsidR="00C108CF" w:rsidRPr="00C108CF" w:rsidRDefault="5F884969" w:rsidP="009A2CF5">
      <w:pPr>
        <w:pStyle w:val="ColorfulList-Accent11"/>
        <w:numPr>
          <w:ilvl w:val="0"/>
          <w:numId w:val="23"/>
        </w:numPr>
        <w:spacing w:after="240"/>
        <w:ind w:left="900"/>
        <w:rPr>
          <w:rFonts w:asciiTheme="minorHAnsi" w:eastAsia="Calibri" w:hAnsiTheme="minorHAnsi"/>
          <w:i/>
          <w:iCs/>
        </w:rPr>
      </w:pPr>
      <w:r w:rsidRPr="5F884969">
        <w:rPr>
          <w:rFonts w:asciiTheme="minorHAnsi" w:eastAsia="Calibri" w:hAnsiTheme="minorHAnsi"/>
        </w:rPr>
        <w:t>A review of the City’s Inclusionary Zoning O</w:t>
      </w:r>
      <w:r w:rsidR="00C02F00">
        <w:rPr>
          <w:rFonts w:asciiTheme="minorHAnsi" w:eastAsia="Calibri" w:hAnsiTheme="minorHAnsi"/>
        </w:rPr>
        <w:t>rdinance is in progress</w:t>
      </w:r>
      <w:r w:rsidRPr="5F884969">
        <w:rPr>
          <w:rFonts w:asciiTheme="minorHAnsi" w:eastAsia="Calibri" w:hAnsiTheme="minorHAnsi"/>
        </w:rPr>
        <w:t xml:space="preserve">. </w:t>
      </w:r>
    </w:p>
    <w:p w14:paraId="4963C809" w14:textId="77777777" w:rsidR="00C108CF" w:rsidRPr="00C108CF" w:rsidRDefault="5F884969" w:rsidP="009A2CF5">
      <w:pPr>
        <w:pStyle w:val="ColorfulList-Accent11"/>
        <w:numPr>
          <w:ilvl w:val="0"/>
          <w:numId w:val="23"/>
        </w:numPr>
        <w:spacing w:after="240"/>
        <w:ind w:left="900"/>
        <w:rPr>
          <w:rFonts w:asciiTheme="minorHAnsi" w:eastAsia="Calibri" w:hAnsiTheme="minorHAnsi"/>
          <w:i/>
          <w:iCs/>
        </w:rPr>
      </w:pPr>
      <w:r w:rsidRPr="5F884969">
        <w:rPr>
          <w:rFonts w:asciiTheme="minorHAnsi" w:eastAsia="Calibri" w:hAnsiTheme="minorHAnsi"/>
        </w:rPr>
        <w:t xml:space="preserve">The City will continue to work with the Vermont Legislature to ensure fair property tax policy for deed-restricted, perpetually-affordable owner-occupied homes. There are over 200 such homes in Burlington and the City will continue to advocate for taxation based on the restricted value of the subjected homes. </w:t>
      </w:r>
    </w:p>
    <w:p w14:paraId="13FDE334" w14:textId="77777777" w:rsidR="00C108CF" w:rsidRPr="00C108CF" w:rsidRDefault="5F884969" w:rsidP="009A2CF5">
      <w:pPr>
        <w:pStyle w:val="ColorfulList-Accent11"/>
        <w:numPr>
          <w:ilvl w:val="0"/>
          <w:numId w:val="23"/>
        </w:numPr>
        <w:spacing w:after="240"/>
        <w:ind w:left="900"/>
        <w:rPr>
          <w:rFonts w:asciiTheme="minorHAnsi" w:eastAsia="Calibri" w:hAnsiTheme="minorHAnsi"/>
          <w:i/>
          <w:iCs/>
        </w:rPr>
      </w:pPr>
      <w:r w:rsidRPr="5F884969">
        <w:rPr>
          <w:rFonts w:asciiTheme="minorHAnsi" w:eastAsia="Calibri" w:hAnsiTheme="minorHAnsi"/>
        </w:rPr>
        <w:t>Burlington’s City Council voted to remove the 50% residential limitation in the downtown core. This stipulation was preventing the creation of meaningful mixed use development.</w:t>
      </w:r>
    </w:p>
    <w:p w14:paraId="7E81EE0C" w14:textId="77777777" w:rsidR="00C108CF" w:rsidRPr="00C108CF" w:rsidRDefault="00C108CF" w:rsidP="00C108CF">
      <w:pPr>
        <w:pStyle w:val="ColorfulList-Accent11"/>
        <w:spacing w:after="240"/>
        <w:ind w:left="0"/>
        <w:rPr>
          <w:rFonts w:asciiTheme="minorHAnsi" w:eastAsia="Calibri" w:hAnsiTheme="minorHAnsi"/>
          <w:bCs/>
          <w:i/>
        </w:rPr>
      </w:pPr>
    </w:p>
    <w:p w14:paraId="5996390B" w14:textId="77777777" w:rsidR="00C108CF" w:rsidRPr="00C108CF" w:rsidRDefault="00C108CF" w:rsidP="00C108CF">
      <w:pPr>
        <w:pStyle w:val="ColorfulList-Accent11"/>
        <w:spacing w:after="240"/>
        <w:ind w:left="0"/>
        <w:rPr>
          <w:rFonts w:asciiTheme="minorHAnsi" w:eastAsia="Calibri" w:hAnsiTheme="minorHAnsi"/>
          <w:b/>
          <w:bCs/>
        </w:rPr>
      </w:pPr>
    </w:p>
    <w:tbl>
      <w:tblPr>
        <w:tblStyle w:val="TableGrid"/>
        <w:tblW w:w="0" w:type="auto"/>
        <w:tblInd w:w="364" w:type="dxa"/>
        <w:tblLook w:val="04A0" w:firstRow="1" w:lastRow="0" w:firstColumn="1" w:lastColumn="0" w:noHBand="0" w:noVBand="1"/>
      </w:tblPr>
      <w:tblGrid>
        <w:gridCol w:w="8910"/>
      </w:tblGrid>
      <w:tr w:rsidR="00C108CF" w:rsidRPr="00C108CF" w14:paraId="607497D2" w14:textId="77777777" w:rsidTr="5F884969">
        <w:trPr>
          <w:trHeight w:val="305"/>
        </w:trPr>
        <w:tc>
          <w:tcPr>
            <w:tcW w:w="8910" w:type="dxa"/>
            <w:shd w:val="clear" w:color="auto" w:fill="B5C0DF" w:themeFill="accent1" w:themeFillTint="66"/>
          </w:tcPr>
          <w:p w14:paraId="73175068" w14:textId="77777777" w:rsidR="00C108CF" w:rsidRPr="00C108CF" w:rsidRDefault="00C108CF" w:rsidP="5F884969">
            <w:pPr>
              <w:pStyle w:val="ColorfulList-Accent11"/>
              <w:tabs>
                <w:tab w:val="left" w:pos="1814"/>
              </w:tabs>
              <w:ind w:left="0"/>
              <w:rPr>
                <w:rFonts w:asciiTheme="minorHAnsi" w:eastAsia="Calibri" w:hAnsiTheme="minorHAnsi"/>
                <w:b/>
                <w:bCs/>
              </w:rPr>
            </w:pPr>
            <w:r w:rsidRPr="5F884969">
              <w:rPr>
                <w:rFonts w:asciiTheme="minorHAnsi" w:eastAsia="Calibri" w:hAnsiTheme="minorHAnsi"/>
                <w:b/>
                <w:bCs/>
              </w:rPr>
              <w:t>Goal (C):</w:t>
            </w:r>
            <w:r w:rsidRPr="00C108CF">
              <w:rPr>
                <w:rFonts w:asciiTheme="minorHAnsi" w:eastAsia="Calibri" w:hAnsiTheme="minorHAnsi"/>
                <w:b/>
                <w:bCs/>
              </w:rPr>
              <w:tab/>
            </w:r>
          </w:p>
        </w:tc>
      </w:tr>
      <w:tr w:rsidR="00C108CF" w:rsidRPr="00C108CF" w14:paraId="09037E25" w14:textId="77777777" w:rsidTr="5F884969">
        <w:trPr>
          <w:trHeight w:val="305"/>
        </w:trPr>
        <w:tc>
          <w:tcPr>
            <w:tcW w:w="8910" w:type="dxa"/>
          </w:tcPr>
          <w:p w14:paraId="73F13ECF" w14:textId="77777777" w:rsidR="00C108CF" w:rsidRPr="00C108CF" w:rsidRDefault="5F884969" w:rsidP="5F884969">
            <w:pPr>
              <w:pStyle w:val="ColorfulList-Accent11"/>
              <w:ind w:left="0"/>
              <w:rPr>
                <w:rFonts w:asciiTheme="minorHAnsi" w:eastAsia="Calibri" w:hAnsiTheme="minorHAnsi"/>
              </w:rPr>
            </w:pPr>
            <w:r w:rsidRPr="5F884969">
              <w:rPr>
                <w:rFonts w:asciiTheme="minorHAnsi" w:eastAsia="Calibri" w:hAnsiTheme="minorHAnsi"/>
              </w:rPr>
              <w:t>Conduct further research on the impact of protected classes of the city’s ordinance of a single home’s occupants being limited to “no more than four unrelated adults and their minor children.”</w:t>
            </w:r>
          </w:p>
        </w:tc>
      </w:tr>
    </w:tbl>
    <w:p w14:paraId="660AF721" w14:textId="77777777" w:rsidR="00C108CF" w:rsidRPr="00C108CF" w:rsidRDefault="00C108CF" w:rsidP="00C108CF">
      <w:pPr>
        <w:pStyle w:val="ColorfulList-Accent11"/>
        <w:spacing w:after="240"/>
        <w:ind w:left="0"/>
        <w:rPr>
          <w:rFonts w:asciiTheme="minorHAnsi" w:eastAsia="Calibri" w:hAnsiTheme="minorHAnsi"/>
          <w:b/>
          <w:bCs/>
        </w:rPr>
      </w:pPr>
    </w:p>
    <w:p w14:paraId="4DB794D7" w14:textId="77777777" w:rsidR="00C108CF" w:rsidRPr="00C108CF" w:rsidRDefault="00C108CF" w:rsidP="00C108CF">
      <w:pPr>
        <w:pStyle w:val="ColorfulList-Accent11"/>
        <w:spacing w:after="240"/>
        <w:ind w:left="0"/>
        <w:rPr>
          <w:rFonts w:asciiTheme="minorHAnsi" w:eastAsia="Calibri" w:hAnsiTheme="minorHAnsi"/>
          <w:bCs/>
          <w:i/>
        </w:rPr>
      </w:pPr>
    </w:p>
    <w:p w14:paraId="16D5CC82" w14:textId="77777777" w:rsidR="00C108CF" w:rsidRPr="00C108CF" w:rsidRDefault="5F884969" w:rsidP="009A2CF5">
      <w:pPr>
        <w:pStyle w:val="ColorfulList-Accent11"/>
        <w:numPr>
          <w:ilvl w:val="0"/>
          <w:numId w:val="24"/>
        </w:numPr>
        <w:spacing w:after="240"/>
        <w:ind w:left="900"/>
        <w:rPr>
          <w:rFonts w:asciiTheme="minorHAnsi" w:eastAsia="Calibri" w:hAnsiTheme="minorHAnsi"/>
          <w:i/>
          <w:iCs/>
        </w:rPr>
      </w:pPr>
      <w:r w:rsidRPr="5F884969">
        <w:rPr>
          <w:rFonts w:asciiTheme="minorHAnsi" w:eastAsia="Calibri" w:hAnsiTheme="minorHAnsi"/>
        </w:rPr>
        <w:t>CEDO continues to advocate for Fair Housing in discussions regarding enforcement of the limit on the number of unrelated adults. When the City Council expanded the Residential High Density Zoning District, all existing properties where more than four unrelated adults were “grandfathered.”</w:t>
      </w:r>
    </w:p>
    <w:p w14:paraId="231346E2" w14:textId="77777777" w:rsidR="00C108CF" w:rsidRPr="00C108CF" w:rsidRDefault="00C108CF" w:rsidP="00C108CF">
      <w:pPr>
        <w:pStyle w:val="ColorfulList-Accent11"/>
        <w:spacing w:after="240"/>
        <w:rPr>
          <w:rFonts w:asciiTheme="minorHAnsi" w:eastAsia="Calibri" w:hAnsiTheme="minorHAnsi"/>
          <w:bCs/>
          <w:i/>
        </w:rPr>
      </w:pPr>
    </w:p>
    <w:p w14:paraId="359313A9" w14:textId="77777777" w:rsidR="00C108CF" w:rsidRPr="00C108CF" w:rsidRDefault="00C108CF" w:rsidP="00C108CF">
      <w:pPr>
        <w:pStyle w:val="ColorfulList-Accent11"/>
        <w:spacing w:after="240"/>
        <w:ind w:left="0"/>
        <w:rPr>
          <w:rFonts w:asciiTheme="minorHAnsi" w:eastAsia="Calibri" w:hAnsiTheme="minorHAnsi"/>
          <w:b/>
          <w:bCs/>
        </w:rPr>
      </w:pPr>
    </w:p>
    <w:tbl>
      <w:tblPr>
        <w:tblStyle w:val="TableGrid"/>
        <w:tblW w:w="0" w:type="auto"/>
        <w:tblInd w:w="364" w:type="dxa"/>
        <w:tblLook w:val="04A0" w:firstRow="1" w:lastRow="0" w:firstColumn="1" w:lastColumn="0" w:noHBand="0" w:noVBand="1"/>
      </w:tblPr>
      <w:tblGrid>
        <w:gridCol w:w="8910"/>
      </w:tblGrid>
      <w:tr w:rsidR="00C108CF" w:rsidRPr="00C108CF" w14:paraId="721256C6" w14:textId="77777777" w:rsidTr="5F884969">
        <w:trPr>
          <w:trHeight w:val="85"/>
        </w:trPr>
        <w:tc>
          <w:tcPr>
            <w:tcW w:w="8910" w:type="dxa"/>
            <w:shd w:val="clear" w:color="auto" w:fill="B5C0DF" w:themeFill="accent1" w:themeFillTint="66"/>
          </w:tcPr>
          <w:p w14:paraId="6665FFC7" w14:textId="77777777" w:rsidR="00C108CF" w:rsidRPr="00C108CF" w:rsidRDefault="00C108CF" w:rsidP="5F884969">
            <w:pPr>
              <w:pStyle w:val="ColorfulList-Accent11"/>
              <w:tabs>
                <w:tab w:val="left" w:pos="1814"/>
              </w:tabs>
              <w:ind w:left="0"/>
              <w:rPr>
                <w:rFonts w:asciiTheme="minorHAnsi" w:eastAsia="Calibri" w:hAnsiTheme="minorHAnsi"/>
                <w:b/>
                <w:bCs/>
              </w:rPr>
            </w:pPr>
            <w:r w:rsidRPr="5F884969">
              <w:rPr>
                <w:rFonts w:asciiTheme="minorHAnsi" w:eastAsia="Calibri" w:hAnsiTheme="minorHAnsi"/>
                <w:b/>
                <w:bCs/>
              </w:rPr>
              <w:t>Goal (D):</w:t>
            </w:r>
            <w:r w:rsidRPr="00C108CF">
              <w:rPr>
                <w:rFonts w:asciiTheme="minorHAnsi" w:eastAsia="Calibri" w:hAnsiTheme="minorHAnsi"/>
                <w:b/>
                <w:bCs/>
              </w:rPr>
              <w:tab/>
            </w:r>
          </w:p>
        </w:tc>
      </w:tr>
      <w:tr w:rsidR="00C108CF" w:rsidRPr="00C108CF" w14:paraId="0F0CF96C" w14:textId="77777777" w:rsidTr="5F884969">
        <w:trPr>
          <w:trHeight w:val="305"/>
        </w:trPr>
        <w:tc>
          <w:tcPr>
            <w:tcW w:w="8910" w:type="dxa"/>
          </w:tcPr>
          <w:p w14:paraId="4497CFD5" w14:textId="77777777" w:rsidR="00C108CF" w:rsidRPr="00C108CF" w:rsidRDefault="5F884969" w:rsidP="5F884969">
            <w:pPr>
              <w:pStyle w:val="ColorfulList-Accent11"/>
              <w:ind w:left="0"/>
              <w:rPr>
                <w:rFonts w:asciiTheme="minorHAnsi" w:eastAsia="Calibri" w:hAnsiTheme="minorHAnsi"/>
              </w:rPr>
            </w:pPr>
            <w:r w:rsidRPr="5F884969">
              <w:rPr>
                <w:rFonts w:asciiTheme="minorHAnsi" w:eastAsia="Calibri" w:hAnsiTheme="minorHAnsi"/>
              </w:rPr>
              <w:t xml:space="preserve">Routinely monitor housing market data and policies for indicators of progress in increasing housing options for protected classes. </w:t>
            </w:r>
          </w:p>
        </w:tc>
      </w:tr>
    </w:tbl>
    <w:p w14:paraId="68736717" w14:textId="77777777" w:rsidR="00C108CF" w:rsidRPr="00C108CF" w:rsidRDefault="00C108CF" w:rsidP="00C108CF">
      <w:pPr>
        <w:pStyle w:val="ColorfulList-Accent11"/>
        <w:spacing w:after="240"/>
        <w:ind w:left="0"/>
        <w:rPr>
          <w:rFonts w:asciiTheme="minorHAnsi" w:eastAsia="Calibri" w:hAnsiTheme="minorHAnsi"/>
          <w:bCs/>
          <w:i/>
        </w:rPr>
      </w:pPr>
    </w:p>
    <w:p w14:paraId="6ED9D230" w14:textId="774EB7B7" w:rsidR="00C108CF" w:rsidRDefault="5F884969" w:rsidP="009A2CF5">
      <w:pPr>
        <w:pStyle w:val="ColorfulList-Accent11"/>
        <w:numPr>
          <w:ilvl w:val="0"/>
          <w:numId w:val="24"/>
        </w:numPr>
        <w:spacing w:after="240"/>
        <w:ind w:left="900"/>
        <w:rPr>
          <w:rFonts w:asciiTheme="minorHAnsi" w:eastAsia="Calibri" w:hAnsiTheme="minorHAnsi"/>
          <w:i/>
          <w:iCs/>
        </w:rPr>
      </w:pPr>
      <w:r w:rsidRPr="5F884969">
        <w:rPr>
          <w:rFonts w:asciiTheme="minorHAnsi" w:hAnsiTheme="minorHAnsi"/>
        </w:rPr>
        <w:t>The City commissioned a consultant to analyze the impact of the IZ Ordinance on new housing construction and to identify changes to the Ordinance that would render it a more effective tool for meeting both low- and moderate-income and workforce housing.</w:t>
      </w:r>
    </w:p>
    <w:p w14:paraId="1BBC1BF8" w14:textId="77777777" w:rsidR="00743C47" w:rsidRPr="00C108CF" w:rsidRDefault="00743C47" w:rsidP="00BC1351">
      <w:pPr>
        <w:pStyle w:val="ColorfulList-Accent11"/>
        <w:spacing w:after="240"/>
        <w:ind w:left="0"/>
        <w:rPr>
          <w:rFonts w:ascii="Calibri" w:eastAsia="Calibri" w:hAnsi="Calibri"/>
          <w:b/>
          <w:bCs/>
        </w:rPr>
      </w:pPr>
    </w:p>
    <w:p w14:paraId="1A89B21E" w14:textId="7D590D7A" w:rsidR="00743C47" w:rsidRPr="00FA2C50" w:rsidRDefault="5F884969" w:rsidP="006926FA">
      <w:pPr>
        <w:pStyle w:val="ColorfulList-Accent11"/>
        <w:spacing w:after="240"/>
        <w:ind w:left="450"/>
        <w:rPr>
          <w:rFonts w:ascii="Calibri" w:eastAsia="Calibri" w:hAnsi="Calibri"/>
          <w:b/>
          <w:bCs/>
          <w:i/>
        </w:rPr>
      </w:pPr>
      <w:r w:rsidRPr="00FA2C50">
        <w:rPr>
          <w:rFonts w:ascii="Calibri" w:eastAsia="Calibri" w:hAnsi="Calibri"/>
          <w:b/>
          <w:bCs/>
          <w:i/>
        </w:rPr>
        <w:t>Discuss how successful in achieving past goals, and/or how it has fallen short of achieving those goals (including potentially harmful unintended consequences).</w:t>
      </w:r>
    </w:p>
    <w:p w14:paraId="0B9A35AC" w14:textId="77777777" w:rsidR="00A043C2" w:rsidRDefault="00A043C2" w:rsidP="006926FA">
      <w:pPr>
        <w:pStyle w:val="ColorfulList-Accent11"/>
        <w:spacing w:after="240"/>
        <w:ind w:left="450"/>
        <w:rPr>
          <w:rFonts w:asciiTheme="minorHAnsi" w:hAnsiTheme="minorHAnsi"/>
        </w:rPr>
      </w:pPr>
    </w:p>
    <w:p w14:paraId="316CF6A5" w14:textId="77777777" w:rsidR="00A043C2" w:rsidRPr="00386252" w:rsidRDefault="5F884969" w:rsidP="006926FA">
      <w:pPr>
        <w:pStyle w:val="ColorfulList-Accent11"/>
        <w:spacing w:after="240"/>
        <w:ind w:left="450"/>
        <w:rPr>
          <w:rFonts w:asciiTheme="minorHAnsi" w:hAnsiTheme="minorHAnsi"/>
        </w:rPr>
      </w:pPr>
      <w:r w:rsidRPr="5F884969">
        <w:rPr>
          <w:rFonts w:asciiTheme="minorHAnsi" w:hAnsiTheme="minorHAnsi"/>
        </w:rPr>
        <w:t xml:space="preserve">With the help of several other groups who are committed to reviewing progress with implementation of the 2010 Analysis of Impediments to Fair Housing Choice, the City of Burlington and the greater Chittenden County has made substantial improvements to both fair housing awareness and the implementation of fair housing actions. Two organizations in particular, Champlain Valley Office of Economic Opportunity and Vermont Legal Aid, have been instrumental in achieving the fair housing goals listed in the 2010 Analysis of impediments. </w:t>
      </w:r>
    </w:p>
    <w:p w14:paraId="00FF95A7" w14:textId="77777777" w:rsidR="00A043C2" w:rsidRDefault="00A043C2" w:rsidP="006926FA">
      <w:pPr>
        <w:pStyle w:val="ColorfulList-Accent11"/>
        <w:spacing w:after="240"/>
        <w:ind w:left="450"/>
        <w:rPr>
          <w:rFonts w:asciiTheme="minorHAnsi" w:hAnsiTheme="minorHAnsi"/>
        </w:rPr>
      </w:pPr>
    </w:p>
    <w:p w14:paraId="52619EC6" w14:textId="77777777" w:rsidR="00A043C2" w:rsidRPr="00A043C2" w:rsidRDefault="5F884969" w:rsidP="006926FA">
      <w:pPr>
        <w:pStyle w:val="ColorfulList-Accent11"/>
        <w:spacing w:after="240"/>
        <w:ind w:left="450"/>
        <w:rPr>
          <w:rFonts w:asciiTheme="minorHAnsi" w:hAnsiTheme="minorHAnsi"/>
        </w:rPr>
      </w:pPr>
      <w:r w:rsidRPr="5F884969">
        <w:rPr>
          <w:rFonts w:asciiTheme="minorHAnsi" w:hAnsiTheme="minorHAnsi"/>
        </w:rPr>
        <w:t xml:space="preserve">The City has performed well against the goals stated in the 2010 Analysis of Impediments. There is always room for improvement. One key area to improve would be the inclusion of new partners as well as the assignment of specific objectives and metrics for goals.   </w:t>
      </w:r>
    </w:p>
    <w:p w14:paraId="0614E242" w14:textId="77777777" w:rsidR="00A043C2" w:rsidRPr="00021F57" w:rsidRDefault="00A043C2" w:rsidP="006926FA">
      <w:pPr>
        <w:pStyle w:val="ColorfulList-Accent11"/>
        <w:spacing w:after="240"/>
        <w:ind w:left="450"/>
        <w:rPr>
          <w:rFonts w:asciiTheme="minorHAnsi" w:hAnsiTheme="minorHAnsi"/>
          <w:strike/>
        </w:rPr>
      </w:pPr>
    </w:p>
    <w:p w14:paraId="6A38A6A9" w14:textId="2A776D26" w:rsidR="00A043C2" w:rsidRPr="001414DE" w:rsidRDefault="5F884969" w:rsidP="006926FA">
      <w:pPr>
        <w:pStyle w:val="ColorfulList-Accent11"/>
        <w:spacing w:after="240"/>
        <w:ind w:left="450"/>
        <w:rPr>
          <w:rFonts w:asciiTheme="minorHAnsi" w:hAnsiTheme="minorHAnsi"/>
        </w:rPr>
      </w:pPr>
      <w:r w:rsidRPr="5F884969">
        <w:rPr>
          <w:rFonts w:asciiTheme="minorHAnsi" w:hAnsiTheme="minorHAnsi"/>
        </w:rPr>
        <w:t>The City has produced 96 new affordable rental units from 2013 through 2017, and preserved and rehabilitated 292 rental units during the same timeframe.  New units continue to be developed within the next five years. Acquiring and renovating expiring subsidy units continues to be high priority for this jurisdiction.</w:t>
      </w:r>
    </w:p>
    <w:p w14:paraId="1A5E9370" w14:textId="77777777" w:rsidR="00A043C2" w:rsidRPr="00021F57" w:rsidRDefault="00A043C2" w:rsidP="006926FA">
      <w:pPr>
        <w:pStyle w:val="ColorfulList-Accent11"/>
        <w:spacing w:after="240"/>
        <w:ind w:left="450"/>
        <w:rPr>
          <w:rFonts w:asciiTheme="minorHAnsi" w:hAnsiTheme="minorHAnsi"/>
          <w:highlight w:val="yellow"/>
        </w:rPr>
      </w:pPr>
    </w:p>
    <w:p w14:paraId="394AF4B2" w14:textId="6D4F4069" w:rsidR="00A043C2" w:rsidRPr="00021F57" w:rsidRDefault="5F884969" w:rsidP="006926FA">
      <w:pPr>
        <w:pStyle w:val="ColorfulList-Accent11"/>
        <w:spacing w:after="240"/>
        <w:ind w:left="450"/>
        <w:rPr>
          <w:rFonts w:asciiTheme="minorHAnsi" w:hAnsiTheme="minorHAnsi"/>
        </w:rPr>
      </w:pPr>
      <w:r w:rsidRPr="5F884969">
        <w:rPr>
          <w:rFonts w:asciiTheme="minorHAnsi" w:hAnsiTheme="minorHAnsi"/>
        </w:rPr>
        <w:t>Although Inclusionary Zoning Ordinance compliance systems have been significantly strengthened and the first substantive m</w:t>
      </w:r>
      <w:r w:rsidR="00C02F00">
        <w:rPr>
          <w:rFonts w:asciiTheme="minorHAnsi" w:hAnsiTheme="minorHAnsi"/>
        </w:rPr>
        <w:t xml:space="preserve">onitoring will occur the fall </w:t>
      </w:r>
      <w:r w:rsidRPr="5F884969">
        <w:rPr>
          <w:rFonts w:asciiTheme="minorHAnsi" w:hAnsiTheme="minorHAnsi"/>
        </w:rPr>
        <w:t>of 2017, the City is examining how the ordinance and its administration can be improved.</w:t>
      </w:r>
    </w:p>
    <w:p w14:paraId="77E5D5A9" w14:textId="77777777" w:rsidR="00FA2C50" w:rsidRDefault="00FA2C50" w:rsidP="006926FA">
      <w:pPr>
        <w:pStyle w:val="ColorfulList-Accent11"/>
        <w:spacing w:before="120" w:after="120"/>
        <w:ind w:left="450"/>
        <w:contextualSpacing w:val="0"/>
        <w:rPr>
          <w:rStyle w:val="Emphasis1"/>
          <w:rFonts w:ascii="Calibri" w:hAnsi="Calibri"/>
          <w:b/>
          <w:bCs/>
          <w:color w:val="auto"/>
          <w:sz w:val="22"/>
          <w:szCs w:val="22"/>
        </w:rPr>
      </w:pPr>
    </w:p>
    <w:p w14:paraId="6CC4EA86" w14:textId="5C67098A" w:rsidR="0012672A" w:rsidRPr="00FA2C50" w:rsidRDefault="5F884969" w:rsidP="006926FA">
      <w:pPr>
        <w:pStyle w:val="ColorfulList-Accent11"/>
        <w:spacing w:before="120" w:after="120"/>
        <w:ind w:left="450"/>
        <w:contextualSpacing w:val="0"/>
        <w:rPr>
          <w:rFonts w:ascii="Calibri" w:eastAsia="Calibri" w:hAnsi="Calibri"/>
          <w:b/>
          <w:bCs/>
          <w:i/>
        </w:rPr>
      </w:pPr>
      <w:r w:rsidRPr="00FA2C50">
        <w:rPr>
          <w:rFonts w:ascii="Calibri" w:eastAsia="Calibri" w:hAnsi="Calibri"/>
          <w:b/>
          <w:bCs/>
          <w:i/>
        </w:rPr>
        <w:t xml:space="preserve">Discuss any additional policies, actions, or steps that the program participant could take to achieve past goals, or mitigate the problems it has experienced. </w:t>
      </w:r>
    </w:p>
    <w:p w14:paraId="30A380B2" w14:textId="38539608" w:rsidR="0012672A" w:rsidRDefault="5F884969" w:rsidP="006926FA">
      <w:pPr>
        <w:spacing w:after="240"/>
        <w:ind w:left="450" w:right="1008"/>
        <w:textAlignment w:val="baseline"/>
      </w:pPr>
      <w:r>
        <w:t>The City of Burlington’s variety of planning documents contains a host of policies and objectives that encourage the production of affordable housing in strong market neighborhoods. The City will continue to encourage developers to engage fair housing objectives as development continues. The City, BHA, and partners are engaged in a wide range of affordable housing and community development activities. Improved coordination of these programs and alignment of available/potential funding (local, state and federal) opportunities will help ensure that the greatest number of residents possible have housing choice. Finally, the City and the Housing Authorities will promote outreach and training on the fair housing rule and how each partner can play a part in providing meaningful actions to address fair housing challenges.</w:t>
      </w:r>
    </w:p>
    <w:p w14:paraId="3CC0AEB7" w14:textId="5A829189" w:rsidR="0012672A" w:rsidRDefault="5F884969" w:rsidP="006926FA">
      <w:pPr>
        <w:pStyle w:val="ColorfulList-Accent11"/>
        <w:spacing w:after="240"/>
        <w:ind w:left="450"/>
        <w:rPr>
          <w:rFonts w:asciiTheme="minorHAnsi" w:hAnsiTheme="minorHAnsi"/>
        </w:rPr>
      </w:pPr>
      <w:r w:rsidRPr="5F884969">
        <w:rPr>
          <w:rFonts w:asciiTheme="minorHAnsi" w:hAnsiTheme="minorHAnsi"/>
        </w:rPr>
        <w:t>To further support of achieving the objectives outlined in the 2010 Analysis of Impediments, this past year, the City Council approved a Housing Action Plan for the City of Burlington. The Action Plan can be found here:</w:t>
      </w:r>
    </w:p>
    <w:p w14:paraId="46FB823D" w14:textId="2B0684E8" w:rsidR="0012672A" w:rsidRDefault="00D45B54" w:rsidP="006926FA">
      <w:pPr>
        <w:pStyle w:val="ColorfulList-Accent11"/>
        <w:spacing w:after="240"/>
        <w:ind w:left="450"/>
        <w:rPr>
          <w:rFonts w:asciiTheme="minorHAnsi" w:hAnsiTheme="minorHAnsi"/>
        </w:rPr>
      </w:pPr>
      <w:r>
        <w:rPr>
          <w:rFonts w:asciiTheme="minorHAnsi" w:hAnsiTheme="minorHAnsi"/>
        </w:rPr>
        <w:t xml:space="preserve">          </w:t>
      </w:r>
      <w:hyperlink r:id="rId17" w:history="1">
        <w:r w:rsidR="00747840" w:rsidRPr="00853FC5">
          <w:rPr>
            <w:rStyle w:val="Hyperlink"/>
            <w:rFonts w:asciiTheme="minorHAnsi" w:hAnsiTheme="minorHAnsi"/>
          </w:rPr>
          <w:t>https://www.burlingtonvt.gov/sites/default/files/CEDO/About_Us/Housing%20Action%20Plan.pdf</w:t>
        </w:r>
      </w:hyperlink>
    </w:p>
    <w:p w14:paraId="39C03D3F" w14:textId="77777777" w:rsidR="0012672A" w:rsidRDefault="0012672A" w:rsidP="006926FA">
      <w:pPr>
        <w:pStyle w:val="ColorfulList-Accent11"/>
        <w:spacing w:after="240"/>
        <w:ind w:left="450"/>
        <w:rPr>
          <w:rFonts w:asciiTheme="minorHAnsi" w:hAnsiTheme="minorHAnsi"/>
        </w:rPr>
      </w:pPr>
    </w:p>
    <w:p w14:paraId="1EFA609F" w14:textId="5BC71173" w:rsidR="0012672A" w:rsidRDefault="5F884969" w:rsidP="006926FA">
      <w:pPr>
        <w:pStyle w:val="ColorfulList-Accent11"/>
        <w:spacing w:after="240"/>
        <w:ind w:left="450"/>
        <w:rPr>
          <w:rFonts w:asciiTheme="minorHAnsi" w:hAnsiTheme="minorHAnsi"/>
        </w:rPr>
      </w:pPr>
      <w:r w:rsidRPr="5F884969">
        <w:rPr>
          <w:rFonts w:asciiTheme="minorHAnsi" w:hAnsiTheme="minorHAnsi"/>
        </w:rPr>
        <w:t xml:space="preserve">In this plan, the Mayor outlined 22 initiatives to decrease the cost of housing, increase the supply of housing and ensure Burlington is more affordable, inclusive, livable, walkable, sustainable, and vibrant for all its residents, since more housing downtown means less need for cars, less congestion, less environmental impact, improved active transportation options, job creation, and increased economic activity. </w:t>
      </w:r>
    </w:p>
    <w:p w14:paraId="06597939" w14:textId="77777777" w:rsidR="0012672A" w:rsidRDefault="0012672A" w:rsidP="006926FA">
      <w:pPr>
        <w:pStyle w:val="ColorfulList-Accent11"/>
        <w:spacing w:after="240"/>
        <w:ind w:left="450"/>
        <w:rPr>
          <w:rFonts w:asciiTheme="minorHAnsi" w:hAnsiTheme="minorHAnsi"/>
        </w:rPr>
      </w:pPr>
    </w:p>
    <w:p w14:paraId="50C2FAF4" w14:textId="5E161114" w:rsidR="00784907" w:rsidRDefault="5F884969" w:rsidP="006926FA">
      <w:pPr>
        <w:pStyle w:val="ColorfulList-Accent11"/>
        <w:spacing w:after="240"/>
        <w:ind w:left="450"/>
        <w:rPr>
          <w:rFonts w:asciiTheme="minorHAnsi" w:hAnsiTheme="minorHAnsi"/>
        </w:rPr>
      </w:pPr>
      <w:r w:rsidRPr="5F884969">
        <w:rPr>
          <w:rFonts w:asciiTheme="minorHAnsi" w:hAnsiTheme="minorHAnsi"/>
        </w:rPr>
        <w:t>The Action Plan focuses on addressing regulatory barriers that have limited Burlington’s ability to create new subsidized and non-subsidized housing options over the last 15 years. Additionally, the Housing Action Plan discusses using existing municipal tools strategically and expanding public resources to develop perpetually affordable low-income housing, promote the value of inclusion described in the City’s inclusionary zoning ordinance, and better support those not eligible for subsidy but unable to compete within Burlington’s housing market.</w:t>
      </w:r>
    </w:p>
    <w:p w14:paraId="05EEAE5B" w14:textId="34257340" w:rsidR="0012672A" w:rsidRPr="007A3270" w:rsidRDefault="5F884969" w:rsidP="006926FA">
      <w:pPr>
        <w:spacing w:after="240"/>
        <w:ind w:left="450" w:right="1008"/>
        <w:textAlignment w:val="baseline"/>
      </w:pPr>
      <w:r>
        <w:t xml:space="preserve">In this 2017-2021 document, the Winooski Housing Authority, Burlington Housing Authority, the City and other partners have expanded on the goals from the previous Plan to prioritize goals and set more targeted metrics and milestones to measure progress to ensure that strategies are effective in addressing the fair </w:t>
      </w:r>
      <w:r w:rsidRPr="007A3270">
        <w:t xml:space="preserve">housing issues. </w:t>
      </w:r>
    </w:p>
    <w:p w14:paraId="7214D974" w14:textId="245845C0" w:rsidR="00743C47" w:rsidRPr="00A14976" w:rsidRDefault="5F884969" w:rsidP="006926FA">
      <w:pPr>
        <w:pStyle w:val="ColorfulList-Accent11"/>
        <w:spacing w:before="240"/>
        <w:ind w:left="450"/>
        <w:contextualSpacing w:val="0"/>
        <w:rPr>
          <w:rFonts w:ascii="Calibri" w:eastAsia="Calibri" w:hAnsi="Calibri"/>
          <w:b/>
          <w:bCs/>
          <w:i/>
        </w:rPr>
      </w:pPr>
      <w:r w:rsidRPr="00A14976">
        <w:rPr>
          <w:rFonts w:ascii="Calibri" w:eastAsia="Calibri" w:hAnsi="Calibri"/>
          <w:b/>
          <w:bCs/>
          <w:i/>
        </w:rPr>
        <w:t>Discuss how the experience of program participant(s) with past goals has influenced the selection of current goals.</w:t>
      </w:r>
    </w:p>
    <w:p w14:paraId="5CEDBE51" w14:textId="77777777" w:rsidR="0019246A" w:rsidRDefault="0019246A" w:rsidP="006926FA">
      <w:pPr>
        <w:pStyle w:val="ColorfulList-Accent11"/>
        <w:spacing w:before="240"/>
        <w:ind w:left="450"/>
        <w:rPr>
          <w:rFonts w:asciiTheme="minorHAnsi" w:eastAsia="Calibri" w:hAnsiTheme="minorHAnsi"/>
          <w:bCs/>
        </w:rPr>
      </w:pPr>
    </w:p>
    <w:p w14:paraId="1D684FAC" w14:textId="255D9028" w:rsidR="0019246A" w:rsidRPr="00DA22F1" w:rsidRDefault="5F884969" w:rsidP="006926FA">
      <w:pPr>
        <w:pStyle w:val="ColorfulList-Accent11"/>
        <w:spacing w:before="240"/>
        <w:ind w:left="450"/>
        <w:rPr>
          <w:rFonts w:asciiTheme="minorHAnsi" w:eastAsia="Calibri" w:hAnsiTheme="minorHAnsi"/>
        </w:rPr>
      </w:pPr>
      <w:r w:rsidRPr="5F884969">
        <w:rPr>
          <w:rFonts w:asciiTheme="minorHAnsi" w:eastAsia="Calibri" w:hAnsiTheme="minorHAnsi"/>
        </w:rPr>
        <w:t>Program participants – housing service providers and community residents -- play a critical and ongoing role in prioritizing fair housing and community development goals. All stakeholders and partners have stressed the importance of continuing prog</w:t>
      </w:r>
      <w:r w:rsidR="00585B8F">
        <w:rPr>
          <w:rFonts w:asciiTheme="minorHAnsi" w:eastAsia="Calibri" w:hAnsiTheme="minorHAnsi"/>
        </w:rPr>
        <w:t>rams that supported the 2010 Analysis of Impediment</w:t>
      </w:r>
      <w:r w:rsidRPr="5F884969">
        <w:rPr>
          <w:rFonts w:asciiTheme="minorHAnsi" w:eastAsia="Calibri" w:hAnsiTheme="minorHAnsi"/>
        </w:rPr>
        <w:t xml:space="preserve"> goals. These include taking a strategic approach to address the need to increase economic opportunities; preserve and create new affordable housi</w:t>
      </w:r>
      <w:r w:rsidR="00585B8F">
        <w:rPr>
          <w:rFonts w:asciiTheme="minorHAnsi" w:eastAsia="Calibri" w:hAnsiTheme="minorHAnsi"/>
        </w:rPr>
        <w:t xml:space="preserve">ng options; maintain or increase education and training; </w:t>
      </w:r>
      <w:r w:rsidR="00350D02">
        <w:rPr>
          <w:rFonts w:asciiTheme="minorHAnsi" w:eastAsia="Calibri" w:hAnsiTheme="minorHAnsi"/>
        </w:rPr>
        <w:t>partnerships, education and outreach to private landlords</w:t>
      </w:r>
      <w:r w:rsidRPr="5F884969">
        <w:rPr>
          <w:rFonts w:asciiTheme="minorHAnsi" w:eastAsia="Calibri" w:hAnsiTheme="minorHAnsi"/>
        </w:rPr>
        <w:t>.</w:t>
      </w:r>
    </w:p>
    <w:p w14:paraId="088B23EC" w14:textId="77777777" w:rsidR="0019246A" w:rsidRDefault="0019246A" w:rsidP="006926FA">
      <w:pPr>
        <w:pStyle w:val="ColorfulList-Accent11"/>
        <w:spacing w:before="240"/>
        <w:ind w:left="450"/>
        <w:rPr>
          <w:rFonts w:asciiTheme="minorHAnsi" w:eastAsia="Calibri" w:hAnsiTheme="minorHAnsi"/>
          <w:bCs/>
        </w:rPr>
      </w:pPr>
    </w:p>
    <w:p w14:paraId="1F4A9357" w14:textId="77777777" w:rsidR="006926FA" w:rsidRDefault="006926FA" w:rsidP="007A3270">
      <w:pPr>
        <w:rPr>
          <w:rFonts w:eastAsia="Calibri" w:cs="Times New Roman"/>
          <w:lang w:eastAsia="en-US"/>
        </w:rPr>
      </w:pPr>
    </w:p>
    <w:p w14:paraId="6129B211" w14:textId="77777777" w:rsidR="0055428D" w:rsidRDefault="0055428D" w:rsidP="007A3270"/>
    <w:p w14:paraId="0B032176" w14:textId="77777777" w:rsidR="006926FA" w:rsidRDefault="006926FA" w:rsidP="007A3270"/>
    <w:p w14:paraId="65487CC3" w14:textId="77777777" w:rsidR="00616B98" w:rsidRDefault="00616B98" w:rsidP="007A3270"/>
    <w:p w14:paraId="28E73229" w14:textId="77777777" w:rsidR="00616B98" w:rsidRDefault="00616B98" w:rsidP="007A3270"/>
    <w:p w14:paraId="487C2942" w14:textId="77777777" w:rsidR="00616B98" w:rsidRDefault="00616B98" w:rsidP="007A3270"/>
    <w:p w14:paraId="7A759807" w14:textId="77777777" w:rsidR="00135AD9" w:rsidRDefault="5F884969" w:rsidP="5F884969">
      <w:pPr>
        <w:pStyle w:val="Title"/>
        <w:numPr>
          <w:ilvl w:val="0"/>
          <w:numId w:val="3"/>
        </w:numPr>
        <w:ind w:left="360" w:hanging="180"/>
        <w:rPr>
          <w:rFonts w:ascii="Garamond" w:hAnsi="Garamond"/>
          <w:b/>
          <w:bCs/>
          <w:sz w:val="32"/>
          <w:szCs w:val="32"/>
        </w:rPr>
      </w:pPr>
      <w:bookmarkStart w:id="5" w:name="FairHousingAnalysis"/>
      <w:r w:rsidRPr="5F884969">
        <w:rPr>
          <w:rFonts w:ascii="Garamond" w:hAnsi="Garamond"/>
          <w:b/>
          <w:bCs/>
          <w:sz w:val="32"/>
          <w:szCs w:val="32"/>
        </w:rPr>
        <w:t>Fair Housing Analysis</w:t>
      </w:r>
    </w:p>
    <w:bookmarkEnd w:id="5"/>
    <w:p w14:paraId="0C563371" w14:textId="1199DCBD" w:rsidR="00135AD9" w:rsidRPr="00135AD9" w:rsidRDefault="5F884969" w:rsidP="00B0675B">
      <w:pPr>
        <w:ind w:left="360"/>
      </w:pPr>
      <w:r>
        <w:t xml:space="preserve">In this section, the City and its partners of the Burlington and Winooski Housing Authorities, use HUD provided data and mapping to assess fair housing issues. In each area, an analysis is provided both for the City of Burlington (the jurisdiction for Community Development Block Grant and HOME funds) and the Region which consists of Chittenden, Grand Isle and Franklin Counties per the instructions of the tool provided by the U.S. Department of Housing and Urban Development. The first part of the analysis consists of a demographic summary of population, housing and economics information and historical trends. Following demographics, the fair housing issues of </w:t>
      </w:r>
      <w:r>
        <w:lastRenderedPageBreak/>
        <w:t>segregation/integration, racially or ethnically concentrated areas of poverty, significant disparities in access to opportunity for any protected class and disproportionate housing needs for any protected class are examined within the jurisdiction and region. An analysis of publically supported includes information specific to Burlington Housing Authority and Winooski Housing Authority as partners in the Assessment. An analysis on disability and access follows. The Fair Housing Analysis section is completed by an analysis of fair housing enforcement, outreach capacity and resources for the jurisdiction and region.</w:t>
      </w:r>
    </w:p>
    <w:p w14:paraId="620022EE" w14:textId="77777777" w:rsidR="00855982" w:rsidRDefault="5F884969" w:rsidP="002F7C2E">
      <w:pPr>
        <w:pStyle w:val="Heading1"/>
        <w:numPr>
          <w:ilvl w:val="0"/>
          <w:numId w:val="2"/>
        </w:numPr>
        <w:rPr>
          <w:rFonts w:ascii="Garamond" w:hAnsi="Garamond"/>
          <w:b/>
          <w:bCs/>
          <w:sz w:val="26"/>
          <w:szCs w:val="26"/>
        </w:rPr>
      </w:pPr>
      <w:bookmarkStart w:id="6" w:name="DemographicSummary"/>
      <w:r w:rsidRPr="5F884969">
        <w:rPr>
          <w:rFonts w:ascii="Garamond" w:hAnsi="Garamond"/>
          <w:b/>
          <w:bCs/>
          <w:sz w:val="26"/>
          <w:szCs w:val="26"/>
        </w:rPr>
        <w:t>Demographic Summary</w:t>
      </w:r>
    </w:p>
    <w:bookmarkEnd w:id="6"/>
    <w:p w14:paraId="3A48FD19" w14:textId="77777777" w:rsidR="00B0675B" w:rsidRPr="004D33FE" w:rsidRDefault="00B0675B" w:rsidP="00B0675B">
      <w:pPr>
        <w:spacing w:after="0"/>
        <w:rPr>
          <w:sz w:val="20"/>
          <w:szCs w:val="20"/>
        </w:rPr>
      </w:pPr>
    </w:p>
    <w:p w14:paraId="1D226C7E" w14:textId="5597287A" w:rsidR="00B0675B" w:rsidRPr="00A14976" w:rsidRDefault="5F884969" w:rsidP="5F884969">
      <w:pPr>
        <w:ind w:left="360"/>
        <w:rPr>
          <w:b/>
          <w:bCs/>
          <w:i/>
        </w:rPr>
      </w:pPr>
      <w:r w:rsidRPr="00A14976">
        <w:rPr>
          <w:b/>
          <w:bCs/>
          <w:i/>
        </w:rPr>
        <w:t>Describe demographic patterns in the jurisdiction and region, and describe trends over time (since 1990).</w:t>
      </w:r>
    </w:p>
    <w:p w14:paraId="4CA8F165" w14:textId="77777777" w:rsidR="00B0675B" w:rsidRPr="00B0675B" w:rsidRDefault="5F884969" w:rsidP="002F7C2E">
      <w:pPr>
        <w:pStyle w:val="Heading1"/>
        <w:spacing w:before="120" w:after="120"/>
        <w:ind w:firstLine="360"/>
        <w:rPr>
          <w:rFonts w:ascii="Calibri" w:hAnsi="Calibri"/>
          <w:b/>
          <w:bCs/>
          <w:i/>
          <w:iCs/>
          <w:color w:val="000000" w:themeColor="text1"/>
          <w:sz w:val="22"/>
          <w:szCs w:val="22"/>
        </w:rPr>
      </w:pPr>
      <w:r w:rsidRPr="5F884969">
        <w:rPr>
          <w:rFonts w:ascii="Calibri" w:hAnsi="Calibri"/>
          <w:b/>
          <w:bCs/>
          <w:i/>
          <w:iCs/>
          <w:color w:val="000000" w:themeColor="text1"/>
          <w:sz w:val="22"/>
          <w:szCs w:val="22"/>
        </w:rPr>
        <w:t>Burlington Population Demographics</w:t>
      </w:r>
    </w:p>
    <w:p w14:paraId="08417E72" w14:textId="240F80B7" w:rsidR="00B0675B" w:rsidRPr="00587EB8" w:rsidRDefault="5F884969" w:rsidP="5F884969">
      <w:pPr>
        <w:ind w:left="360"/>
        <w:rPr>
          <w:rFonts w:ascii="Calibri" w:hAnsi="Calibri"/>
        </w:rPr>
      </w:pPr>
      <w:r w:rsidRPr="5F884969">
        <w:rPr>
          <w:rFonts w:ascii="Calibri" w:hAnsi="Calibri"/>
        </w:rPr>
        <w:t>The City of Burlington is located on the eastern shores of Lake Champlain. It is the largest city in the state of Vermont. According to the most recent 2011-2015 American Community Survey, the population of</w:t>
      </w:r>
      <w:r w:rsidRPr="5F884969">
        <w:rPr>
          <w:rFonts w:ascii="Calibri" w:hAnsi="Calibri" w:cs="Arial"/>
        </w:rPr>
        <w:t xml:space="preserve"> </w:t>
      </w:r>
      <w:r w:rsidRPr="5F884969">
        <w:rPr>
          <w:rFonts w:ascii="Calibri" w:hAnsi="Calibri"/>
        </w:rPr>
        <w:t xml:space="preserve">Burlington is 42,570 residents </w:t>
      </w:r>
      <w:r w:rsidR="005511FD">
        <w:rPr>
          <w:rFonts w:ascii="Calibri" w:hAnsi="Calibri"/>
        </w:rPr>
        <w:t>(2010 Census – 42,417</w:t>
      </w:r>
      <w:r w:rsidRPr="5F884969">
        <w:rPr>
          <w:rFonts w:ascii="Calibri" w:hAnsi="Calibri"/>
        </w:rPr>
        <w:t>). The City lies 45 miles south of the Canadian border. Burlington is considered a vibrant city and one of America’s most livable communities.</w:t>
      </w:r>
    </w:p>
    <w:p w14:paraId="14057D21" w14:textId="31BC2CA4" w:rsidR="007A3270" w:rsidRDefault="005511FD" w:rsidP="007A3270">
      <w:pPr>
        <w:ind w:left="360"/>
        <w:rPr>
          <w:rFonts w:ascii="Calibri" w:hAnsi="Calibri"/>
        </w:rPr>
      </w:pPr>
      <w:r>
        <w:rPr>
          <w:rFonts w:ascii="Calibri" w:hAnsi="Calibri"/>
        </w:rPr>
        <w:t>There are 16,</w:t>
      </w:r>
      <w:r w:rsidR="5F884969" w:rsidRPr="5F884969">
        <w:rPr>
          <w:rFonts w:ascii="Calibri" w:hAnsi="Calibri"/>
        </w:rPr>
        <w:t>153 households living in Burlington. Of these households, with 65% of the householders are living alone and the remaining 35% living in families.</w:t>
      </w:r>
    </w:p>
    <w:p w14:paraId="1AF661DE" w14:textId="77777777" w:rsidR="007A3270" w:rsidRDefault="007A3270" w:rsidP="5F884969">
      <w:pPr>
        <w:spacing w:after="0"/>
        <w:ind w:firstLine="360"/>
        <w:rPr>
          <w:b/>
          <w:bCs/>
          <w:i/>
          <w:iCs/>
          <w:sz w:val="20"/>
          <w:szCs w:val="20"/>
        </w:rPr>
      </w:pPr>
    </w:p>
    <w:p w14:paraId="791542DF" w14:textId="77777777" w:rsidR="007A3270" w:rsidRDefault="007A3270" w:rsidP="5F884969">
      <w:pPr>
        <w:spacing w:after="0"/>
        <w:ind w:firstLine="360"/>
        <w:rPr>
          <w:b/>
          <w:bCs/>
          <w:i/>
          <w:iCs/>
          <w:sz w:val="20"/>
          <w:szCs w:val="20"/>
        </w:rPr>
      </w:pPr>
    </w:p>
    <w:p w14:paraId="58BC0A7D" w14:textId="77777777" w:rsidR="005511FD" w:rsidRDefault="005511FD" w:rsidP="00C16312">
      <w:pPr>
        <w:spacing w:after="0"/>
        <w:rPr>
          <w:b/>
          <w:bCs/>
          <w:i/>
          <w:iCs/>
          <w:sz w:val="20"/>
          <w:szCs w:val="20"/>
        </w:rPr>
      </w:pPr>
    </w:p>
    <w:p w14:paraId="40EB4B55" w14:textId="77777777" w:rsidR="005511FD" w:rsidRDefault="005511FD" w:rsidP="5F884969">
      <w:pPr>
        <w:spacing w:after="0"/>
        <w:ind w:firstLine="360"/>
        <w:rPr>
          <w:b/>
          <w:bCs/>
          <w:i/>
          <w:iCs/>
          <w:sz w:val="20"/>
          <w:szCs w:val="20"/>
        </w:rPr>
      </w:pPr>
    </w:p>
    <w:p w14:paraId="19AB3E87" w14:textId="77777777" w:rsidR="007A3270" w:rsidRDefault="007A3270" w:rsidP="00884775">
      <w:pPr>
        <w:spacing w:after="0"/>
        <w:rPr>
          <w:b/>
          <w:bCs/>
          <w:i/>
          <w:iCs/>
          <w:sz w:val="20"/>
          <w:szCs w:val="20"/>
        </w:rPr>
      </w:pPr>
    </w:p>
    <w:p w14:paraId="49A74EED" w14:textId="77777777" w:rsidR="007A3270" w:rsidRDefault="007A3270" w:rsidP="5F884969">
      <w:pPr>
        <w:spacing w:after="0"/>
        <w:ind w:firstLine="360"/>
        <w:rPr>
          <w:b/>
          <w:bCs/>
          <w:i/>
          <w:iCs/>
          <w:sz w:val="20"/>
          <w:szCs w:val="20"/>
        </w:rPr>
      </w:pPr>
    </w:p>
    <w:p w14:paraId="731BE913" w14:textId="77777777" w:rsidR="005658AB" w:rsidRPr="005658AB" w:rsidRDefault="5F884969" w:rsidP="007A3270">
      <w:pPr>
        <w:spacing w:after="0"/>
        <w:ind w:firstLine="360"/>
        <w:rPr>
          <w:sz w:val="20"/>
          <w:szCs w:val="20"/>
        </w:rPr>
      </w:pPr>
      <w:r w:rsidRPr="5F884969">
        <w:rPr>
          <w:b/>
          <w:bCs/>
          <w:i/>
          <w:iCs/>
          <w:sz w:val="20"/>
          <w:szCs w:val="20"/>
        </w:rPr>
        <w:t>Figure 1:</w:t>
      </w:r>
      <w:r w:rsidRPr="5F884969">
        <w:rPr>
          <w:sz w:val="20"/>
          <w:szCs w:val="20"/>
        </w:rPr>
        <w:t xml:space="preserve"> 2015 ACS Age Data for City of Burlington.</w:t>
      </w:r>
    </w:p>
    <w:p w14:paraId="10C97E08" w14:textId="77777777" w:rsidR="005658AB" w:rsidRDefault="005658AB" w:rsidP="005658AB">
      <w:pPr>
        <w:spacing w:after="0"/>
        <w:ind w:left="360"/>
      </w:pPr>
      <w:r w:rsidRPr="00DB2EC8">
        <w:rPr>
          <w:noProof/>
          <w:lang w:eastAsia="en-US"/>
        </w:rPr>
        <w:drawing>
          <wp:inline distT="0" distB="0" distL="0" distR="0" wp14:anchorId="7747FE35" wp14:editId="1FF026D3">
            <wp:extent cx="4931315" cy="2678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4947699" cy="2687404"/>
                    </a:xfrm>
                    <a:prstGeom prst="rect">
                      <a:avLst/>
                    </a:prstGeom>
                  </pic:spPr>
                </pic:pic>
              </a:graphicData>
            </a:graphic>
          </wp:inline>
        </w:drawing>
      </w:r>
    </w:p>
    <w:p w14:paraId="1CF4C3C3" w14:textId="77777777" w:rsidR="005658AB" w:rsidRDefault="005658AB" w:rsidP="005658AB">
      <w:pPr>
        <w:spacing w:after="0"/>
      </w:pPr>
    </w:p>
    <w:p w14:paraId="7506D4EC" w14:textId="77777777" w:rsidR="005658AB" w:rsidRPr="00107854" w:rsidRDefault="005658AB" w:rsidP="005658AB">
      <w:pPr>
        <w:spacing w:after="0"/>
      </w:pPr>
    </w:p>
    <w:p w14:paraId="22234DB5" w14:textId="77777777" w:rsidR="005658AB" w:rsidRPr="005658AB" w:rsidRDefault="5F884969" w:rsidP="5F884969">
      <w:pPr>
        <w:spacing w:after="0"/>
        <w:ind w:firstLine="360"/>
        <w:rPr>
          <w:sz w:val="20"/>
          <w:szCs w:val="20"/>
        </w:rPr>
      </w:pPr>
      <w:r w:rsidRPr="5F884969">
        <w:rPr>
          <w:b/>
          <w:bCs/>
          <w:i/>
          <w:iCs/>
          <w:sz w:val="20"/>
          <w:szCs w:val="20"/>
        </w:rPr>
        <w:t xml:space="preserve">Figure </w:t>
      </w:r>
      <w:r w:rsidRPr="5F884969">
        <w:rPr>
          <w:sz w:val="20"/>
          <w:szCs w:val="20"/>
        </w:rPr>
        <w:t>2: Student Population Information for City of Burlington.</w:t>
      </w:r>
    </w:p>
    <w:p w14:paraId="3F68E8DA" w14:textId="77777777" w:rsidR="005658AB" w:rsidRDefault="005658AB" w:rsidP="005658AB">
      <w:pPr>
        <w:spacing w:after="0"/>
        <w:ind w:left="360"/>
      </w:pPr>
      <w:r>
        <w:rPr>
          <w:noProof/>
          <w:lang w:eastAsia="en-US"/>
        </w:rPr>
        <w:drawing>
          <wp:inline distT="0" distB="0" distL="0" distR="0" wp14:anchorId="5B0E31F6" wp14:editId="4A9F84E1">
            <wp:extent cx="5943600" cy="2571115"/>
            <wp:effectExtent l="0" t="0" r="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a:stretch>
                      <a:fillRect/>
                    </a:stretch>
                  </pic:blipFill>
                  <pic:spPr>
                    <a:xfrm>
                      <a:off x="0" y="0"/>
                      <a:ext cx="5943600" cy="2571115"/>
                    </a:xfrm>
                    <a:prstGeom prst="rect">
                      <a:avLst/>
                    </a:prstGeom>
                  </pic:spPr>
                </pic:pic>
              </a:graphicData>
            </a:graphic>
          </wp:inline>
        </w:drawing>
      </w:r>
    </w:p>
    <w:p w14:paraId="11FB786F" w14:textId="77777777" w:rsidR="005658AB" w:rsidRDefault="005658AB" w:rsidP="005658AB">
      <w:pPr>
        <w:spacing w:after="0"/>
      </w:pPr>
    </w:p>
    <w:p w14:paraId="1C2ECC1F" w14:textId="443373F5" w:rsidR="00B0675B" w:rsidRDefault="5F884969" w:rsidP="5F884969">
      <w:pPr>
        <w:ind w:left="360"/>
        <w:rPr>
          <w:rFonts w:ascii="Calibri" w:hAnsi="Calibri"/>
        </w:rPr>
      </w:pPr>
      <w:r w:rsidRPr="5F884969">
        <w:rPr>
          <w:rFonts w:ascii="Calibri" w:hAnsi="Calibri"/>
        </w:rPr>
        <w:t>According to the demographics provided by HUD, 13.5% of Burlington’s population is under 18, 77% between the ages of 18-64 and 9.4% over 65.  Examining the American Community Survey data from 2011-2015, figure 1 exhibits a more specific view of the age population of Burlington with the largest age group 20-24 reflecting the significant college population. In figure 2, the undergraduate college population comprises 65% of the Burlington student population while elementary, middle and high school is divided somewhat evenly. The population over 65 will grow in time as baby boomers continue to age; in ten years, over 20% of the population should be over 65.</w:t>
      </w:r>
    </w:p>
    <w:p w14:paraId="598A84ED" w14:textId="77777777" w:rsidR="007A3270" w:rsidRDefault="007A3270" w:rsidP="5F884969">
      <w:pPr>
        <w:ind w:left="360"/>
        <w:rPr>
          <w:rFonts w:ascii="Calibri" w:hAnsi="Calibri"/>
        </w:rPr>
      </w:pPr>
    </w:p>
    <w:p w14:paraId="321A67AB" w14:textId="77777777" w:rsidR="007A3270" w:rsidRPr="00D96165" w:rsidRDefault="007A3270" w:rsidP="5F884969">
      <w:pPr>
        <w:ind w:left="360"/>
        <w:rPr>
          <w:rFonts w:ascii="Calibri" w:hAnsi="Calibri"/>
        </w:rPr>
      </w:pPr>
    </w:p>
    <w:p w14:paraId="62D24B3A" w14:textId="5415E676" w:rsidR="001A3EE7" w:rsidRPr="00605332" w:rsidRDefault="5F884969" w:rsidP="5F884969">
      <w:pPr>
        <w:spacing w:after="0"/>
        <w:ind w:left="360"/>
        <w:rPr>
          <w:sz w:val="20"/>
          <w:szCs w:val="20"/>
        </w:rPr>
      </w:pPr>
      <w:r w:rsidRPr="5F884969">
        <w:rPr>
          <w:b/>
          <w:bCs/>
          <w:i/>
          <w:iCs/>
          <w:sz w:val="20"/>
          <w:szCs w:val="20"/>
        </w:rPr>
        <w:t>Table 4:</w:t>
      </w:r>
      <w:r w:rsidRPr="5F884969">
        <w:rPr>
          <w:sz w:val="20"/>
          <w:szCs w:val="20"/>
        </w:rPr>
        <w:t xml:space="preserve"> Age Demographics for City of Burlington. Source: Decennial Census 2010; ACS.</w:t>
      </w:r>
    </w:p>
    <w:tbl>
      <w:tblPr>
        <w:tblStyle w:val="TableGrid"/>
        <w:tblW w:w="6721" w:type="dxa"/>
        <w:tblInd w:w="364" w:type="dxa"/>
        <w:tblLook w:val="04A0" w:firstRow="1" w:lastRow="0" w:firstColumn="1" w:lastColumn="0" w:noHBand="0" w:noVBand="1"/>
      </w:tblPr>
      <w:tblGrid>
        <w:gridCol w:w="3775"/>
        <w:gridCol w:w="1651"/>
        <w:gridCol w:w="1295"/>
      </w:tblGrid>
      <w:tr w:rsidR="001A3EE7" w:rsidRPr="00F116F7" w14:paraId="1D7D0842" w14:textId="77777777" w:rsidTr="5F884969">
        <w:trPr>
          <w:trHeight w:val="420"/>
        </w:trPr>
        <w:tc>
          <w:tcPr>
            <w:tcW w:w="3775" w:type="dxa"/>
            <w:noWrap/>
            <w:hideMark/>
          </w:tcPr>
          <w:p w14:paraId="389CEA81" w14:textId="5289B8F8" w:rsidR="001A3EE7" w:rsidRPr="00F116F7" w:rsidRDefault="008A57A6" w:rsidP="5F884969">
            <w:pPr>
              <w:rPr>
                <w:rFonts w:ascii="Calibri" w:hAnsi="Calibri"/>
                <w:b/>
                <w:bCs/>
              </w:rPr>
            </w:pPr>
            <w:r>
              <w:rPr>
                <w:rFonts w:ascii="Calibri" w:hAnsi="Calibri"/>
                <w:b/>
                <w:bCs/>
              </w:rPr>
              <w:t>Table 4</w:t>
            </w:r>
            <w:r w:rsidR="5F884969" w:rsidRPr="5F884969">
              <w:rPr>
                <w:rFonts w:ascii="Calibri" w:hAnsi="Calibri"/>
                <w:b/>
                <w:bCs/>
              </w:rPr>
              <w:t>: Age Demographics</w:t>
            </w:r>
          </w:p>
        </w:tc>
        <w:tc>
          <w:tcPr>
            <w:tcW w:w="2946" w:type="dxa"/>
            <w:gridSpan w:val="2"/>
            <w:hideMark/>
          </w:tcPr>
          <w:p w14:paraId="76DD290E" w14:textId="77777777" w:rsidR="001A3EE7" w:rsidRPr="00F116F7" w:rsidRDefault="5F884969" w:rsidP="5F884969">
            <w:pPr>
              <w:ind w:left="360"/>
              <w:rPr>
                <w:rFonts w:ascii="Calibri" w:hAnsi="Calibri"/>
                <w:b/>
                <w:bCs/>
              </w:rPr>
            </w:pPr>
            <w:r w:rsidRPr="5F884969">
              <w:rPr>
                <w:rFonts w:ascii="Calibri" w:hAnsi="Calibri"/>
                <w:b/>
                <w:bCs/>
              </w:rPr>
              <w:t xml:space="preserve">Burlington, VT </w:t>
            </w:r>
          </w:p>
        </w:tc>
      </w:tr>
      <w:tr w:rsidR="001A3EE7" w:rsidRPr="00F116F7" w14:paraId="4D7F9330" w14:textId="77777777" w:rsidTr="5F884969">
        <w:trPr>
          <w:trHeight w:val="420"/>
        </w:trPr>
        <w:tc>
          <w:tcPr>
            <w:tcW w:w="3775" w:type="dxa"/>
            <w:shd w:val="clear" w:color="auto" w:fill="D9D9D9" w:themeFill="background1" w:themeFillShade="D9"/>
            <w:noWrap/>
            <w:hideMark/>
          </w:tcPr>
          <w:p w14:paraId="60B27D5A" w14:textId="77777777" w:rsidR="001A3EE7" w:rsidRPr="00F116F7" w:rsidRDefault="5F884969" w:rsidP="5F884969">
            <w:pPr>
              <w:ind w:left="360"/>
              <w:rPr>
                <w:rFonts w:ascii="Calibri" w:hAnsi="Calibri"/>
                <w:b/>
                <w:bCs/>
              </w:rPr>
            </w:pPr>
            <w:r w:rsidRPr="5F884969">
              <w:rPr>
                <w:rFonts w:ascii="Calibri" w:hAnsi="Calibri"/>
                <w:b/>
                <w:bCs/>
              </w:rPr>
              <w:t>Age</w:t>
            </w:r>
          </w:p>
        </w:tc>
        <w:tc>
          <w:tcPr>
            <w:tcW w:w="1651" w:type="dxa"/>
            <w:shd w:val="clear" w:color="auto" w:fill="D9D9D9" w:themeFill="background1" w:themeFillShade="D9"/>
            <w:noWrap/>
            <w:hideMark/>
          </w:tcPr>
          <w:p w14:paraId="3A7FDA6F" w14:textId="77777777" w:rsidR="001A3EE7" w:rsidRPr="00F116F7" w:rsidRDefault="5F884969" w:rsidP="5F884969">
            <w:pPr>
              <w:ind w:left="360"/>
              <w:rPr>
                <w:rFonts w:ascii="Calibri" w:hAnsi="Calibri"/>
              </w:rPr>
            </w:pPr>
            <w:r w:rsidRPr="5F884969">
              <w:rPr>
                <w:rFonts w:ascii="Calibri" w:hAnsi="Calibri"/>
              </w:rPr>
              <w:t># </w:t>
            </w:r>
          </w:p>
        </w:tc>
        <w:tc>
          <w:tcPr>
            <w:tcW w:w="1295" w:type="dxa"/>
            <w:shd w:val="clear" w:color="auto" w:fill="D9D9D9" w:themeFill="background1" w:themeFillShade="D9"/>
            <w:noWrap/>
            <w:hideMark/>
          </w:tcPr>
          <w:p w14:paraId="55EBAE03" w14:textId="77777777" w:rsidR="001A3EE7" w:rsidRPr="00F116F7" w:rsidRDefault="5F884969" w:rsidP="5F884969">
            <w:pPr>
              <w:ind w:left="360"/>
              <w:rPr>
                <w:rFonts w:ascii="Calibri" w:hAnsi="Calibri"/>
              </w:rPr>
            </w:pPr>
            <w:r w:rsidRPr="5F884969">
              <w:rPr>
                <w:rFonts w:ascii="Calibri" w:hAnsi="Calibri"/>
              </w:rPr>
              <w:t>% </w:t>
            </w:r>
          </w:p>
        </w:tc>
      </w:tr>
      <w:tr w:rsidR="001A3EE7" w:rsidRPr="00F116F7" w14:paraId="76328412" w14:textId="77777777" w:rsidTr="5F884969">
        <w:trPr>
          <w:trHeight w:val="420"/>
        </w:trPr>
        <w:tc>
          <w:tcPr>
            <w:tcW w:w="3775" w:type="dxa"/>
            <w:hideMark/>
          </w:tcPr>
          <w:p w14:paraId="323E7A12" w14:textId="77777777" w:rsidR="001A3EE7" w:rsidRPr="00F116F7" w:rsidRDefault="5F884969" w:rsidP="5F884969">
            <w:pPr>
              <w:ind w:left="360"/>
              <w:rPr>
                <w:rFonts w:ascii="Calibri" w:hAnsi="Calibri"/>
              </w:rPr>
            </w:pPr>
            <w:r w:rsidRPr="5F884969">
              <w:rPr>
                <w:rFonts w:ascii="Calibri" w:hAnsi="Calibri"/>
              </w:rPr>
              <w:t>Under 18</w:t>
            </w:r>
          </w:p>
        </w:tc>
        <w:tc>
          <w:tcPr>
            <w:tcW w:w="1651" w:type="dxa"/>
            <w:noWrap/>
            <w:hideMark/>
          </w:tcPr>
          <w:p w14:paraId="21DDD204" w14:textId="77777777" w:rsidR="001A3EE7" w:rsidRPr="00F116F7" w:rsidRDefault="5F884969" w:rsidP="5F884969">
            <w:pPr>
              <w:ind w:left="360"/>
              <w:rPr>
                <w:rFonts w:ascii="Calibri" w:hAnsi="Calibri"/>
              </w:rPr>
            </w:pPr>
            <w:r w:rsidRPr="5F884969">
              <w:rPr>
                <w:rFonts w:ascii="Calibri" w:hAnsi="Calibri"/>
              </w:rPr>
              <w:t>5,729</w:t>
            </w:r>
          </w:p>
        </w:tc>
        <w:tc>
          <w:tcPr>
            <w:tcW w:w="1295" w:type="dxa"/>
            <w:noWrap/>
            <w:hideMark/>
          </w:tcPr>
          <w:p w14:paraId="55CEB63F" w14:textId="77777777" w:rsidR="001A3EE7" w:rsidRPr="00F116F7" w:rsidRDefault="5F884969" w:rsidP="5F884969">
            <w:pPr>
              <w:ind w:left="360"/>
              <w:rPr>
                <w:rFonts w:ascii="Calibri" w:hAnsi="Calibri"/>
              </w:rPr>
            </w:pPr>
            <w:r w:rsidRPr="5F884969">
              <w:rPr>
                <w:rFonts w:ascii="Calibri" w:hAnsi="Calibri"/>
              </w:rPr>
              <w:t>13.51%</w:t>
            </w:r>
          </w:p>
        </w:tc>
      </w:tr>
      <w:tr w:rsidR="001A3EE7" w:rsidRPr="00F116F7" w14:paraId="2D782020" w14:textId="77777777" w:rsidTr="5F884969">
        <w:trPr>
          <w:trHeight w:val="420"/>
        </w:trPr>
        <w:tc>
          <w:tcPr>
            <w:tcW w:w="3775" w:type="dxa"/>
            <w:hideMark/>
          </w:tcPr>
          <w:p w14:paraId="0B01AA0B" w14:textId="77777777" w:rsidR="001A3EE7" w:rsidRPr="00F116F7" w:rsidRDefault="5F884969" w:rsidP="5F884969">
            <w:pPr>
              <w:ind w:left="360"/>
              <w:rPr>
                <w:rFonts w:ascii="Calibri" w:hAnsi="Calibri"/>
              </w:rPr>
            </w:pPr>
            <w:r w:rsidRPr="5F884969">
              <w:rPr>
                <w:rFonts w:ascii="Calibri" w:hAnsi="Calibri"/>
              </w:rPr>
              <w:t>18-64</w:t>
            </w:r>
          </w:p>
        </w:tc>
        <w:tc>
          <w:tcPr>
            <w:tcW w:w="1651" w:type="dxa"/>
            <w:noWrap/>
            <w:hideMark/>
          </w:tcPr>
          <w:p w14:paraId="59E51314" w14:textId="77777777" w:rsidR="001A3EE7" w:rsidRPr="00F116F7" w:rsidRDefault="5F884969" w:rsidP="5F884969">
            <w:pPr>
              <w:ind w:left="360"/>
              <w:rPr>
                <w:rFonts w:ascii="Calibri" w:hAnsi="Calibri"/>
              </w:rPr>
            </w:pPr>
            <w:r w:rsidRPr="5F884969">
              <w:rPr>
                <w:rFonts w:ascii="Calibri" w:hAnsi="Calibri"/>
              </w:rPr>
              <w:t>32,702</w:t>
            </w:r>
          </w:p>
        </w:tc>
        <w:tc>
          <w:tcPr>
            <w:tcW w:w="1295" w:type="dxa"/>
            <w:noWrap/>
            <w:hideMark/>
          </w:tcPr>
          <w:p w14:paraId="4419D11D" w14:textId="77777777" w:rsidR="001A3EE7" w:rsidRPr="00F116F7" w:rsidRDefault="5F884969" w:rsidP="5F884969">
            <w:pPr>
              <w:ind w:left="360"/>
              <w:rPr>
                <w:rFonts w:ascii="Calibri" w:hAnsi="Calibri"/>
              </w:rPr>
            </w:pPr>
            <w:r w:rsidRPr="5F884969">
              <w:rPr>
                <w:rFonts w:ascii="Calibri" w:hAnsi="Calibri"/>
              </w:rPr>
              <w:t>77.10%</w:t>
            </w:r>
          </w:p>
        </w:tc>
      </w:tr>
      <w:tr w:rsidR="001A3EE7" w:rsidRPr="00F116F7" w14:paraId="7250D5A1" w14:textId="77777777" w:rsidTr="5F884969">
        <w:trPr>
          <w:trHeight w:val="420"/>
        </w:trPr>
        <w:tc>
          <w:tcPr>
            <w:tcW w:w="3775" w:type="dxa"/>
            <w:hideMark/>
          </w:tcPr>
          <w:p w14:paraId="74753640" w14:textId="77777777" w:rsidR="001A3EE7" w:rsidRPr="00F116F7" w:rsidRDefault="5F884969" w:rsidP="5F884969">
            <w:pPr>
              <w:ind w:left="360"/>
              <w:rPr>
                <w:rFonts w:ascii="Calibri" w:hAnsi="Calibri"/>
              </w:rPr>
            </w:pPr>
            <w:r w:rsidRPr="5F884969">
              <w:rPr>
                <w:rFonts w:ascii="Calibri" w:hAnsi="Calibri"/>
              </w:rPr>
              <w:t>65+</w:t>
            </w:r>
          </w:p>
        </w:tc>
        <w:tc>
          <w:tcPr>
            <w:tcW w:w="1651" w:type="dxa"/>
            <w:noWrap/>
            <w:hideMark/>
          </w:tcPr>
          <w:p w14:paraId="4FAF3228" w14:textId="77777777" w:rsidR="001A3EE7" w:rsidRPr="00F116F7" w:rsidRDefault="5F884969" w:rsidP="5F884969">
            <w:pPr>
              <w:ind w:left="360"/>
              <w:rPr>
                <w:rFonts w:ascii="Calibri" w:hAnsi="Calibri"/>
              </w:rPr>
            </w:pPr>
            <w:r w:rsidRPr="5F884969">
              <w:rPr>
                <w:rFonts w:ascii="Calibri" w:hAnsi="Calibri"/>
              </w:rPr>
              <w:t>3,986</w:t>
            </w:r>
          </w:p>
        </w:tc>
        <w:tc>
          <w:tcPr>
            <w:tcW w:w="1295" w:type="dxa"/>
            <w:noWrap/>
            <w:hideMark/>
          </w:tcPr>
          <w:p w14:paraId="0F23FA95" w14:textId="77777777" w:rsidR="001A3EE7" w:rsidRPr="00F116F7" w:rsidRDefault="5F884969" w:rsidP="5F884969">
            <w:pPr>
              <w:ind w:left="360"/>
              <w:rPr>
                <w:rFonts w:ascii="Calibri" w:hAnsi="Calibri"/>
              </w:rPr>
            </w:pPr>
            <w:r w:rsidRPr="5F884969">
              <w:rPr>
                <w:rFonts w:ascii="Calibri" w:hAnsi="Calibri"/>
              </w:rPr>
              <w:t>9.40%</w:t>
            </w:r>
          </w:p>
        </w:tc>
      </w:tr>
    </w:tbl>
    <w:p w14:paraId="1364A7A1" w14:textId="77777777" w:rsidR="005658AB" w:rsidRDefault="005658AB" w:rsidP="005658AB">
      <w:pPr>
        <w:spacing w:after="0"/>
        <w:ind w:left="360"/>
        <w:rPr>
          <w:rFonts w:ascii="Calibri" w:hAnsi="Calibri"/>
        </w:rPr>
      </w:pPr>
    </w:p>
    <w:p w14:paraId="1771127D" w14:textId="7BB8DAB0" w:rsidR="008B027E" w:rsidRDefault="008A57A6" w:rsidP="007A3270">
      <w:pPr>
        <w:ind w:left="360"/>
        <w:rPr>
          <w:rFonts w:ascii="Calibri" w:hAnsi="Calibri"/>
        </w:rPr>
      </w:pPr>
      <w:r>
        <w:rPr>
          <w:rFonts w:ascii="Calibri" w:hAnsi="Calibri"/>
        </w:rPr>
        <w:t xml:space="preserve">Table 5 </w:t>
      </w:r>
      <w:r w:rsidR="5F884969" w:rsidRPr="5F884969">
        <w:rPr>
          <w:rFonts w:ascii="Calibri" w:hAnsi="Calibri"/>
        </w:rPr>
        <w:t xml:space="preserve">describes the demographic trends in age since 1990. In the general age categories, there are some minor shifts with the under 18 group decreasing which corresponds to the decrease in the number of families in Burlington. The middle age group (18-64) has increased and the over 65 age group is currently showing a decrease from 2000. </w:t>
      </w:r>
    </w:p>
    <w:p w14:paraId="1283EE03" w14:textId="77777777" w:rsidR="00007EC8" w:rsidRDefault="00007EC8" w:rsidP="007A3270">
      <w:pPr>
        <w:ind w:left="360"/>
        <w:rPr>
          <w:rFonts w:ascii="Calibri" w:hAnsi="Calibri"/>
        </w:rPr>
      </w:pPr>
    </w:p>
    <w:p w14:paraId="6A4E95AC" w14:textId="77777777" w:rsidR="00007EC8" w:rsidRDefault="00007EC8" w:rsidP="007A3270">
      <w:pPr>
        <w:ind w:left="360"/>
        <w:rPr>
          <w:rFonts w:ascii="Calibri" w:hAnsi="Calibri"/>
        </w:rPr>
      </w:pPr>
    </w:p>
    <w:p w14:paraId="63D0C43E" w14:textId="77777777" w:rsidR="00007EC8" w:rsidRDefault="00007EC8" w:rsidP="007A3270">
      <w:pPr>
        <w:ind w:left="360"/>
        <w:rPr>
          <w:rFonts w:ascii="Calibri" w:hAnsi="Calibri"/>
        </w:rPr>
      </w:pPr>
    </w:p>
    <w:p w14:paraId="482152B9" w14:textId="14034707" w:rsidR="00605332" w:rsidRPr="00605332" w:rsidRDefault="5F884969" w:rsidP="5F884969">
      <w:pPr>
        <w:spacing w:after="0"/>
        <w:rPr>
          <w:sz w:val="20"/>
          <w:szCs w:val="20"/>
        </w:rPr>
      </w:pPr>
      <w:r w:rsidRPr="5F884969">
        <w:rPr>
          <w:b/>
          <w:bCs/>
          <w:i/>
          <w:iCs/>
          <w:sz w:val="20"/>
          <w:szCs w:val="20"/>
        </w:rPr>
        <w:t>Table 5:</w:t>
      </w:r>
      <w:r w:rsidRPr="5F884969">
        <w:rPr>
          <w:sz w:val="20"/>
          <w:szCs w:val="20"/>
        </w:rPr>
        <w:t xml:space="preserve"> Age Demographic Trends </w:t>
      </w:r>
      <w:proofErr w:type="gramStart"/>
      <w:r w:rsidRPr="5F884969">
        <w:rPr>
          <w:sz w:val="20"/>
          <w:szCs w:val="20"/>
        </w:rPr>
        <w:t>Over</w:t>
      </w:r>
      <w:proofErr w:type="gramEnd"/>
      <w:r w:rsidRPr="5F884969">
        <w:rPr>
          <w:sz w:val="20"/>
          <w:szCs w:val="20"/>
        </w:rPr>
        <w:t xml:space="preserve"> Time for City of Burlington. Source: Decennial Census 2010; ACS.</w:t>
      </w:r>
    </w:p>
    <w:tbl>
      <w:tblPr>
        <w:tblStyle w:val="TableGrid"/>
        <w:tblW w:w="9085" w:type="dxa"/>
        <w:tblLook w:val="04A0" w:firstRow="1" w:lastRow="0" w:firstColumn="1" w:lastColumn="0" w:noHBand="0" w:noVBand="1"/>
      </w:tblPr>
      <w:tblGrid>
        <w:gridCol w:w="2450"/>
        <w:gridCol w:w="1126"/>
        <w:gridCol w:w="1169"/>
        <w:gridCol w:w="1126"/>
        <w:gridCol w:w="1179"/>
        <w:gridCol w:w="1126"/>
        <w:gridCol w:w="1174"/>
      </w:tblGrid>
      <w:tr w:rsidR="00605332" w:rsidRPr="00D96165" w14:paraId="17D15B5D" w14:textId="77777777" w:rsidTr="5F884969">
        <w:trPr>
          <w:trHeight w:val="420"/>
        </w:trPr>
        <w:tc>
          <w:tcPr>
            <w:tcW w:w="2605" w:type="dxa"/>
            <w:noWrap/>
            <w:hideMark/>
          </w:tcPr>
          <w:p w14:paraId="416F5FBE" w14:textId="205C6C8D" w:rsidR="00605332" w:rsidRPr="00D96165" w:rsidRDefault="5F884969" w:rsidP="5F884969">
            <w:pPr>
              <w:rPr>
                <w:rFonts w:ascii="Calibri" w:hAnsi="Calibri"/>
                <w:b/>
                <w:bCs/>
              </w:rPr>
            </w:pPr>
            <w:r w:rsidRPr="5F884969">
              <w:rPr>
                <w:rFonts w:ascii="Calibri" w:hAnsi="Calibri"/>
                <w:b/>
                <w:bCs/>
              </w:rPr>
              <w:t>Table 5:  Age Demographic Trends</w:t>
            </w:r>
          </w:p>
        </w:tc>
        <w:tc>
          <w:tcPr>
            <w:tcW w:w="6480" w:type="dxa"/>
            <w:gridSpan w:val="6"/>
            <w:hideMark/>
          </w:tcPr>
          <w:p w14:paraId="68B8E260" w14:textId="77777777" w:rsidR="00605332" w:rsidRPr="00D96165" w:rsidRDefault="5F884969" w:rsidP="5F884969">
            <w:pPr>
              <w:ind w:left="360"/>
              <w:jc w:val="center"/>
              <w:rPr>
                <w:rFonts w:ascii="Calibri" w:hAnsi="Calibri"/>
                <w:b/>
                <w:bCs/>
              </w:rPr>
            </w:pPr>
            <w:r w:rsidRPr="5F884969">
              <w:rPr>
                <w:rFonts w:ascii="Calibri" w:hAnsi="Calibri"/>
                <w:b/>
                <w:bCs/>
              </w:rPr>
              <w:t>Burlington, VT</w:t>
            </w:r>
          </w:p>
        </w:tc>
      </w:tr>
      <w:tr w:rsidR="00605332" w:rsidRPr="00D96165" w14:paraId="402AA4A6" w14:textId="77777777" w:rsidTr="5F884969">
        <w:trPr>
          <w:trHeight w:val="420"/>
        </w:trPr>
        <w:tc>
          <w:tcPr>
            <w:tcW w:w="2605" w:type="dxa"/>
            <w:vMerge w:val="restart"/>
            <w:shd w:val="clear" w:color="auto" w:fill="D9D9D9" w:themeFill="background1" w:themeFillShade="D9"/>
            <w:noWrap/>
            <w:hideMark/>
          </w:tcPr>
          <w:p w14:paraId="55AAB422" w14:textId="77777777" w:rsidR="00605332" w:rsidRDefault="5F884969" w:rsidP="5F884969">
            <w:pPr>
              <w:ind w:left="360"/>
              <w:rPr>
                <w:rFonts w:ascii="Calibri" w:hAnsi="Calibri"/>
              </w:rPr>
            </w:pPr>
            <w:r w:rsidRPr="5F884969">
              <w:rPr>
                <w:rFonts w:ascii="Calibri" w:hAnsi="Calibri"/>
              </w:rPr>
              <w:t> </w:t>
            </w:r>
          </w:p>
          <w:p w14:paraId="10CD62C8" w14:textId="77777777" w:rsidR="00605332" w:rsidRPr="00D96165" w:rsidRDefault="00605332" w:rsidP="0025019A">
            <w:pPr>
              <w:ind w:left="360"/>
              <w:rPr>
                <w:rFonts w:ascii="Calibri" w:hAnsi="Calibri"/>
              </w:rPr>
            </w:pPr>
          </w:p>
          <w:p w14:paraId="325351BF" w14:textId="77777777" w:rsidR="00605332" w:rsidRPr="00D96165" w:rsidRDefault="5F884969" w:rsidP="5F884969">
            <w:pPr>
              <w:ind w:left="360"/>
              <w:rPr>
                <w:rFonts w:ascii="Calibri" w:hAnsi="Calibri"/>
              </w:rPr>
            </w:pPr>
            <w:r w:rsidRPr="5F884969">
              <w:rPr>
                <w:rFonts w:ascii="Calibri" w:hAnsi="Calibri"/>
                <w:b/>
                <w:bCs/>
              </w:rPr>
              <w:t>Age</w:t>
            </w:r>
          </w:p>
        </w:tc>
        <w:tc>
          <w:tcPr>
            <w:tcW w:w="1615" w:type="dxa"/>
            <w:gridSpan w:val="2"/>
            <w:shd w:val="clear" w:color="auto" w:fill="D9D9D9" w:themeFill="background1" w:themeFillShade="D9"/>
            <w:noWrap/>
            <w:hideMark/>
          </w:tcPr>
          <w:p w14:paraId="4173E3FA" w14:textId="77777777" w:rsidR="00605332" w:rsidRPr="00D96165" w:rsidRDefault="5F884969" w:rsidP="5F884969">
            <w:pPr>
              <w:ind w:left="360"/>
              <w:rPr>
                <w:rFonts w:ascii="Calibri" w:hAnsi="Calibri"/>
                <w:b/>
                <w:bCs/>
              </w:rPr>
            </w:pPr>
            <w:r w:rsidRPr="5F884969">
              <w:rPr>
                <w:rFonts w:ascii="Calibri" w:hAnsi="Calibri"/>
                <w:b/>
                <w:bCs/>
              </w:rPr>
              <w:t>1990</w:t>
            </w:r>
          </w:p>
        </w:tc>
        <w:tc>
          <w:tcPr>
            <w:tcW w:w="2435" w:type="dxa"/>
            <w:gridSpan w:val="2"/>
            <w:shd w:val="clear" w:color="auto" w:fill="D9D9D9" w:themeFill="background1" w:themeFillShade="D9"/>
            <w:noWrap/>
            <w:hideMark/>
          </w:tcPr>
          <w:p w14:paraId="15FDD4A0" w14:textId="77777777" w:rsidR="00605332" w:rsidRPr="00D96165" w:rsidRDefault="5F884969" w:rsidP="5F884969">
            <w:pPr>
              <w:ind w:left="360"/>
              <w:rPr>
                <w:rFonts w:ascii="Calibri" w:hAnsi="Calibri"/>
                <w:b/>
                <w:bCs/>
              </w:rPr>
            </w:pPr>
            <w:r w:rsidRPr="5F884969">
              <w:rPr>
                <w:rFonts w:ascii="Calibri" w:hAnsi="Calibri"/>
                <w:b/>
                <w:bCs/>
              </w:rPr>
              <w:t>2000</w:t>
            </w:r>
          </w:p>
        </w:tc>
        <w:tc>
          <w:tcPr>
            <w:tcW w:w="2430" w:type="dxa"/>
            <w:gridSpan w:val="2"/>
            <w:shd w:val="clear" w:color="auto" w:fill="D9D9D9" w:themeFill="background1" w:themeFillShade="D9"/>
            <w:noWrap/>
            <w:hideMark/>
          </w:tcPr>
          <w:p w14:paraId="45D2B9B1" w14:textId="77777777" w:rsidR="00605332" w:rsidRPr="00D96165" w:rsidRDefault="5F884969" w:rsidP="5F884969">
            <w:pPr>
              <w:ind w:left="360"/>
              <w:rPr>
                <w:rFonts w:ascii="Calibri" w:hAnsi="Calibri"/>
                <w:b/>
                <w:bCs/>
              </w:rPr>
            </w:pPr>
            <w:r w:rsidRPr="5F884969">
              <w:rPr>
                <w:rFonts w:ascii="Calibri" w:hAnsi="Calibri"/>
                <w:b/>
                <w:bCs/>
              </w:rPr>
              <w:t>2010</w:t>
            </w:r>
          </w:p>
        </w:tc>
      </w:tr>
      <w:tr w:rsidR="00605332" w:rsidRPr="00D96165" w14:paraId="1F4AC038" w14:textId="77777777" w:rsidTr="5F884969">
        <w:trPr>
          <w:trHeight w:val="420"/>
        </w:trPr>
        <w:tc>
          <w:tcPr>
            <w:tcW w:w="2605" w:type="dxa"/>
            <w:vMerge/>
            <w:noWrap/>
            <w:hideMark/>
          </w:tcPr>
          <w:p w14:paraId="3EFB5CFB" w14:textId="77777777" w:rsidR="00605332" w:rsidRPr="00D96165" w:rsidRDefault="00605332" w:rsidP="0025019A">
            <w:pPr>
              <w:ind w:left="360"/>
              <w:rPr>
                <w:rFonts w:ascii="Calibri" w:hAnsi="Calibri"/>
                <w:b/>
                <w:bCs/>
              </w:rPr>
            </w:pPr>
          </w:p>
        </w:tc>
        <w:tc>
          <w:tcPr>
            <w:tcW w:w="380" w:type="dxa"/>
            <w:shd w:val="clear" w:color="auto" w:fill="D9D9D9" w:themeFill="background1" w:themeFillShade="D9"/>
            <w:noWrap/>
            <w:hideMark/>
          </w:tcPr>
          <w:p w14:paraId="4C2AD982" w14:textId="77777777" w:rsidR="00605332" w:rsidRPr="00D96165" w:rsidRDefault="5F884969" w:rsidP="5F884969">
            <w:pPr>
              <w:ind w:left="360"/>
              <w:rPr>
                <w:rFonts w:ascii="Calibri" w:hAnsi="Calibri"/>
                <w:b/>
                <w:bCs/>
              </w:rPr>
            </w:pPr>
            <w:r w:rsidRPr="5F884969">
              <w:rPr>
                <w:rFonts w:ascii="Calibri" w:hAnsi="Calibri"/>
                <w:b/>
                <w:bCs/>
              </w:rPr>
              <w:t>#</w:t>
            </w:r>
          </w:p>
        </w:tc>
        <w:tc>
          <w:tcPr>
            <w:tcW w:w="1235" w:type="dxa"/>
            <w:shd w:val="clear" w:color="auto" w:fill="D9D9D9" w:themeFill="background1" w:themeFillShade="D9"/>
            <w:noWrap/>
            <w:hideMark/>
          </w:tcPr>
          <w:p w14:paraId="22E71F47" w14:textId="77777777" w:rsidR="00605332" w:rsidRPr="00D96165" w:rsidRDefault="5F884969" w:rsidP="5F884969">
            <w:pPr>
              <w:ind w:left="360"/>
              <w:rPr>
                <w:rFonts w:ascii="Calibri" w:hAnsi="Calibri"/>
                <w:b/>
                <w:bCs/>
              </w:rPr>
            </w:pPr>
            <w:r w:rsidRPr="5F884969">
              <w:rPr>
                <w:rFonts w:ascii="Calibri" w:hAnsi="Calibri"/>
                <w:b/>
                <w:bCs/>
              </w:rPr>
              <w:t>%</w:t>
            </w:r>
          </w:p>
        </w:tc>
        <w:tc>
          <w:tcPr>
            <w:tcW w:w="1189" w:type="dxa"/>
            <w:shd w:val="clear" w:color="auto" w:fill="D9D9D9" w:themeFill="background1" w:themeFillShade="D9"/>
            <w:noWrap/>
            <w:hideMark/>
          </w:tcPr>
          <w:p w14:paraId="17A7B279" w14:textId="77777777" w:rsidR="00605332" w:rsidRPr="00D96165" w:rsidRDefault="5F884969" w:rsidP="5F884969">
            <w:pPr>
              <w:ind w:left="360"/>
              <w:rPr>
                <w:rFonts w:ascii="Calibri" w:hAnsi="Calibri"/>
                <w:b/>
                <w:bCs/>
              </w:rPr>
            </w:pPr>
            <w:r w:rsidRPr="5F884969">
              <w:rPr>
                <w:rFonts w:ascii="Calibri" w:hAnsi="Calibri"/>
                <w:b/>
                <w:bCs/>
              </w:rPr>
              <w:t>#</w:t>
            </w:r>
          </w:p>
        </w:tc>
        <w:tc>
          <w:tcPr>
            <w:tcW w:w="1246" w:type="dxa"/>
            <w:shd w:val="clear" w:color="auto" w:fill="D9D9D9" w:themeFill="background1" w:themeFillShade="D9"/>
            <w:noWrap/>
            <w:hideMark/>
          </w:tcPr>
          <w:p w14:paraId="177690F8" w14:textId="77777777" w:rsidR="00605332" w:rsidRPr="00D96165" w:rsidRDefault="5F884969" w:rsidP="5F884969">
            <w:pPr>
              <w:ind w:left="360"/>
              <w:rPr>
                <w:rFonts w:ascii="Calibri" w:hAnsi="Calibri"/>
                <w:b/>
                <w:bCs/>
              </w:rPr>
            </w:pPr>
            <w:r w:rsidRPr="5F884969">
              <w:rPr>
                <w:rFonts w:ascii="Calibri" w:hAnsi="Calibri"/>
                <w:b/>
                <w:bCs/>
              </w:rPr>
              <w:t>%</w:t>
            </w:r>
          </w:p>
        </w:tc>
        <w:tc>
          <w:tcPr>
            <w:tcW w:w="1189" w:type="dxa"/>
            <w:shd w:val="clear" w:color="auto" w:fill="D9D9D9" w:themeFill="background1" w:themeFillShade="D9"/>
            <w:noWrap/>
            <w:hideMark/>
          </w:tcPr>
          <w:p w14:paraId="3AA438BC" w14:textId="77777777" w:rsidR="00605332" w:rsidRPr="00D96165" w:rsidRDefault="5F884969" w:rsidP="5F884969">
            <w:pPr>
              <w:ind w:left="360"/>
              <w:rPr>
                <w:rFonts w:ascii="Calibri" w:hAnsi="Calibri"/>
                <w:b/>
                <w:bCs/>
              </w:rPr>
            </w:pPr>
            <w:r w:rsidRPr="5F884969">
              <w:rPr>
                <w:rFonts w:ascii="Calibri" w:hAnsi="Calibri"/>
                <w:b/>
                <w:bCs/>
              </w:rPr>
              <w:t>#</w:t>
            </w:r>
          </w:p>
        </w:tc>
        <w:tc>
          <w:tcPr>
            <w:tcW w:w="1241" w:type="dxa"/>
            <w:shd w:val="clear" w:color="auto" w:fill="D9D9D9" w:themeFill="background1" w:themeFillShade="D9"/>
            <w:noWrap/>
            <w:hideMark/>
          </w:tcPr>
          <w:p w14:paraId="49215871" w14:textId="77777777" w:rsidR="00605332" w:rsidRPr="00D96165" w:rsidRDefault="5F884969" w:rsidP="5F884969">
            <w:pPr>
              <w:ind w:left="360"/>
              <w:rPr>
                <w:rFonts w:ascii="Calibri" w:hAnsi="Calibri"/>
                <w:b/>
                <w:bCs/>
              </w:rPr>
            </w:pPr>
            <w:r w:rsidRPr="5F884969">
              <w:rPr>
                <w:rFonts w:ascii="Calibri" w:hAnsi="Calibri"/>
                <w:b/>
                <w:bCs/>
              </w:rPr>
              <w:t>%</w:t>
            </w:r>
          </w:p>
        </w:tc>
      </w:tr>
      <w:tr w:rsidR="00605332" w:rsidRPr="00D96165" w14:paraId="6D14C986" w14:textId="77777777" w:rsidTr="5F884969">
        <w:trPr>
          <w:trHeight w:val="420"/>
        </w:trPr>
        <w:tc>
          <w:tcPr>
            <w:tcW w:w="2605" w:type="dxa"/>
            <w:hideMark/>
          </w:tcPr>
          <w:p w14:paraId="11BCDDAB" w14:textId="77777777" w:rsidR="00605332" w:rsidRPr="00D96165" w:rsidRDefault="5F884969" w:rsidP="5F884969">
            <w:pPr>
              <w:ind w:left="360"/>
              <w:rPr>
                <w:rFonts w:ascii="Calibri" w:hAnsi="Calibri"/>
              </w:rPr>
            </w:pPr>
            <w:r w:rsidRPr="5F884969">
              <w:rPr>
                <w:rFonts w:ascii="Calibri" w:hAnsi="Calibri"/>
              </w:rPr>
              <w:t>Under 18</w:t>
            </w:r>
          </w:p>
        </w:tc>
        <w:tc>
          <w:tcPr>
            <w:tcW w:w="380" w:type="dxa"/>
            <w:noWrap/>
            <w:hideMark/>
          </w:tcPr>
          <w:p w14:paraId="15909AE0" w14:textId="77777777" w:rsidR="00605332" w:rsidRPr="00D96165" w:rsidRDefault="5F884969" w:rsidP="5F884969">
            <w:pPr>
              <w:ind w:left="360"/>
              <w:rPr>
                <w:rFonts w:ascii="Calibri" w:hAnsi="Calibri"/>
              </w:rPr>
            </w:pPr>
            <w:r w:rsidRPr="5F884969">
              <w:rPr>
                <w:rFonts w:ascii="Calibri" w:hAnsi="Calibri"/>
              </w:rPr>
              <w:t>6,253</w:t>
            </w:r>
          </w:p>
        </w:tc>
        <w:tc>
          <w:tcPr>
            <w:tcW w:w="1235" w:type="dxa"/>
            <w:noWrap/>
            <w:hideMark/>
          </w:tcPr>
          <w:p w14:paraId="67924E3A" w14:textId="77777777" w:rsidR="00605332" w:rsidRPr="00D96165" w:rsidRDefault="5F884969" w:rsidP="5F884969">
            <w:pPr>
              <w:ind w:left="360"/>
              <w:rPr>
                <w:rFonts w:ascii="Calibri" w:hAnsi="Calibri"/>
              </w:rPr>
            </w:pPr>
            <w:r w:rsidRPr="5F884969">
              <w:rPr>
                <w:rFonts w:ascii="Calibri" w:hAnsi="Calibri"/>
              </w:rPr>
              <w:t>15.98%</w:t>
            </w:r>
          </w:p>
        </w:tc>
        <w:tc>
          <w:tcPr>
            <w:tcW w:w="1189" w:type="dxa"/>
            <w:noWrap/>
            <w:hideMark/>
          </w:tcPr>
          <w:p w14:paraId="72CFF284" w14:textId="77777777" w:rsidR="00605332" w:rsidRPr="00D96165" w:rsidRDefault="5F884969" w:rsidP="5F884969">
            <w:pPr>
              <w:ind w:left="360"/>
              <w:rPr>
                <w:rFonts w:ascii="Calibri" w:hAnsi="Calibri"/>
              </w:rPr>
            </w:pPr>
            <w:r w:rsidRPr="5F884969">
              <w:rPr>
                <w:rFonts w:ascii="Calibri" w:hAnsi="Calibri"/>
              </w:rPr>
              <w:t>6,733</w:t>
            </w:r>
          </w:p>
        </w:tc>
        <w:tc>
          <w:tcPr>
            <w:tcW w:w="1246" w:type="dxa"/>
            <w:noWrap/>
            <w:hideMark/>
          </w:tcPr>
          <w:p w14:paraId="2E979DED" w14:textId="77777777" w:rsidR="00605332" w:rsidRPr="00D96165" w:rsidRDefault="5F884969" w:rsidP="5F884969">
            <w:pPr>
              <w:ind w:left="360"/>
              <w:rPr>
                <w:rFonts w:ascii="Calibri" w:hAnsi="Calibri"/>
              </w:rPr>
            </w:pPr>
            <w:r w:rsidRPr="5F884969">
              <w:rPr>
                <w:rFonts w:ascii="Calibri" w:hAnsi="Calibri"/>
              </w:rPr>
              <w:t>17.31%</w:t>
            </w:r>
          </w:p>
        </w:tc>
        <w:tc>
          <w:tcPr>
            <w:tcW w:w="1189" w:type="dxa"/>
            <w:noWrap/>
            <w:hideMark/>
          </w:tcPr>
          <w:p w14:paraId="09925D33" w14:textId="77777777" w:rsidR="00605332" w:rsidRPr="00D96165" w:rsidRDefault="5F884969" w:rsidP="5F884969">
            <w:pPr>
              <w:ind w:left="360"/>
              <w:rPr>
                <w:rFonts w:ascii="Calibri" w:hAnsi="Calibri"/>
              </w:rPr>
            </w:pPr>
            <w:r w:rsidRPr="5F884969">
              <w:rPr>
                <w:rFonts w:ascii="Calibri" w:hAnsi="Calibri"/>
              </w:rPr>
              <w:t>5,729</w:t>
            </w:r>
          </w:p>
        </w:tc>
        <w:tc>
          <w:tcPr>
            <w:tcW w:w="1241" w:type="dxa"/>
            <w:noWrap/>
            <w:hideMark/>
          </w:tcPr>
          <w:p w14:paraId="4F0E27AC" w14:textId="77777777" w:rsidR="00605332" w:rsidRPr="00D96165" w:rsidRDefault="5F884969" w:rsidP="5F884969">
            <w:pPr>
              <w:ind w:left="360"/>
              <w:rPr>
                <w:rFonts w:ascii="Calibri" w:hAnsi="Calibri"/>
              </w:rPr>
            </w:pPr>
            <w:r w:rsidRPr="5F884969">
              <w:rPr>
                <w:rFonts w:ascii="Calibri" w:hAnsi="Calibri"/>
              </w:rPr>
              <w:t>13.51%</w:t>
            </w:r>
          </w:p>
        </w:tc>
      </w:tr>
      <w:tr w:rsidR="00605332" w:rsidRPr="00D96165" w14:paraId="7DFBA0C8" w14:textId="77777777" w:rsidTr="5F884969">
        <w:trPr>
          <w:trHeight w:val="420"/>
        </w:trPr>
        <w:tc>
          <w:tcPr>
            <w:tcW w:w="2605" w:type="dxa"/>
            <w:hideMark/>
          </w:tcPr>
          <w:p w14:paraId="518403ED" w14:textId="77777777" w:rsidR="00605332" w:rsidRPr="00D96165" w:rsidRDefault="5F884969" w:rsidP="5F884969">
            <w:pPr>
              <w:ind w:left="360"/>
              <w:rPr>
                <w:rFonts w:ascii="Calibri" w:hAnsi="Calibri"/>
              </w:rPr>
            </w:pPr>
            <w:r w:rsidRPr="5F884969">
              <w:rPr>
                <w:rFonts w:ascii="Calibri" w:hAnsi="Calibri"/>
              </w:rPr>
              <w:t>18-64</w:t>
            </w:r>
          </w:p>
        </w:tc>
        <w:tc>
          <w:tcPr>
            <w:tcW w:w="380" w:type="dxa"/>
            <w:noWrap/>
            <w:hideMark/>
          </w:tcPr>
          <w:p w14:paraId="50978AD1" w14:textId="77777777" w:rsidR="00605332" w:rsidRPr="00D96165" w:rsidRDefault="5F884969" w:rsidP="5F884969">
            <w:pPr>
              <w:ind w:left="360"/>
              <w:rPr>
                <w:rFonts w:ascii="Calibri" w:hAnsi="Calibri"/>
              </w:rPr>
            </w:pPr>
            <w:r w:rsidRPr="5F884969">
              <w:rPr>
                <w:rFonts w:ascii="Calibri" w:hAnsi="Calibri"/>
              </w:rPr>
              <w:t>28,750</w:t>
            </w:r>
          </w:p>
        </w:tc>
        <w:tc>
          <w:tcPr>
            <w:tcW w:w="1235" w:type="dxa"/>
            <w:noWrap/>
            <w:hideMark/>
          </w:tcPr>
          <w:p w14:paraId="60B54718" w14:textId="77777777" w:rsidR="00605332" w:rsidRPr="00D96165" w:rsidRDefault="5F884969" w:rsidP="5F884969">
            <w:pPr>
              <w:ind w:left="360"/>
              <w:rPr>
                <w:rFonts w:ascii="Calibri" w:hAnsi="Calibri"/>
              </w:rPr>
            </w:pPr>
            <w:r w:rsidRPr="5F884969">
              <w:rPr>
                <w:rFonts w:ascii="Calibri" w:hAnsi="Calibri"/>
              </w:rPr>
              <w:t>73.46%</w:t>
            </w:r>
          </w:p>
        </w:tc>
        <w:tc>
          <w:tcPr>
            <w:tcW w:w="1189" w:type="dxa"/>
            <w:noWrap/>
            <w:hideMark/>
          </w:tcPr>
          <w:p w14:paraId="25755563" w14:textId="77777777" w:rsidR="00605332" w:rsidRPr="00D96165" w:rsidRDefault="5F884969" w:rsidP="5F884969">
            <w:pPr>
              <w:ind w:left="360"/>
              <w:rPr>
                <w:rFonts w:ascii="Calibri" w:hAnsi="Calibri"/>
              </w:rPr>
            </w:pPr>
            <w:r w:rsidRPr="5F884969">
              <w:rPr>
                <w:rFonts w:ascii="Calibri" w:hAnsi="Calibri"/>
              </w:rPr>
              <w:t>28,077</w:t>
            </w:r>
          </w:p>
        </w:tc>
        <w:tc>
          <w:tcPr>
            <w:tcW w:w="1246" w:type="dxa"/>
            <w:noWrap/>
            <w:hideMark/>
          </w:tcPr>
          <w:p w14:paraId="21597F7F" w14:textId="77777777" w:rsidR="00605332" w:rsidRPr="00D96165" w:rsidRDefault="5F884969" w:rsidP="5F884969">
            <w:pPr>
              <w:ind w:left="360"/>
              <w:rPr>
                <w:rFonts w:ascii="Calibri" w:hAnsi="Calibri"/>
              </w:rPr>
            </w:pPr>
            <w:r w:rsidRPr="5F884969">
              <w:rPr>
                <w:rFonts w:ascii="Calibri" w:hAnsi="Calibri"/>
              </w:rPr>
              <w:t>72.17%</w:t>
            </w:r>
          </w:p>
        </w:tc>
        <w:tc>
          <w:tcPr>
            <w:tcW w:w="1189" w:type="dxa"/>
            <w:noWrap/>
            <w:hideMark/>
          </w:tcPr>
          <w:p w14:paraId="017CFE63" w14:textId="77777777" w:rsidR="00605332" w:rsidRPr="00D96165" w:rsidRDefault="5F884969" w:rsidP="5F884969">
            <w:pPr>
              <w:ind w:left="360"/>
              <w:rPr>
                <w:rFonts w:ascii="Calibri" w:hAnsi="Calibri"/>
              </w:rPr>
            </w:pPr>
            <w:r w:rsidRPr="5F884969">
              <w:rPr>
                <w:rFonts w:ascii="Calibri" w:hAnsi="Calibri"/>
              </w:rPr>
              <w:t>32,702</w:t>
            </w:r>
          </w:p>
        </w:tc>
        <w:tc>
          <w:tcPr>
            <w:tcW w:w="1241" w:type="dxa"/>
            <w:noWrap/>
            <w:hideMark/>
          </w:tcPr>
          <w:p w14:paraId="3337C7E0" w14:textId="77777777" w:rsidR="00605332" w:rsidRPr="00D96165" w:rsidRDefault="5F884969" w:rsidP="5F884969">
            <w:pPr>
              <w:ind w:left="360"/>
              <w:rPr>
                <w:rFonts w:ascii="Calibri" w:hAnsi="Calibri"/>
              </w:rPr>
            </w:pPr>
            <w:r w:rsidRPr="5F884969">
              <w:rPr>
                <w:rFonts w:ascii="Calibri" w:hAnsi="Calibri"/>
              </w:rPr>
              <w:t>77.10%</w:t>
            </w:r>
          </w:p>
        </w:tc>
      </w:tr>
      <w:tr w:rsidR="00605332" w:rsidRPr="00D96165" w14:paraId="621F6059" w14:textId="77777777" w:rsidTr="5F884969">
        <w:trPr>
          <w:trHeight w:val="420"/>
        </w:trPr>
        <w:tc>
          <w:tcPr>
            <w:tcW w:w="2605" w:type="dxa"/>
            <w:hideMark/>
          </w:tcPr>
          <w:p w14:paraId="39541E24" w14:textId="77777777" w:rsidR="00605332" w:rsidRPr="00D96165" w:rsidRDefault="5F884969" w:rsidP="5F884969">
            <w:pPr>
              <w:ind w:left="360"/>
              <w:rPr>
                <w:rFonts w:ascii="Calibri" w:hAnsi="Calibri"/>
              </w:rPr>
            </w:pPr>
            <w:r w:rsidRPr="5F884969">
              <w:rPr>
                <w:rFonts w:ascii="Calibri" w:hAnsi="Calibri"/>
              </w:rPr>
              <w:t>65+</w:t>
            </w:r>
          </w:p>
        </w:tc>
        <w:tc>
          <w:tcPr>
            <w:tcW w:w="380" w:type="dxa"/>
            <w:noWrap/>
            <w:hideMark/>
          </w:tcPr>
          <w:p w14:paraId="6B152883" w14:textId="77777777" w:rsidR="00605332" w:rsidRPr="00D96165" w:rsidRDefault="5F884969" w:rsidP="5F884969">
            <w:pPr>
              <w:ind w:left="360"/>
              <w:rPr>
                <w:rFonts w:ascii="Calibri" w:hAnsi="Calibri"/>
              </w:rPr>
            </w:pPr>
            <w:r w:rsidRPr="5F884969">
              <w:rPr>
                <w:rFonts w:ascii="Calibri" w:hAnsi="Calibri"/>
              </w:rPr>
              <w:t>4,134</w:t>
            </w:r>
          </w:p>
        </w:tc>
        <w:tc>
          <w:tcPr>
            <w:tcW w:w="1235" w:type="dxa"/>
            <w:noWrap/>
            <w:hideMark/>
          </w:tcPr>
          <w:p w14:paraId="25C016D6" w14:textId="77777777" w:rsidR="00605332" w:rsidRPr="00D96165" w:rsidRDefault="5F884969" w:rsidP="5F884969">
            <w:pPr>
              <w:ind w:left="360"/>
              <w:rPr>
                <w:rFonts w:ascii="Calibri" w:hAnsi="Calibri"/>
              </w:rPr>
            </w:pPr>
            <w:r w:rsidRPr="5F884969">
              <w:rPr>
                <w:rFonts w:ascii="Calibri" w:hAnsi="Calibri"/>
              </w:rPr>
              <w:t>10.56%</w:t>
            </w:r>
          </w:p>
        </w:tc>
        <w:tc>
          <w:tcPr>
            <w:tcW w:w="1189" w:type="dxa"/>
            <w:noWrap/>
            <w:hideMark/>
          </w:tcPr>
          <w:p w14:paraId="5538E349" w14:textId="77777777" w:rsidR="00605332" w:rsidRPr="00D96165" w:rsidRDefault="5F884969" w:rsidP="5F884969">
            <w:pPr>
              <w:ind w:left="360"/>
              <w:rPr>
                <w:rFonts w:ascii="Calibri" w:hAnsi="Calibri"/>
              </w:rPr>
            </w:pPr>
            <w:r w:rsidRPr="5F884969">
              <w:rPr>
                <w:rFonts w:ascii="Calibri" w:hAnsi="Calibri"/>
              </w:rPr>
              <w:t>4,095</w:t>
            </w:r>
          </w:p>
        </w:tc>
        <w:tc>
          <w:tcPr>
            <w:tcW w:w="1246" w:type="dxa"/>
            <w:noWrap/>
            <w:hideMark/>
          </w:tcPr>
          <w:p w14:paraId="027455AB" w14:textId="77777777" w:rsidR="00605332" w:rsidRPr="00D96165" w:rsidRDefault="5F884969" w:rsidP="5F884969">
            <w:pPr>
              <w:ind w:left="360"/>
              <w:rPr>
                <w:rFonts w:ascii="Calibri" w:hAnsi="Calibri"/>
              </w:rPr>
            </w:pPr>
            <w:r w:rsidRPr="5F884969">
              <w:rPr>
                <w:rFonts w:ascii="Calibri" w:hAnsi="Calibri"/>
              </w:rPr>
              <w:t>10.53%</w:t>
            </w:r>
          </w:p>
        </w:tc>
        <w:tc>
          <w:tcPr>
            <w:tcW w:w="1189" w:type="dxa"/>
            <w:noWrap/>
            <w:hideMark/>
          </w:tcPr>
          <w:p w14:paraId="4407350C" w14:textId="77777777" w:rsidR="00605332" w:rsidRPr="00D96165" w:rsidRDefault="5F884969" w:rsidP="5F884969">
            <w:pPr>
              <w:ind w:left="360"/>
              <w:rPr>
                <w:rFonts w:ascii="Calibri" w:hAnsi="Calibri"/>
              </w:rPr>
            </w:pPr>
            <w:r w:rsidRPr="5F884969">
              <w:rPr>
                <w:rFonts w:ascii="Calibri" w:hAnsi="Calibri"/>
              </w:rPr>
              <w:t>3,986</w:t>
            </w:r>
          </w:p>
        </w:tc>
        <w:tc>
          <w:tcPr>
            <w:tcW w:w="1241" w:type="dxa"/>
            <w:noWrap/>
            <w:hideMark/>
          </w:tcPr>
          <w:p w14:paraId="638AE27A" w14:textId="77777777" w:rsidR="00605332" w:rsidRPr="00D96165" w:rsidRDefault="5F884969" w:rsidP="5F884969">
            <w:pPr>
              <w:ind w:left="360"/>
              <w:rPr>
                <w:rFonts w:ascii="Calibri" w:hAnsi="Calibri"/>
              </w:rPr>
            </w:pPr>
            <w:r w:rsidRPr="5F884969">
              <w:rPr>
                <w:rFonts w:ascii="Calibri" w:hAnsi="Calibri"/>
              </w:rPr>
              <w:t>9.40%</w:t>
            </w:r>
          </w:p>
        </w:tc>
      </w:tr>
    </w:tbl>
    <w:p w14:paraId="4696D611" w14:textId="77777777" w:rsidR="00605332" w:rsidRDefault="00605332" w:rsidP="00011081">
      <w:pPr>
        <w:ind w:left="360"/>
        <w:rPr>
          <w:b/>
        </w:rPr>
      </w:pPr>
      <w:r>
        <w:rPr>
          <w:b/>
        </w:rPr>
        <w:t xml:space="preserve"> </w:t>
      </w:r>
    </w:p>
    <w:p w14:paraId="23A05E56" w14:textId="77777777" w:rsidR="005511FD" w:rsidRDefault="005511FD" w:rsidP="5F884969">
      <w:pPr>
        <w:spacing w:after="0"/>
        <w:rPr>
          <w:b/>
          <w:bCs/>
          <w:i/>
          <w:iCs/>
          <w:sz w:val="20"/>
          <w:szCs w:val="20"/>
        </w:rPr>
      </w:pPr>
    </w:p>
    <w:p w14:paraId="5A4FE1BB" w14:textId="77777777" w:rsidR="005511FD" w:rsidRDefault="005511FD" w:rsidP="5F884969">
      <w:pPr>
        <w:spacing w:after="0"/>
        <w:rPr>
          <w:b/>
          <w:bCs/>
          <w:i/>
          <w:iCs/>
          <w:sz w:val="20"/>
          <w:szCs w:val="20"/>
        </w:rPr>
      </w:pPr>
    </w:p>
    <w:p w14:paraId="4593B0A1" w14:textId="77777777" w:rsidR="005511FD" w:rsidRDefault="005511FD" w:rsidP="5F884969">
      <w:pPr>
        <w:spacing w:after="0"/>
        <w:rPr>
          <w:b/>
          <w:bCs/>
          <w:i/>
          <w:iCs/>
          <w:sz w:val="20"/>
          <w:szCs w:val="20"/>
        </w:rPr>
      </w:pPr>
    </w:p>
    <w:p w14:paraId="4DEBE754" w14:textId="77777777" w:rsidR="005511FD" w:rsidRDefault="005511FD" w:rsidP="5F884969">
      <w:pPr>
        <w:spacing w:after="0"/>
        <w:rPr>
          <w:b/>
          <w:bCs/>
          <w:i/>
          <w:iCs/>
          <w:sz w:val="20"/>
          <w:szCs w:val="20"/>
        </w:rPr>
      </w:pPr>
    </w:p>
    <w:p w14:paraId="6E166F5C" w14:textId="77777777" w:rsidR="005511FD" w:rsidRDefault="005511FD" w:rsidP="5F884969">
      <w:pPr>
        <w:spacing w:after="0"/>
        <w:rPr>
          <w:b/>
          <w:bCs/>
          <w:i/>
          <w:iCs/>
          <w:sz w:val="20"/>
          <w:szCs w:val="20"/>
        </w:rPr>
      </w:pPr>
    </w:p>
    <w:p w14:paraId="6DBB0133" w14:textId="77777777" w:rsidR="005511FD" w:rsidRDefault="005511FD" w:rsidP="5F884969">
      <w:pPr>
        <w:spacing w:after="0"/>
        <w:rPr>
          <w:b/>
          <w:bCs/>
          <w:i/>
          <w:iCs/>
          <w:sz w:val="20"/>
          <w:szCs w:val="20"/>
        </w:rPr>
      </w:pPr>
    </w:p>
    <w:p w14:paraId="3A29E735" w14:textId="77777777" w:rsidR="005511FD" w:rsidRDefault="005511FD" w:rsidP="5F884969">
      <w:pPr>
        <w:spacing w:after="0"/>
        <w:rPr>
          <w:b/>
          <w:bCs/>
          <w:i/>
          <w:iCs/>
          <w:sz w:val="20"/>
          <w:szCs w:val="20"/>
        </w:rPr>
      </w:pPr>
    </w:p>
    <w:p w14:paraId="7497A275" w14:textId="77777777" w:rsidR="005511FD" w:rsidRDefault="005511FD" w:rsidP="5F884969">
      <w:pPr>
        <w:spacing w:after="0"/>
        <w:rPr>
          <w:b/>
          <w:bCs/>
          <w:i/>
          <w:iCs/>
          <w:sz w:val="20"/>
          <w:szCs w:val="20"/>
        </w:rPr>
      </w:pPr>
    </w:p>
    <w:p w14:paraId="78406A45" w14:textId="77777777" w:rsidR="005511FD" w:rsidRDefault="005511FD" w:rsidP="5F884969">
      <w:pPr>
        <w:spacing w:after="0"/>
        <w:rPr>
          <w:b/>
          <w:bCs/>
          <w:i/>
          <w:iCs/>
          <w:sz w:val="20"/>
          <w:szCs w:val="20"/>
        </w:rPr>
      </w:pPr>
    </w:p>
    <w:p w14:paraId="5A39DE5D" w14:textId="77777777" w:rsidR="005511FD" w:rsidRDefault="005511FD" w:rsidP="5F884969">
      <w:pPr>
        <w:spacing w:after="0"/>
        <w:rPr>
          <w:b/>
          <w:bCs/>
          <w:i/>
          <w:iCs/>
          <w:sz w:val="20"/>
          <w:szCs w:val="20"/>
        </w:rPr>
      </w:pPr>
    </w:p>
    <w:p w14:paraId="79147504" w14:textId="77777777" w:rsidR="005511FD" w:rsidRDefault="005511FD" w:rsidP="5F884969">
      <w:pPr>
        <w:spacing w:after="0"/>
        <w:rPr>
          <w:b/>
          <w:bCs/>
          <w:i/>
          <w:iCs/>
          <w:sz w:val="20"/>
          <w:szCs w:val="20"/>
        </w:rPr>
      </w:pPr>
    </w:p>
    <w:p w14:paraId="20DA157D" w14:textId="77777777" w:rsidR="005511FD" w:rsidRDefault="005511FD" w:rsidP="5F884969">
      <w:pPr>
        <w:spacing w:after="0"/>
        <w:rPr>
          <w:b/>
          <w:bCs/>
          <w:i/>
          <w:iCs/>
          <w:sz w:val="20"/>
          <w:szCs w:val="20"/>
        </w:rPr>
      </w:pPr>
    </w:p>
    <w:p w14:paraId="697719C6" w14:textId="77777777" w:rsidR="005511FD" w:rsidRDefault="005511FD" w:rsidP="5F884969">
      <w:pPr>
        <w:spacing w:after="0"/>
        <w:rPr>
          <w:b/>
          <w:bCs/>
          <w:i/>
          <w:iCs/>
          <w:sz w:val="20"/>
          <w:szCs w:val="20"/>
        </w:rPr>
      </w:pPr>
    </w:p>
    <w:p w14:paraId="158091B1" w14:textId="77777777" w:rsidR="005658AB" w:rsidRPr="005658AB" w:rsidRDefault="5F884969" w:rsidP="5F884969">
      <w:pPr>
        <w:spacing w:after="0"/>
        <w:rPr>
          <w:b/>
          <w:bCs/>
          <w:i/>
          <w:iCs/>
          <w:sz w:val="20"/>
          <w:szCs w:val="20"/>
        </w:rPr>
      </w:pPr>
      <w:r w:rsidRPr="5F884969">
        <w:rPr>
          <w:b/>
          <w:bCs/>
          <w:i/>
          <w:iCs/>
          <w:sz w:val="20"/>
          <w:szCs w:val="20"/>
        </w:rPr>
        <w:t xml:space="preserve">Figure 3: </w:t>
      </w:r>
      <w:r w:rsidRPr="5F884969">
        <w:rPr>
          <w:sz w:val="20"/>
          <w:szCs w:val="20"/>
        </w:rPr>
        <w:t xml:space="preserve">Burlington Age Demographics </w:t>
      </w:r>
      <w:proofErr w:type="gramStart"/>
      <w:r w:rsidRPr="5F884969">
        <w:rPr>
          <w:sz w:val="20"/>
          <w:szCs w:val="20"/>
        </w:rPr>
        <w:t>Over</w:t>
      </w:r>
      <w:proofErr w:type="gramEnd"/>
      <w:r w:rsidRPr="5F884969">
        <w:rPr>
          <w:sz w:val="20"/>
          <w:szCs w:val="20"/>
        </w:rPr>
        <w:t xml:space="preserve"> Time for Burlington, VT (Bar graph, 3 categories). Source: Decennial Census, 2010; Decennial Census, 2000; Decennial Census, 1990</w:t>
      </w:r>
    </w:p>
    <w:p w14:paraId="0061FF22" w14:textId="755A7526" w:rsidR="005658AB" w:rsidRDefault="005658AB" w:rsidP="005658AB">
      <w:pPr>
        <w:spacing w:after="0"/>
      </w:pPr>
      <w:r w:rsidRPr="0050279F">
        <w:rPr>
          <w:noProof/>
          <w:lang w:eastAsia="en-US"/>
        </w:rPr>
        <w:drawing>
          <wp:inline distT="0" distB="0" distL="0" distR="0" wp14:anchorId="60286A0E" wp14:editId="0523D9CC">
            <wp:extent cx="5309235" cy="2860040"/>
            <wp:effectExtent l="0" t="0" r="24765"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5FFAB5" w14:textId="77777777" w:rsidR="005658AB" w:rsidRDefault="005658AB" w:rsidP="005658AB">
      <w:pPr>
        <w:spacing w:after="0"/>
      </w:pPr>
    </w:p>
    <w:p w14:paraId="7A6928D7" w14:textId="17DA0A57" w:rsidR="00605332" w:rsidRPr="00605332" w:rsidRDefault="5F884969" w:rsidP="002F7C2E">
      <w:pPr>
        <w:spacing w:after="0"/>
        <w:ind w:firstLine="360"/>
        <w:outlineLvl w:val="0"/>
        <w:rPr>
          <w:sz w:val="20"/>
          <w:szCs w:val="20"/>
        </w:rPr>
      </w:pPr>
      <w:r w:rsidRPr="5F884969">
        <w:rPr>
          <w:b/>
          <w:bCs/>
          <w:i/>
          <w:iCs/>
          <w:sz w:val="20"/>
          <w:szCs w:val="20"/>
        </w:rPr>
        <w:t>Table 6:</w:t>
      </w:r>
      <w:r w:rsidRPr="5F884969">
        <w:rPr>
          <w:sz w:val="20"/>
          <w:szCs w:val="20"/>
        </w:rPr>
        <w:t xml:space="preserve"> Gender Demographics for City of Burlington, VT. Source: Decennial Census 2010; ACS </w:t>
      </w:r>
    </w:p>
    <w:tbl>
      <w:tblPr>
        <w:tblStyle w:val="TableGrid"/>
        <w:tblW w:w="6811" w:type="dxa"/>
        <w:tblInd w:w="544" w:type="dxa"/>
        <w:tblLook w:val="04A0" w:firstRow="1" w:lastRow="0" w:firstColumn="1" w:lastColumn="0" w:noHBand="0" w:noVBand="1"/>
      </w:tblPr>
      <w:tblGrid>
        <w:gridCol w:w="3321"/>
        <w:gridCol w:w="1894"/>
        <w:gridCol w:w="1596"/>
      </w:tblGrid>
      <w:tr w:rsidR="00605332" w:rsidRPr="00F116F7" w14:paraId="20843539" w14:textId="77777777" w:rsidTr="5F884969">
        <w:trPr>
          <w:trHeight w:val="420"/>
        </w:trPr>
        <w:tc>
          <w:tcPr>
            <w:tcW w:w="3321" w:type="dxa"/>
            <w:noWrap/>
            <w:hideMark/>
          </w:tcPr>
          <w:p w14:paraId="2F50B1B3" w14:textId="7EE184A3" w:rsidR="00605332" w:rsidRPr="00F116F7" w:rsidRDefault="5F884969" w:rsidP="5F884969">
            <w:pPr>
              <w:rPr>
                <w:rFonts w:ascii="Calibri" w:hAnsi="Calibri"/>
                <w:b/>
                <w:bCs/>
              </w:rPr>
            </w:pPr>
            <w:r w:rsidRPr="5F884969">
              <w:rPr>
                <w:rFonts w:ascii="Calibri" w:hAnsi="Calibri"/>
                <w:b/>
                <w:bCs/>
              </w:rPr>
              <w:t> Table 3: Gender Demographics</w:t>
            </w:r>
          </w:p>
        </w:tc>
        <w:tc>
          <w:tcPr>
            <w:tcW w:w="3490" w:type="dxa"/>
            <w:gridSpan w:val="2"/>
            <w:hideMark/>
          </w:tcPr>
          <w:p w14:paraId="45BDE197" w14:textId="77777777" w:rsidR="00605332" w:rsidRPr="00F116F7" w:rsidRDefault="5F884969" w:rsidP="5F884969">
            <w:pPr>
              <w:ind w:left="360"/>
              <w:rPr>
                <w:rFonts w:ascii="Calibri" w:hAnsi="Calibri"/>
                <w:b/>
                <w:bCs/>
              </w:rPr>
            </w:pPr>
            <w:r w:rsidRPr="5F884969">
              <w:rPr>
                <w:rFonts w:ascii="Calibri" w:hAnsi="Calibri"/>
                <w:b/>
                <w:bCs/>
              </w:rPr>
              <w:t xml:space="preserve">Burlington, VT </w:t>
            </w:r>
          </w:p>
        </w:tc>
      </w:tr>
      <w:tr w:rsidR="00605332" w:rsidRPr="00F116F7" w14:paraId="0332A1D8" w14:textId="77777777" w:rsidTr="5F884969">
        <w:trPr>
          <w:trHeight w:val="420"/>
        </w:trPr>
        <w:tc>
          <w:tcPr>
            <w:tcW w:w="3321" w:type="dxa"/>
            <w:hideMark/>
          </w:tcPr>
          <w:p w14:paraId="0AFA9D9B" w14:textId="77777777" w:rsidR="00605332" w:rsidRPr="00F116F7" w:rsidRDefault="5F884969" w:rsidP="5F884969">
            <w:pPr>
              <w:rPr>
                <w:rFonts w:ascii="Calibri" w:hAnsi="Calibri"/>
              </w:rPr>
            </w:pPr>
            <w:r w:rsidRPr="5F884969">
              <w:rPr>
                <w:rFonts w:ascii="Calibri" w:hAnsi="Calibri"/>
              </w:rPr>
              <w:t>Male</w:t>
            </w:r>
          </w:p>
        </w:tc>
        <w:tc>
          <w:tcPr>
            <w:tcW w:w="1894" w:type="dxa"/>
            <w:noWrap/>
            <w:hideMark/>
          </w:tcPr>
          <w:p w14:paraId="4B7D0B3D" w14:textId="77777777" w:rsidR="00605332" w:rsidRPr="00F116F7" w:rsidRDefault="5F884969" w:rsidP="5F884969">
            <w:pPr>
              <w:ind w:left="360"/>
              <w:rPr>
                <w:rFonts w:ascii="Calibri" w:hAnsi="Calibri"/>
              </w:rPr>
            </w:pPr>
            <w:r w:rsidRPr="5F884969">
              <w:rPr>
                <w:rFonts w:ascii="Calibri" w:hAnsi="Calibri"/>
              </w:rPr>
              <w:t>20,619</w:t>
            </w:r>
          </w:p>
        </w:tc>
        <w:tc>
          <w:tcPr>
            <w:tcW w:w="1596" w:type="dxa"/>
            <w:noWrap/>
            <w:hideMark/>
          </w:tcPr>
          <w:p w14:paraId="17250B63" w14:textId="77777777" w:rsidR="00605332" w:rsidRPr="00F116F7" w:rsidRDefault="5F884969" w:rsidP="5F884969">
            <w:pPr>
              <w:ind w:left="360"/>
              <w:rPr>
                <w:rFonts w:ascii="Calibri" w:hAnsi="Calibri"/>
              </w:rPr>
            </w:pPr>
            <w:r w:rsidRPr="5F884969">
              <w:rPr>
                <w:rFonts w:ascii="Calibri" w:hAnsi="Calibri"/>
              </w:rPr>
              <w:t>48.61%</w:t>
            </w:r>
          </w:p>
        </w:tc>
      </w:tr>
      <w:tr w:rsidR="00605332" w:rsidRPr="00F116F7" w14:paraId="3A8AD457" w14:textId="77777777" w:rsidTr="5F884969">
        <w:trPr>
          <w:trHeight w:val="420"/>
        </w:trPr>
        <w:tc>
          <w:tcPr>
            <w:tcW w:w="3321" w:type="dxa"/>
            <w:hideMark/>
          </w:tcPr>
          <w:p w14:paraId="48779CE2" w14:textId="77777777" w:rsidR="00605332" w:rsidRPr="00F116F7" w:rsidRDefault="5F884969" w:rsidP="5F884969">
            <w:pPr>
              <w:rPr>
                <w:rFonts w:ascii="Calibri" w:hAnsi="Calibri"/>
              </w:rPr>
            </w:pPr>
            <w:r w:rsidRPr="5F884969">
              <w:rPr>
                <w:rFonts w:ascii="Calibri" w:hAnsi="Calibri"/>
              </w:rPr>
              <w:t>Female</w:t>
            </w:r>
          </w:p>
        </w:tc>
        <w:tc>
          <w:tcPr>
            <w:tcW w:w="1894" w:type="dxa"/>
            <w:noWrap/>
            <w:hideMark/>
          </w:tcPr>
          <w:p w14:paraId="2FCA5389" w14:textId="77777777" w:rsidR="00605332" w:rsidRPr="00F116F7" w:rsidRDefault="5F884969" w:rsidP="5F884969">
            <w:pPr>
              <w:ind w:left="360"/>
              <w:rPr>
                <w:rFonts w:ascii="Calibri" w:hAnsi="Calibri"/>
              </w:rPr>
            </w:pPr>
            <w:r w:rsidRPr="5F884969">
              <w:rPr>
                <w:rFonts w:ascii="Calibri" w:hAnsi="Calibri"/>
              </w:rPr>
              <w:t>21,798</w:t>
            </w:r>
          </w:p>
        </w:tc>
        <w:tc>
          <w:tcPr>
            <w:tcW w:w="1596" w:type="dxa"/>
            <w:noWrap/>
            <w:hideMark/>
          </w:tcPr>
          <w:p w14:paraId="7FF3798B" w14:textId="77777777" w:rsidR="00605332" w:rsidRPr="00F116F7" w:rsidRDefault="5F884969" w:rsidP="5F884969">
            <w:pPr>
              <w:ind w:left="360"/>
              <w:rPr>
                <w:rFonts w:ascii="Calibri" w:hAnsi="Calibri"/>
              </w:rPr>
            </w:pPr>
            <w:r w:rsidRPr="5F884969">
              <w:rPr>
                <w:rFonts w:ascii="Calibri" w:hAnsi="Calibri"/>
              </w:rPr>
              <w:t>51.39%</w:t>
            </w:r>
          </w:p>
        </w:tc>
      </w:tr>
    </w:tbl>
    <w:p w14:paraId="7B00D768" w14:textId="77777777" w:rsidR="00605332" w:rsidRDefault="00605332" w:rsidP="00011081">
      <w:pPr>
        <w:ind w:left="360"/>
        <w:rPr>
          <w:rFonts w:ascii="Calibri" w:hAnsi="Calibri"/>
        </w:rPr>
      </w:pPr>
    </w:p>
    <w:p w14:paraId="2C2156B6" w14:textId="4AD80944" w:rsidR="00011081" w:rsidRDefault="5F884969" w:rsidP="5F884969">
      <w:pPr>
        <w:ind w:left="360"/>
        <w:rPr>
          <w:rFonts w:ascii="Calibri" w:hAnsi="Calibri"/>
        </w:rPr>
      </w:pPr>
      <w:r w:rsidRPr="5F884969">
        <w:rPr>
          <w:rFonts w:ascii="Calibri" w:hAnsi="Calibri"/>
        </w:rPr>
        <w:t>Burlington’s female population is higher than its male population by about 1100 persons. Over time, this gap used to be wider; as 2015 ACS data i</w:t>
      </w:r>
      <w:r w:rsidR="005239EA">
        <w:rPr>
          <w:rFonts w:ascii="Calibri" w:hAnsi="Calibri"/>
        </w:rPr>
        <w:t xml:space="preserve">s included, the gap between </w:t>
      </w:r>
      <w:r w:rsidRPr="5F884969">
        <w:rPr>
          <w:rFonts w:ascii="Calibri" w:hAnsi="Calibri"/>
        </w:rPr>
        <w:t>male and female populations has closed considerably.</w:t>
      </w:r>
    </w:p>
    <w:p w14:paraId="6BC022E9" w14:textId="77777777" w:rsidR="005658AB" w:rsidRDefault="005658AB" w:rsidP="00011081">
      <w:pPr>
        <w:ind w:left="360"/>
        <w:rPr>
          <w:rFonts w:ascii="Calibri" w:hAnsi="Calibri"/>
        </w:rPr>
      </w:pPr>
    </w:p>
    <w:p w14:paraId="1924B812" w14:textId="77777777" w:rsidR="005511FD" w:rsidRDefault="005511FD" w:rsidP="00011081">
      <w:pPr>
        <w:ind w:left="360"/>
        <w:rPr>
          <w:rFonts w:ascii="Calibri" w:hAnsi="Calibri"/>
        </w:rPr>
      </w:pPr>
    </w:p>
    <w:p w14:paraId="30B636AC" w14:textId="77777777" w:rsidR="005511FD" w:rsidRDefault="005511FD" w:rsidP="00011081">
      <w:pPr>
        <w:ind w:left="360"/>
        <w:rPr>
          <w:rFonts w:ascii="Calibri" w:hAnsi="Calibri"/>
        </w:rPr>
      </w:pPr>
    </w:p>
    <w:p w14:paraId="595C3DCC" w14:textId="77777777" w:rsidR="005511FD" w:rsidRDefault="005511FD" w:rsidP="00011081">
      <w:pPr>
        <w:ind w:left="360"/>
        <w:rPr>
          <w:rFonts w:ascii="Calibri" w:hAnsi="Calibri"/>
        </w:rPr>
      </w:pPr>
    </w:p>
    <w:p w14:paraId="42BBA8BB" w14:textId="77777777" w:rsidR="005511FD" w:rsidRDefault="005511FD" w:rsidP="00011081">
      <w:pPr>
        <w:ind w:left="360"/>
        <w:rPr>
          <w:rFonts w:ascii="Calibri" w:hAnsi="Calibri"/>
        </w:rPr>
      </w:pPr>
    </w:p>
    <w:p w14:paraId="3444DDCF" w14:textId="77777777" w:rsidR="005511FD" w:rsidRDefault="005511FD" w:rsidP="00011081">
      <w:pPr>
        <w:ind w:left="360"/>
        <w:rPr>
          <w:rFonts w:ascii="Calibri" w:hAnsi="Calibri"/>
        </w:rPr>
      </w:pPr>
    </w:p>
    <w:p w14:paraId="50FE19CD" w14:textId="77777777" w:rsidR="005511FD" w:rsidRDefault="005511FD" w:rsidP="00011081">
      <w:pPr>
        <w:ind w:left="360"/>
        <w:rPr>
          <w:rFonts w:ascii="Calibri" w:hAnsi="Calibri"/>
        </w:rPr>
      </w:pPr>
    </w:p>
    <w:p w14:paraId="3F30B1E0" w14:textId="77777777" w:rsidR="005511FD" w:rsidRDefault="005511FD" w:rsidP="00011081">
      <w:pPr>
        <w:ind w:left="360"/>
        <w:rPr>
          <w:rFonts w:ascii="Calibri" w:hAnsi="Calibri"/>
        </w:rPr>
      </w:pPr>
    </w:p>
    <w:p w14:paraId="4A24C780" w14:textId="77777777" w:rsidR="005511FD" w:rsidRDefault="005511FD" w:rsidP="00011081">
      <w:pPr>
        <w:ind w:left="360"/>
        <w:rPr>
          <w:rFonts w:ascii="Calibri" w:hAnsi="Calibri"/>
        </w:rPr>
      </w:pPr>
    </w:p>
    <w:p w14:paraId="00064D46" w14:textId="77777777" w:rsidR="005511FD" w:rsidRDefault="005511FD" w:rsidP="00011081">
      <w:pPr>
        <w:ind w:left="360"/>
        <w:rPr>
          <w:rFonts w:ascii="Calibri" w:hAnsi="Calibri"/>
        </w:rPr>
      </w:pPr>
    </w:p>
    <w:p w14:paraId="0CCF2CC2" w14:textId="77777777" w:rsidR="005511FD" w:rsidRDefault="005511FD" w:rsidP="00011081">
      <w:pPr>
        <w:ind w:left="360"/>
        <w:rPr>
          <w:rFonts w:ascii="Calibri" w:hAnsi="Calibri"/>
        </w:rPr>
      </w:pPr>
    </w:p>
    <w:p w14:paraId="69B90567" w14:textId="77777777" w:rsidR="005658AB" w:rsidRDefault="5F884969" w:rsidP="5F884969">
      <w:pPr>
        <w:spacing w:after="0"/>
        <w:ind w:left="360"/>
        <w:rPr>
          <w:rFonts w:ascii="Calibri" w:hAnsi="Calibri"/>
          <w:sz w:val="20"/>
          <w:szCs w:val="20"/>
        </w:rPr>
      </w:pPr>
      <w:r w:rsidRPr="5F884969">
        <w:rPr>
          <w:rFonts w:ascii="Calibri" w:hAnsi="Calibri"/>
          <w:b/>
          <w:bCs/>
          <w:i/>
          <w:iCs/>
          <w:sz w:val="20"/>
          <w:szCs w:val="20"/>
        </w:rPr>
        <w:t>Figure 4:</w:t>
      </w:r>
      <w:r w:rsidRPr="5F884969">
        <w:rPr>
          <w:rFonts w:ascii="Calibri" w:hAnsi="Calibri"/>
          <w:sz w:val="20"/>
          <w:szCs w:val="20"/>
        </w:rPr>
        <w:t xml:space="preserve"> 2015 ACS Gender Demographics Over Time in Burlington, VT. Source: Decennial Census 1990, 2000, 2010; 2011-2015 ACS.</w:t>
      </w:r>
    </w:p>
    <w:p w14:paraId="022E0DD8" w14:textId="5B1EBD49" w:rsidR="005658AB" w:rsidRPr="005658AB" w:rsidRDefault="005658AB" w:rsidP="005658AB">
      <w:pPr>
        <w:spacing w:after="0"/>
        <w:ind w:left="360"/>
        <w:rPr>
          <w:rFonts w:ascii="Calibri" w:hAnsi="Calibri"/>
          <w:sz w:val="20"/>
          <w:szCs w:val="20"/>
        </w:rPr>
      </w:pPr>
      <w:r>
        <w:rPr>
          <w:noProof/>
          <w:lang w:eastAsia="en-US"/>
        </w:rPr>
        <w:drawing>
          <wp:inline distT="0" distB="0" distL="0" distR="0" wp14:anchorId="45507F0C" wp14:editId="3C26CDEB">
            <wp:extent cx="5943600" cy="2390775"/>
            <wp:effectExtent l="0" t="0" r="0" b="222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113BBF" w14:textId="77777777" w:rsidR="005658AB" w:rsidRDefault="005658AB" w:rsidP="005658AB">
      <w:pPr>
        <w:spacing w:after="0"/>
        <w:rPr>
          <w:rFonts w:ascii="Calibri" w:hAnsi="Calibri"/>
        </w:rPr>
      </w:pPr>
    </w:p>
    <w:p w14:paraId="36A419AE" w14:textId="70C34683" w:rsidR="00605332" w:rsidRPr="00605332" w:rsidRDefault="5F884969" w:rsidP="002F7C2E">
      <w:pPr>
        <w:spacing w:after="0"/>
        <w:ind w:firstLine="360"/>
        <w:outlineLvl w:val="0"/>
        <w:rPr>
          <w:rFonts w:ascii="Calibri" w:hAnsi="Calibri"/>
          <w:sz w:val="20"/>
          <w:szCs w:val="20"/>
        </w:rPr>
      </w:pPr>
      <w:r w:rsidRPr="5F884969">
        <w:rPr>
          <w:rFonts w:ascii="Calibri" w:hAnsi="Calibri"/>
          <w:b/>
          <w:bCs/>
          <w:i/>
          <w:iCs/>
          <w:sz w:val="20"/>
          <w:szCs w:val="20"/>
        </w:rPr>
        <w:lastRenderedPageBreak/>
        <w:t>Table 7:</w:t>
      </w:r>
      <w:r w:rsidRPr="5F884969">
        <w:rPr>
          <w:rFonts w:ascii="Calibri" w:hAnsi="Calibri"/>
          <w:sz w:val="20"/>
          <w:szCs w:val="20"/>
        </w:rPr>
        <w:t xml:space="preserve"> Family Type Demographics for City of Burlington, VT. Source: </w:t>
      </w:r>
      <w:r w:rsidRPr="5F884969">
        <w:rPr>
          <w:sz w:val="20"/>
          <w:szCs w:val="20"/>
        </w:rPr>
        <w:t>Decennial Census 2010; ACS</w:t>
      </w:r>
    </w:p>
    <w:tbl>
      <w:tblPr>
        <w:tblStyle w:val="TableGrid"/>
        <w:tblW w:w="0" w:type="auto"/>
        <w:tblInd w:w="544" w:type="dxa"/>
        <w:tblLook w:val="04A0" w:firstRow="1" w:lastRow="0" w:firstColumn="1" w:lastColumn="0" w:noHBand="0" w:noVBand="1"/>
      </w:tblPr>
      <w:tblGrid>
        <w:gridCol w:w="3959"/>
        <w:gridCol w:w="1270"/>
        <w:gridCol w:w="1235"/>
      </w:tblGrid>
      <w:tr w:rsidR="00605332" w:rsidRPr="00F116F7" w14:paraId="2B5EAD3A" w14:textId="77777777" w:rsidTr="5F884969">
        <w:trPr>
          <w:trHeight w:val="420"/>
        </w:trPr>
        <w:tc>
          <w:tcPr>
            <w:tcW w:w="3959" w:type="dxa"/>
            <w:noWrap/>
            <w:hideMark/>
          </w:tcPr>
          <w:p w14:paraId="5079E73A" w14:textId="02196BA1" w:rsidR="00605332" w:rsidRPr="00F116F7" w:rsidRDefault="5F884969" w:rsidP="5F884969">
            <w:pPr>
              <w:ind w:left="360"/>
              <w:rPr>
                <w:rFonts w:ascii="Calibri" w:hAnsi="Calibri"/>
                <w:b/>
                <w:bCs/>
              </w:rPr>
            </w:pPr>
            <w:r w:rsidRPr="5F884969">
              <w:rPr>
                <w:rFonts w:ascii="Calibri" w:hAnsi="Calibri"/>
                <w:b/>
                <w:bCs/>
              </w:rPr>
              <w:t>Table 7</w:t>
            </w:r>
            <w:r w:rsidR="00561146">
              <w:rPr>
                <w:rFonts w:ascii="Calibri" w:hAnsi="Calibri"/>
                <w:b/>
                <w:bCs/>
              </w:rPr>
              <w:t xml:space="preserve"> a</w:t>
            </w:r>
            <w:r w:rsidRPr="5F884969">
              <w:rPr>
                <w:rFonts w:ascii="Calibri" w:hAnsi="Calibri"/>
                <w:b/>
                <w:bCs/>
              </w:rPr>
              <w:t>: Family Type Demographics</w:t>
            </w:r>
          </w:p>
        </w:tc>
        <w:tc>
          <w:tcPr>
            <w:tcW w:w="2505" w:type="dxa"/>
            <w:gridSpan w:val="2"/>
            <w:hideMark/>
          </w:tcPr>
          <w:p w14:paraId="6FA86CB1" w14:textId="77777777" w:rsidR="00605332" w:rsidRPr="00F116F7" w:rsidRDefault="5F884969" w:rsidP="5F884969">
            <w:pPr>
              <w:ind w:left="360"/>
              <w:rPr>
                <w:rFonts w:ascii="Calibri" w:hAnsi="Calibri"/>
                <w:b/>
                <w:bCs/>
              </w:rPr>
            </w:pPr>
            <w:r w:rsidRPr="5F884969">
              <w:rPr>
                <w:rFonts w:ascii="Calibri" w:hAnsi="Calibri"/>
                <w:b/>
                <w:bCs/>
              </w:rPr>
              <w:t xml:space="preserve">Burlington, VT </w:t>
            </w:r>
          </w:p>
        </w:tc>
      </w:tr>
      <w:tr w:rsidR="00605332" w:rsidRPr="00F116F7" w14:paraId="7A70646B" w14:textId="77777777" w:rsidTr="5F884969">
        <w:trPr>
          <w:trHeight w:val="420"/>
        </w:trPr>
        <w:tc>
          <w:tcPr>
            <w:tcW w:w="3959" w:type="dxa"/>
            <w:hideMark/>
          </w:tcPr>
          <w:p w14:paraId="6A284556" w14:textId="77777777" w:rsidR="00605332" w:rsidRPr="00F116F7" w:rsidRDefault="5F884969" w:rsidP="5F884969">
            <w:pPr>
              <w:ind w:left="360"/>
              <w:rPr>
                <w:rFonts w:ascii="Calibri" w:hAnsi="Calibri"/>
              </w:rPr>
            </w:pPr>
            <w:r w:rsidRPr="5F884969">
              <w:rPr>
                <w:rFonts w:ascii="Calibri" w:hAnsi="Calibri"/>
              </w:rPr>
              <w:t>Families with children</w:t>
            </w:r>
          </w:p>
        </w:tc>
        <w:tc>
          <w:tcPr>
            <w:tcW w:w="1270" w:type="dxa"/>
            <w:noWrap/>
            <w:hideMark/>
          </w:tcPr>
          <w:p w14:paraId="25F8E815" w14:textId="77777777" w:rsidR="00605332" w:rsidRPr="00F116F7" w:rsidRDefault="5F884969" w:rsidP="5F884969">
            <w:pPr>
              <w:ind w:left="360"/>
              <w:rPr>
                <w:rFonts w:ascii="Calibri" w:hAnsi="Calibri"/>
              </w:rPr>
            </w:pPr>
            <w:r w:rsidRPr="5F884969">
              <w:rPr>
                <w:rFonts w:ascii="Calibri" w:hAnsi="Calibri"/>
              </w:rPr>
              <w:t>2,986</w:t>
            </w:r>
          </w:p>
        </w:tc>
        <w:tc>
          <w:tcPr>
            <w:tcW w:w="1235" w:type="dxa"/>
            <w:noWrap/>
            <w:hideMark/>
          </w:tcPr>
          <w:p w14:paraId="58EC406C" w14:textId="77777777" w:rsidR="00605332" w:rsidRPr="00F116F7" w:rsidRDefault="5F884969" w:rsidP="5F884969">
            <w:pPr>
              <w:ind w:left="360"/>
              <w:rPr>
                <w:rFonts w:ascii="Calibri" w:hAnsi="Calibri"/>
              </w:rPr>
            </w:pPr>
            <w:r w:rsidRPr="5F884969">
              <w:rPr>
                <w:rFonts w:ascii="Calibri" w:hAnsi="Calibri"/>
              </w:rPr>
              <w:t>45.51%</w:t>
            </w:r>
          </w:p>
        </w:tc>
      </w:tr>
    </w:tbl>
    <w:p w14:paraId="7C82EDF5" w14:textId="77777777" w:rsidR="00605332" w:rsidRDefault="00605332" w:rsidP="00605332">
      <w:pPr>
        <w:rPr>
          <w:rFonts w:ascii="Calibri" w:hAnsi="Calibri"/>
        </w:rPr>
      </w:pPr>
    </w:p>
    <w:p w14:paraId="03D1CBBF" w14:textId="77777777" w:rsidR="00BD0F11" w:rsidRDefault="5F884969" w:rsidP="5F884969">
      <w:pPr>
        <w:ind w:left="360"/>
        <w:rPr>
          <w:rFonts w:ascii="Calibri" w:hAnsi="Calibri"/>
        </w:rPr>
      </w:pPr>
      <w:r w:rsidRPr="5F884969">
        <w:rPr>
          <w:rFonts w:ascii="Calibri" w:hAnsi="Calibri"/>
        </w:rPr>
        <w:t>For the Burlington jurisdiction, less than half (45.51%) of the households consist of families with children. According to the trend table, this percentage spiked in 2000 but then declined in 2010.</w:t>
      </w:r>
    </w:p>
    <w:tbl>
      <w:tblPr>
        <w:tblW w:w="11678" w:type="dxa"/>
        <w:tblInd w:w="-1445" w:type="dxa"/>
        <w:tblLook w:val="04A0" w:firstRow="1" w:lastRow="0" w:firstColumn="1" w:lastColumn="0" w:noHBand="0" w:noVBand="1"/>
      </w:tblPr>
      <w:tblGrid>
        <w:gridCol w:w="2197"/>
        <w:gridCol w:w="1987"/>
        <w:gridCol w:w="1168"/>
        <w:gridCol w:w="937"/>
        <w:gridCol w:w="1167"/>
        <w:gridCol w:w="937"/>
        <w:gridCol w:w="1167"/>
        <w:gridCol w:w="937"/>
        <w:gridCol w:w="1181"/>
      </w:tblGrid>
      <w:tr w:rsidR="00D8027B" w:rsidRPr="005511FD" w14:paraId="308E5AED" w14:textId="77777777" w:rsidTr="005511FD">
        <w:trPr>
          <w:trHeight w:val="251"/>
        </w:trPr>
        <w:tc>
          <w:tcPr>
            <w:tcW w:w="2197" w:type="dxa"/>
            <w:tcBorders>
              <w:top w:val="single" w:sz="4" w:space="0" w:color="auto"/>
              <w:left w:val="single" w:sz="4" w:space="0" w:color="auto"/>
              <w:bottom w:val="single" w:sz="4" w:space="0" w:color="auto"/>
              <w:right w:val="nil"/>
            </w:tcBorders>
            <w:shd w:val="clear" w:color="auto" w:fill="auto"/>
            <w:noWrap/>
            <w:vAlign w:val="bottom"/>
            <w:hideMark/>
          </w:tcPr>
          <w:p w14:paraId="57439165" w14:textId="2442B2AB" w:rsidR="00D8027B" w:rsidRPr="005511FD" w:rsidRDefault="00D8027B" w:rsidP="00D8027B">
            <w:pPr>
              <w:spacing w:after="0" w:line="240" w:lineRule="auto"/>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 </w:t>
            </w:r>
            <w:r w:rsidR="00561146">
              <w:rPr>
                <w:rFonts w:ascii="Calibri" w:eastAsia="Times New Roman" w:hAnsi="Calibri" w:cs="Times New Roman"/>
                <w:b/>
                <w:bCs/>
                <w:color w:val="000000"/>
                <w:sz w:val="24"/>
                <w:szCs w:val="24"/>
                <w:lang w:eastAsia="en-US"/>
              </w:rPr>
              <w:t>Table 7 b</w:t>
            </w:r>
          </w:p>
        </w:tc>
        <w:tc>
          <w:tcPr>
            <w:tcW w:w="948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562DA7E2"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(Burlington, VT CDBG, HOME) Jurisdiction</w:t>
            </w:r>
          </w:p>
        </w:tc>
      </w:tr>
      <w:tr w:rsidR="00D8027B" w:rsidRPr="005511FD" w14:paraId="1BA73142" w14:textId="77777777" w:rsidTr="005511FD">
        <w:trPr>
          <w:trHeight w:val="121"/>
        </w:trPr>
        <w:tc>
          <w:tcPr>
            <w:tcW w:w="2197" w:type="dxa"/>
            <w:tcBorders>
              <w:top w:val="nil"/>
              <w:left w:val="single" w:sz="4" w:space="0" w:color="auto"/>
              <w:bottom w:val="nil"/>
              <w:right w:val="single" w:sz="4" w:space="0" w:color="auto"/>
            </w:tcBorders>
            <w:shd w:val="clear" w:color="000000" w:fill="DCE6F1"/>
            <w:noWrap/>
            <w:vAlign w:val="bottom"/>
            <w:hideMark/>
          </w:tcPr>
          <w:p w14:paraId="6042F70F" w14:textId="77777777" w:rsidR="00D8027B" w:rsidRPr="005511FD" w:rsidRDefault="00D8027B" w:rsidP="00D8027B">
            <w:pPr>
              <w:spacing w:after="0" w:line="240" w:lineRule="auto"/>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 </w:t>
            </w:r>
          </w:p>
        </w:tc>
        <w:tc>
          <w:tcPr>
            <w:tcW w:w="3155" w:type="dxa"/>
            <w:gridSpan w:val="2"/>
            <w:tcBorders>
              <w:top w:val="single" w:sz="4" w:space="0" w:color="auto"/>
              <w:left w:val="nil"/>
              <w:bottom w:val="nil"/>
              <w:right w:val="nil"/>
            </w:tcBorders>
            <w:shd w:val="clear" w:color="000000" w:fill="DCE6F1"/>
            <w:noWrap/>
            <w:vAlign w:val="center"/>
            <w:hideMark/>
          </w:tcPr>
          <w:p w14:paraId="040CE6CD"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1990 Trend</w:t>
            </w:r>
          </w:p>
        </w:tc>
        <w:tc>
          <w:tcPr>
            <w:tcW w:w="2104" w:type="dxa"/>
            <w:gridSpan w:val="2"/>
            <w:tcBorders>
              <w:top w:val="single" w:sz="4" w:space="0" w:color="auto"/>
              <w:left w:val="nil"/>
              <w:bottom w:val="nil"/>
              <w:right w:val="nil"/>
            </w:tcBorders>
            <w:shd w:val="clear" w:color="000000" w:fill="DCE6F1"/>
            <w:noWrap/>
            <w:vAlign w:val="center"/>
            <w:hideMark/>
          </w:tcPr>
          <w:p w14:paraId="7DFEEC9C" w14:textId="77777777" w:rsidR="00D8027B" w:rsidRPr="005511FD" w:rsidRDefault="00D8027B" w:rsidP="00D8027B">
            <w:pPr>
              <w:spacing w:after="0" w:line="240" w:lineRule="auto"/>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2000 Trend</w:t>
            </w:r>
          </w:p>
        </w:tc>
        <w:tc>
          <w:tcPr>
            <w:tcW w:w="2104" w:type="dxa"/>
            <w:gridSpan w:val="2"/>
            <w:tcBorders>
              <w:top w:val="single" w:sz="4" w:space="0" w:color="auto"/>
              <w:left w:val="nil"/>
              <w:bottom w:val="nil"/>
              <w:right w:val="nil"/>
            </w:tcBorders>
            <w:shd w:val="clear" w:color="000000" w:fill="DCE6F1"/>
            <w:noWrap/>
            <w:vAlign w:val="center"/>
            <w:hideMark/>
          </w:tcPr>
          <w:p w14:paraId="37C807F8"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2010 Trend</w:t>
            </w:r>
          </w:p>
        </w:tc>
        <w:tc>
          <w:tcPr>
            <w:tcW w:w="2116" w:type="dxa"/>
            <w:gridSpan w:val="2"/>
            <w:tcBorders>
              <w:top w:val="single" w:sz="4" w:space="0" w:color="auto"/>
              <w:left w:val="nil"/>
              <w:bottom w:val="nil"/>
              <w:right w:val="single" w:sz="4" w:space="0" w:color="000000"/>
            </w:tcBorders>
            <w:shd w:val="clear" w:color="000000" w:fill="DCE6F1"/>
            <w:noWrap/>
            <w:vAlign w:val="center"/>
            <w:hideMark/>
          </w:tcPr>
          <w:p w14:paraId="0FE69322"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Current</w:t>
            </w:r>
          </w:p>
        </w:tc>
      </w:tr>
      <w:tr w:rsidR="00D8027B" w:rsidRPr="005511FD" w14:paraId="7ADACFC8" w14:textId="77777777" w:rsidTr="005511FD">
        <w:trPr>
          <w:trHeight w:val="121"/>
        </w:trPr>
        <w:tc>
          <w:tcPr>
            <w:tcW w:w="2197" w:type="dxa"/>
            <w:tcBorders>
              <w:top w:val="nil"/>
              <w:left w:val="single" w:sz="4" w:space="0" w:color="auto"/>
              <w:bottom w:val="single" w:sz="4" w:space="0" w:color="auto"/>
              <w:right w:val="single" w:sz="4" w:space="0" w:color="auto"/>
            </w:tcBorders>
            <w:shd w:val="clear" w:color="000000" w:fill="DCE6F1"/>
            <w:noWrap/>
            <w:vAlign w:val="bottom"/>
            <w:hideMark/>
          </w:tcPr>
          <w:p w14:paraId="78196366" w14:textId="4A6546A0" w:rsidR="00D8027B" w:rsidRPr="005511FD" w:rsidRDefault="00D8027B" w:rsidP="00D8027B">
            <w:pPr>
              <w:spacing w:after="0" w:line="240" w:lineRule="auto"/>
              <w:rPr>
                <w:rFonts w:ascii="Calibri" w:eastAsia="Times New Roman" w:hAnsi="Calibri" w:cs="Times New Roman"/>
                <w:b/>
                <w:bCs/>
                <w:color w:val="000000"/>
                <w:sz w:val="24"/>
                <w:szCs w:val="24"/>
                <w:lang w:eastAsia="en-US"/>
              </w:rPr>
            </w:pPr>
          </w:p>
        </w:tc>
        <w:tc>
          <w:tcPr>
            <w:tcW w:w="1987" w:type="dxa"/>
            <w:tcBorders>
              <w:top w:val="nil"/>
              <w:left w:val="nil"/>
              <w:bottom w:val="single" w:sz="4" w:space="0" w:color="auto"/>
              <w:right w:val="nil"/>
            </w:tcBorders>
            <w:shd w:val="clear" w:color="000000" w:fill="DCE6F1"/>
            <w:noWrap/>
            <w:vAlign w:val="bottom"/>
            <w:hideMark/>
          </w:tcPr>
          <w:p w14:paraId="010749A1"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w:t>
            </w:r>
          </w:p>
        </w:tc>
        <w:tc>
          <w:tcPr>
            <w:tcW w:w="1168" w:type="dxa"/>
            <w:tcBorders>
              <w:top w:val="nil"/>
              <w:left w:val="nil"/>
              <w:bottom w:val="single" w:sz="4" w:space="0" w:color="auto"/>
              <w:right w:val="nil"/>
            </w:tcBorders>
            <w:shd w:val="clear" w:color="000000" w:fill="DCE6F1"/>
            <w:noWrap/>
            <w:vAlign w:val="bottom"/>
            <w:hideMark/>
          </w:tcPr>
          <w:p w14:paraId="0FA0457C" w14:textId="77777777" w:rsidR="00D8027B" w:rsidRPr="005511FD" w:rsidRDefault="00D8027B" w:rsidP="00D8027B">
            <w:pPr>
              <w:spacing w:after="0" w:line="240" w:lineRule="auto"/>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w:t>
            </w:r>
          </w:p>
        </w:tc>
        <w:tc>
          <w:tcPr>
            <w:tcW w:w="937" w:type="dxa"/>
            <w:tcBorders>
              <w:top w:val="nil"/>
              <w:left w:val="nil"/>
              <w:bottom w:val="single" w:sz="4" w:space="0" w:color="auto"/>
              <w:right w:val="nil"/>
            </w:tcBorders>
            <w:shd w:val="clear" w:color="000000" w:fill="DCE6F1"/>
            <w:noWrap/>
            <w:vAlign w:val="bottom"/>
            <w:hideMark/>
          </w:tcPr>
          <w:p w14:paraId="12966F08" w14:textId="77777777" w:rsidR="00D8027B" w:rsidRPr="005511FD" w:rsidRDefault="00D8027B" w:rsidP="00D8027B">
            <w:pPr>
              <w:spacing w:after="0" w:line="240" w:lineRule="auto"/>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w:t>
            </w:r>
          </w:p>
        </w:tc>
        <w:tc>
          <w:tcPr>
            <w:tcW w:w="1167" w:type="dxa"/>
            <w:tcBorders>
              <w:top w:val="nil"/>
              <w:left w:val="nil"/>
              <w:bottom w:val="single" w:sz="4" w:space="0" w:color="auto"/>
              <w:right w:val="nil"/>
            </w:tcBorders>
            <w:shd w:val="clear" w:color="000000" w:fill="DCE6F1"/>
            <w:noWrap/>
            <w:vAlign w:val="bottom"/>
            <w:hideMark/>
          </w:tcPr>
          <w:p w14:paraId="302E41BD"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w:t>
            </w:r>
          </w:p>
        </w:tc>
        <w:tc>
          <w:tcPr>
            <w:tcW w:w="937" w:type="dxa"/>
            <w:tcBorders>
              <w:top w:val="nil"/>
              <w:left w:val="nil"/>
              <w:bottom w:val="single" w:sz="4" w:space="0" w:color="auto"/>
              <w:right w:val="nil"/>
            </w:tcBorders>
            <w:shd w:val="clear" w:color="000000" w:fill="DCE6F1"/>
            <w:noWrap/>
            <w:vAlign w:val="bottom"/>
            <w:hideMark/>
          </w:tcPr>
          <w:p w14:paraId="799CB7DA"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w:t>
            </w:r>
          </w:p>
        </w:tc>
        <w:tc>
          <w:tcPr>
            <w:tcW w:w="1167" w:type="dxa"/>
            <w:tcBorders>
              <w:top w:val="nil"/>
              <w:left w:val="nil"/>
              <w:bottom w:val="single" w:sz="4" w:space="0" w:color="auto"/>
              <w:right w:val="nil"/>
            </w:tcBorders>
            <w:shd w:val="clear" w:color="000000" w:fill="DCE6F1"/>
            <w:noWrap/>
            <w:vAlign w:val="bottom"/>
            <w:hideMark/>
          </w:tcPr>
          <w:p w14:paraId="0C4613A2"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w:t>
            </w:r>
          </w:p>
        </w:tc>
        <w:tc>
          <w:tcPr>
            <w:tcW w:w="937" w:type="dxa"/>
            <w:tcBorders>
              <w:top w:val="nil"/>
              <w:left w:val="nil"/>
              <w:bottom w:val="single" w:sz="4" w:space="0" w:color="auto"/>
              <w:right w:val="nil"/>
            </w:tcBorders>
            <w:shd w:val="clear" w:color="000000" w:fill="DCE6F1"/>
            <w:noWrap/>
            <w:vAlign w:val="bottom"/>
            <w:hideMark/>
          </w:tcPr>
          <w:p w14:paraId="776BD93B"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w:t>
            </w:r>
          </w:p>
        </w:tc>
        <w:tc>
          <w:tcPr>
            <w:tcW w:w="1166" w:type="dxa"/>
            <w:tcBorders>
              <w:top w:val="nil"/>
              <w:left w:val="nil"/>
              <w:bottom w:val="single" w:sz="4" w:space="0" w:color="auto"/>
              <w:right w:val="single" w:sz="4" w:space="0" w:color="auto"/>
            </w:tcBorders>
            <w:shd w:val="clear" w:color="000000" w:fill="DCE6F1"/>
            <w:noWrap/>
            <w:vAlign w:val="bottom"/>
            <w:hideMark/>
          </w:tcPr>
          <w:p w14:paraId="7F79B327" w14:textId="77777777" w:rsidR="00D8027B" w:rsidRPr="005511FD" w:rsidRDefault="00D8027B" w:rsidP="00D8027B">
            <w:pPr>
              <w:spacing w:after="0" w:line="240" w:lineRule="auto"/>
              <w:jc w:val="center"/>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w:t>
            </w:r>
          </w:p>
        </w:tc>
      </w:tr>
      <w:tr w:rsidR="00D8027B" w:rsidRPr="005511FD" w14:paraId="7050A623" w14:textId="77777777" w:rsidTr="005511FD">
        <w:trPr>
          <w:trHeight w:val="121"/>
        </w:trPr>
        <w:tc>
          <w:tcPr>
            <w:tcW w:w="219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90EC99A" w14:textId="77777777" w:rsidR="00D8027B" w:rsidRPr="005511FD" w:rsidRDefault="00D8027B" w:rsidP="00D8027B">
            <w:pPr>
              <w:spacing w:after="0" w:line="240" w:lineRule="auto"/>
              <w:rPr>
                <w:rFonts w:ascii="Calibri" w:eastAsia="Times New Roman" w:hAnsi="Calibri" w:cs="Times New Roman"/>
                <w:b/>
                <w:bCs/>
                <w:color w:val="000000"/>
                <w:sz w:val="24"/>
                <w:szCs w:val="24"/>
                <w:lang w:eastAsia="en-US"/>
              </w:rPr>
            </w:pPr>
            <w:r w:rsidRPr="005511FD">
              <w:rPr>
                <w:rFonts w:ascii="Calibri" w:eastAsia="Times New Roman" w:hAnsi="Calibri" w:cs="Times New Roman"/>
                <w:b/>
                <w:bCs/>
                <w:color w:val="000000"/>
                <w:sz w:val="24"/>
                <w:szCs w:val="24"/>
                <w:lang w:eastAsia="en-US"/>
              </w:rPr>
              <w:t>Family Type</w:t>
            </w:r>
          </w:p>
        </w:tc>
        <w:tc>
          <w:tcPr>
            <w:tcW w:w="1987" w:type="dxa"/>
            <w:tcBorders>
              <w:top w:val="single" w:sz="4" w:space="0" w:color="auto"/>
              <w:left w:val="nil"/>
              <w:bottom w:val="single" w:sz="4" w:space="0" w:color="auto"/>
              <w:right w:val="nil"/>
            </w:tcBorders>
            <w:shd w:val="clear" w:color="000000" w:fill="DCE6F1"/>
            <w:noWrap/>
            <w:vAlign w:val="bottom"/>
            <w:hideMark/>
          </w:tcPr>
          <w:p w14:paraId="0758F603" w14:textId="77777777" w:rsidR="00D8027B" w:rsidRPr="005511FD" w:rsidRDefault="00D8027B" w:rsidP="00D8027B">
            <w:pPr>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 </w:t>
            </w:r>
          </w:p>
        </w:tc>
        <w:tc>
          <w:tcPr>
            <w:tcW w:w="1168" w:type="dxa"/>
            <w:tcBorders>
              <w:top w:val="single" w:sz="4" w:space="0" w:color="auto"/>
              <w:left w:val="nil"/>
              <w:bottom w:val="single" w:sz="4" w:space="0" w:color="auto"/>
              <w:right w:val="nil"/>
            </w:tcBorders>
            <w:shd w:val="clear" w:color="000000" w:fill="DCE6F1"/>
            <w:noWrap/>
            <w:vAlign w:val="bottom"/>
            <w:hideMark/>
          </w:tcPr>
          <w:p w14:paraId="7AE27521" w14:textId="77777777" w:rsidR="00D8027B" w:rsidRPr="005511FD" w:rsidRDefault="00D8027B" w:rsidP="00D8027B">
            <w:pPr>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 </w:t>
            </w:r>
          </w:p>
        </w:tc>
        <w:tc>
          <w:tcPr>
            <w:tcW w:w="937" w:type="dxa"/>
            <w:tcBorders>
              <w:top w:val="single" w:sz="4" w:space="0" w:color="auto"/>
              <w:left w:val="nil"/>
              <w:bottom w:val="single" w:sz="4" w:space="0" w:color="auto"/>
              <w:right w:val="nil"/>
            </w:tcBorders>
            <w:shd w:val="clear" w:color="000000" w:fill="DCE6F1"/>
            <w:noWrap/>
            <w:vAlign w:val="bottom"/>
            <w:hideMark/>
          </w:tcPr>
          <w:p w14:paraId="5CB45AFD" w14:textId="77777777" w:rsidR="00D8027B" w:rsidRPr="005511FD" w:rsidRDefault="00D8027B" w:rsidP="00D8027B">
            <w:pPr>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 </w:t>
            </w:r>
          </w:p>
        </w:tc>
        <w:tc>
          <w:tcPr>
            <w:tcW w:w="1167" w:type="dxa"/>
            <w:tcBorders>
              <w:top w:val="single" w:sz="4" w:space="0" w:color="auto"/>
              <w:left w:val="nil"/>
              <w:bottom w:val="single" w:sz="4" w:space="0" w:color="auto"/>
              <w:right w:val="nil"/>
            </w:tcBorders>
            <w:shd w:val="clear" w:color="000000" w:fill="DCE6F1"/>
            <w:noWrap/>
            <w:vAlign w:val="bottom"/>
            <w:hideMark/>
          </w:tcPr>
          <w:p w14:paraId="0E137A40" w14:textId="77777777" w:rsidR="00D8027B" w:rsidRPr="005511FD" w:rsidRDefault="00D8027B" w:rsidP="00D8027B">
            <w:pPr>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 </w:t>
            </w:r>
          </w:p>
        </w:tc>
        <w:tc>
          <w:tcPr>
            <w:tcW w:w="937" w:type="dxa"/>
            <w:tcBorders>
              <w:top w:val="single" w:sz="4" w:space="0" w:color="auto"/>
              <w:left w:val="nil"/>
              <w:bottom w:val="single" w:sz="4" w:space="0" w:color="auto"/>
              <w:right w:val="nil"/>
            </w:tcBorders>
            <w:shd w:val="clear" w:color="000000" w:fill="DCE6F1"/>
            <w:noWrap/>
            <w:vAlign w:val="bottom"/>
            <w:hideMark/>
          </w:tcPr>
          <w:p w14:paraId="1C4590AA" w14:textId="77777777" w:rsidR="00D8027B" w:rsidRPr="005511FD" w:rsidRDefault="00D8027B" w:rsidP="00D8027B">
            <w:pPr>
              <w:tabs>
                <w:tab w:val="left" w:pos="172"/>
              </w:tabs>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 </w:t>
            </w:r>
          </w:p>
        </w:tc>
        <w:tc>
          <w:tcPr>
            <w:tcW w:w="1167" w:type="dxa"/>
            <w:tcBorders>
              <w:top w:val="single" w:sz="4" w:space="0" w:color="auto"/>
              <w:left w:val="nil"/>
              <w:bottom w:val="single" w:sz="4" w:space="0" w:color="auto"/>
              <w:right w:val="nil"/>
            </w:tcBorders>
            <w:shd w:val="clear" w:color="000000" w:fill="DCE6F1"/>
            <w:noWrap/>
            <w:vAlign w:val="bottom"/>
            <w:hideMark/>
          </w:tcPr>
          <w:p w14:paraId="33CB9211" w14:textId="77777777" w:rsidR="00D8027B" w:rsidRPr="005511FD" w:rsidRDefault="00D8027B" w:rsidP="00D8027B">
            <w:pPr>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 </w:t>
            </w:r>
          </w:p>
        </w:tc>
        <w:tc>
          <w:tcPr>
            <w:tcW w:w="937" w:type="dxa"/>
            <w:tcBorders>
              <w:top w:val="single" w:sz="4" w:space="0" w:color="auto"/>
              <w:left w:val="nil"/>
              <w:bottom w:val="single" w:sz="4" w:space="0" w:color="auto"/>
              <w:right w:val="nil"/>
            </w:tcBorders>
            <w:shd w:val="clear" w:color="000000" w:fill="DCE6F1"/>
            <w:noWrap/>
            <w:vAlign w:val="bottom"/>
            <w:hideMark/>
          </w:tcPr>
          <w:p w14:paraId="23AF5485" w14:textId="77777777" w:rsidR="00D8027B" w:rsidRPr="005511FD" w:rsidRDefault="00D8027B" w:rsidP="00D8027B">
            <w:pPr>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 </w:t>
            </w:r>
          </w:p>
        </w:tc>
        <w:tc>
          <w:tcPr>
            <w:tcW w:w="1166" w:type="dxa"/>
            <w:tcBorders>
              <w:top w:val="single" w:sz="4" w:space="0" w:color="auto"/>
              <w:left w:val="nil"/>
              <w:bottom w:val="single" w:sz="4" w:space="0" w:color="auto"/>
              <w:right w:val="nil"/>
            </w:tcBorders>
            <w:shd w:val="clear" w:color="000000" w:fill="DCE6F1"/>
            <w:noWrap/>
            <w:vAlign w:val="bottom"/>
            <w:hideMark/>
          </w:tcPr>
          <w:p w14:paraId="184A2A97" w14:textId="77777777" w:rsidR="00D8027B" w:rsidRPr="005511FD" w:rsidRDefault="00D8027B" w:rsidP="00D8027B">
            <w:pPr>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 </w:t>
            </w:r>
          </w:p>
        </w:tc>
      </w:tr>
      <w:tr w:rsidR="00D8027B" w:rsidRPr="005511FD" w14:paraId="4B1D9EE3" w14:textId="77777777" w:rsidTr="005511FD">
        <w:trPr>
          <w:trHeight w:val="121"/>
        </w:trPr>
        <w:tc>
          <w:tcPr>
            <w:tcW w:w="2197" w:type="dxa"/>
            <w:tcBorders>
              <w:top w:val="nil"/>
              <w:left w:val="single" w:sz="4" w:space="0" w:color="auto"/>
              <w:bottom w:val="single" w:sz="4" w:space="0" w:color="auto"/>
              <w:right w:val="single" w:sz="4" w:space="0" w:color="auto"/>
            </w:tcBorders>
            <w:shd w:val="clear" w:color="auto" w:fill="auto"/>
            <w:noWrap/>
            <w:vAlign w:val="bottom"/>
            <w:hideMark/>
          </w:tcPr>
          <w:p w14:paraId="61029143" w14:textId="77777777" w:rsidR="00D8027B" w:rsidRPr="005511FD" w:rsidRDefault="00D8027B" w:rsidP="00D8027B">
            <w:pPr>
              <w:spacing w:after="0" w:line="240" w:lineRule="auto"/>
              <w:ind w:firstLineChars="100" w:firstLine="240"/>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Families with children</w:t>
            </w:r>
          </w:p>
        </w:tc>
        <w:tc>
          <w:tcPr>
            <w:tcW w:w="1987" w:type="dxa"/>
            <w:tcBorders>
              <w:top w:val="nil"/>
              <w:left w:val="nil"/>
              <w:bottom w:val="single" w:sz="4" w:space="0" w:color="auto"/>
              <w:right w:val="nil"/>
            </w:tcBorders>
            <w:shd w:val="clear" w:color="auto" w:fill="auto"/>
            <w:noWrap/>
            <w:vAlign w:val="bottom"/>
            <w:hideMark/>
          </w:tcPr>
          <w:p w14:paraId="3A8B9D9E" w14:textId="77777777" w:rsidR="00D8027B" w:rsidRPr="005511FD" w:rsidRDefault="00D8027B" w:rsidP="00D8027B">
            <w:pPr>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3,504</w:t>
            </w:r>
          </w:p>
        </w:tc>
        <w:tc>
          <w:tcPr>
            <w:tcW w:w="1168" w:type="dxa"/>
            <w:tcBorders>
              <w:top w:val="nil"/>
              <w:left w:val="nil"/>
              <w:bottom w:val="single" w:sz="4" w:space="0" w:color="auto"/>
              <w:right w:val="nil"/>
            </w:tcBorders>
            <w:shd w:val="clear" w:color="auto" w:fill="auto"/>
            <w:noWrap/>
            <w:vAlign w:val="bottom"/>
            <w:hideMark/>
          </w:tcPr>
          <w:p w14:paraId="192A8DEB" w14:textId="77777777" w:rsidR="00D8027B" w:rsidRPr="005511FD" w:rsidRDefault="00D8027B" w:rsidP="00D8027B">
            <w:pPr>
              <w:spacing w:after="0" w:line="240" w:lineRule="auto"/>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48.96%</w:t>
            </w:r>
          </w:p>
        </w:tc>
        <w:tc>
          <w:tcPr>
            <w:tcW w:w="937" w:type="dxa"/>
            <w:tcBorders>
              <w:top w:val="nil"/>
              <w:left w:val="nil"/>
              <w:bottom w:val="single" w:sz="4" w:space="0" w:color="auto"/>
              <w:right w:val="nil"/>
            </w:tcBorders>
            <w:shd w:val="clear" w:color="auto" w:fill="auto"/>
            <w:noWrap/>
            <w:vAlign w:val="bottom"/>
            <w:hideMark/>
          </w:tcPr>
          <w:p w14:paraId="109329D8" w14:textId="77777777" w:rsidR="00D8027B" w:rsidRPr="005511FD" w:rsidRDefault="00D8027B" w:rsidP="00D8027B">
            <w:pPr>
              <w:spacing w:after="0" w:line="240" w:lineRule="auto"/>
              <w:jc w:val="center"/>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3,251</w:t>
            </w:r>
          </w:p>
        </w:tc>
        <w:tc>
          <w:tcPr>
            <w:tcW w:w="1167" w:type="dxa"/>
            <w:tcBorders>
              <w:top w:val="nil"/>
              <w:left w:val="nil"/>
              <w:bottom w:val="single" w:sz="4" w:space="0" w:color="auto"/>
              <w:right w:val="nil"/>
            </w:tcBorders>
            <w:shd w:val="clear" w:color="auto" w:fill="auto"/>
            <w:noWrap/>
            <w:vAlign w:val="bottom"/>
            <w:hideMark/>
          </w:tcPr>
          <w:p w14:paraId="78B90328" w14:textId="77777777" w:rsidR="00D8027B" w:rsidRPr="005511FD" w:rsidRDefault="00D8027B" w:rsidP="00D8027B">
            <w:pPr>
              <w:spacing w:after="0" w:line="240" w:lineRule="auto"/>
              <w:jc w:val="right"/>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47.97%</w:t>
            </w:r>
          </w:p>
        </w:tc>
        <w:tc>
          <w:tcPr>
            <w:tcW w:w="937" w:type="dxa"/>
            <w:tcBorders>
              <w:top w:val="nil"/>
              <w:left w:val="nil"/>
              <w:bottom w:val="single" w:sz="4" w:space="0" w:color="auto"/>
              <w:right w:val="nil"/>
            </w:tcBorders>
            <w:shd w:val="clear" w:color="auto" w:fill="auto"/>
            <w:noWrap/>
            <w:vAlign w:val="bottom"/>
            <w:hideMark/>
          </w:tcPr>
          <w:p w14:paraId="6CBAFE81" w14:textId="77777777" w:rsidR="00D8027B" w:rsidRPr="005511FD" w:rsidRDefault="00D8027B" w:rsidP="00D8027B">
            <w:pPr>
              <w:spacing w:after="0" w:line="240" w:lineRule="auto"/>
              <w:jc w:val="right"/>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2,986</w:t>
            </w:r>
          </w:p>
        </w:tc>
        <w:tc>
          <w:tcPr>
            <w:tcW w:w="1167" w:type="dxa"/>
            <w:tcBorders>
              <w:top w:val="nil"/>
              <w:left w:val="nil"/>
              <w:bottom w:val="single" w:sz="4" w:space="0" w:color="auto"/>
              <w:right w:val="nil"/>
            </w:tcBorders>
            <w:shd w:val="clear" w:color="auto" w:fill="auto"/>
            <w:noWrap/>
            <w:vAlign w:val="bottom"/>
            <w:hideMark/>
          </w:tcPr>
          <w:p w14:paraId="5CC28722" w14:textId="77777777" w:rsidR="00D8027B" w:rsidRPr="005511FD" w:rsidRDefault="00D8027B" w:rsidP="00D8027B">
            <w:pPr>
              <w:spacing w:after="0" w:line="240" w:lineRule="auto"/>
              <w:jc w:val="right"/>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45.51%</w:t>
            </w:r>
          </w:p>
        </w:tc>
        <w:tc>
          <w:tcPr>
            <w:tcW w:w="937" w:type="dxa"/>
            <w:tcBorders>
              <w:top w:val="nil"/>
              <w:left w:val="nil"/>
              <w:bottom w:val="single" w:sz="4" w:space="0" w:color="auto"/>
              <w:right w:val="nil"/>
            </w:tcBorders>
            <w:shd w:val="clear" w:color="auto" w:fill="auto"/>
            <w:noWrap/>
            <w:vAlign w:val="bottom"/>
            <w:hideMark/>
          </w:tcPr>
          <w:p w14:paraId="2DC70F53" w14:textId="77777777" w:rsidR="00D8027B" w:rsidRPr="005511FD" w:rsidRDefault="00D8027B" w:rsidP="00D8027B">
            <w:pPr>
              <w:spacing w:after="0" w:line="240" w:lineRule="auto"/>
              <w:jc w:val="right"/>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2,986</w:t>
            </w:r>
          </w:p>
        </w:tc>
        <w:tc>
          <w:tcPr>
            <w:tcW w:w="1166" w:type="dxa"/>
            <w:tcBorders>
              <w:top w:val="nil"/>
              <w:left w:val="nil"/>
              <w:bottom w:val="single" w:sz="4" w:space="0" w:color="auto"/>
              <w:right w:val="nil"/>
            </w:tcBorders>
            <w:shd w:val="clear" w:color="auto" w:fill="auto"/>
            <w:noWrap/>
            <w:vAlign w:val="bottom"/>
            <w:hideMark/>
          </w:tcPr>
          <w:p w14:paraId="48A3B32D" w14:textId="77777777" w:rsidR="00D8027B" w:rsidRPr="005511FD" w:rsidRDefault="00D8027B" w:rsidP="00D8027B">
            <w:pPr>
              <w:spacing w:after="0" w:line="240" w:lineRule="auto"/>
              <w:jc w:val="right"/>
              <w:rPr>
                <w:rFonts w:ascii="Calibri" w:eastAsia="Times New Roman" w:hAnsi="Calibri" w:cs="Times New Roman"/>
                <w:color w:val="000000"/>
                <w:sz w:val="24"/>
                <w:szCs w:val="24"/>
                <w:lang w:eastAsia="en-US"/>
              </w:rPr>
            </w:pPr>
            <w:r w:rsidRPr="005511FD">
              <w:rPr>
                <w:rFonts w:ascii="Calibri" w:eastAsia="Times New Roman" w:hAnsi="Calibri" w:cs="Times New Roman"/>
                <w:color w:val="000000"/>
                <w:sz w:val="24"/>
                <w:szCs w:val="24"/>
                <w:lang w:eastAsia="en-US"/>
              </w:rPr>
              <w:t>45.51%</w:t>
            </w:r>
          </w:p>
        </w:tc>
      </w:tr>
    </w:tbl>
    <w:p w14:paraId="69DB5FC5" w14:textId="77777777" w:rsidR="00A12D51" w:rsidRPr="005511FD" w:rsidRDefault="00A12D51" w:rsidP="00E56CD4">
      <w:pPr>
        <w:rPr>
          <w:rFonts w:ascii="Calibri" w:hAnsi="Calibri"/>
          <w:sz w:val="24"/>
          <w:szCs w:val="24"/>
        </w:rPr>
      </w:pPr>
    </w:p>
    <w:p w14:paraId="1FF5F4FD" w14:textId="77777777" w:rsidR="00A12D51" w:rsidRDefault="00A12D51" w:rsidP="5F884969">
      <w:pPr>
        <w:ind w:left="360"/>
        <w:rPr>
          <w:rFonts w:ascii="Calibri" w:hAnsi="Calibri"/>
        </w:rPr>
      </w:pPr>
    </w:p>
    <w:p w14:paraId="1725E8D7" w14:textId="77777777" w:rsidR="005239EA" w:rsidRDefault="005239EA" w:rsidP="5F884969">
      <w:pPr>
        <w:ind w:left="360"/>
        <w:rPr>
          <w:rFonts w:ascii="Calibri" w:hAnsi="Calibri"/>
        </w:rPr>
      </w:pPr>
    </w:p>
    <w:p w14:paraId="24624079" w14:textId="77777777" w:rsidR="005239EA" w:rsidRDefault="005239EA" w:rsidP="5F884969">
      <w:pPr>
        <w:ind w:left="360"/>
        <w:rPr>
          <w:rFonts w:ascii="Calibri" w:hAnsi="Calibri"/>
        </w:rPr>
      </w:pPr>
    </w:p>
    <w:p w14:paraId="6850168E" w14:textId="77777777" w:rsidR="005239EA" w:rsidRDefault="005239EA" w:rsidP="5F884969">
      <w:pPr>
        <w:ind w:left="360"/>
        <w:rPr>
          <w:rFonts w:ascii="Calibri" w:hAnsi="Calibri"/>
        </w:rPr>
      </w:pPr>
    </w:p>
    <w:p w14:paraId="637E330E" w14:textId="77777777" w:rsidR="005239EA" w:rsidRDefault="005239EA" w:rsidP="5F884969">
      <w:pPr>
        <w:ind w:left="360"/>
        <w:rPr>
          <w:rFonts w:ascii="Calibri" w:hAnsi="Calibri"/>
        </w:rPr>
      </w:pPr>
    </w:p>
    <w:p w14:paraId="18562A4D" w14:textId="77777777" w:rsidR="00213716" w:rsidRDefault="00213716" w:rsidP="5F884969">
      <w:pPr>
        <w:ind w:left="360"/>
        <w:rPr>
          <w:rFonts w:ascii="Calibri" w:hAnsi="Calibri"/>
        </w:rPr>
      </w:pPr>
    </w:p>
    <w:p w14:paraId="7B798862" w14:textId="77777777" w:rsidR="005239EA" w:rsidRDefault="005239EA" w:rsidP="5F884969">
      <w:pPr>
        <w:ind w:left="360"/>
        <w:rPr>
          <w:rFonts w:ascii="Calibri" w:hAnsi="Calibri"/>
        </w:rPr>
      </w:pPr>
    </w:p>
    <w:p w14:paraId="007211D0" w14:textId="77777777" w:rsidR="005239EA" w:rsidRDefault="005239EA" w:rsidP="5F884969">
      <w:pPr>
        <w:ind w:left="360"/>
        <w:rPr>
          <w:rFonts w:ascii="Calibri" w:hAnsi="Calibri"/>
        </w:rPr>
      </w:pPr>
    </w:p>
    <w:p w14:paraId="0A64EA0F" w14:textId="77777777" w:rsidR="005658AB" w:rsidRDefault="5F884969" w:rsidP="5F884969">
      <w:pPr>
        <w:spacing w:after="0"/>
        <w:ind w:left="360"/>
        <w:rPr>
          <w:sz w:val="20"/>
          <w:szCs w:val="20"/>
        </w:rPr>
      </w:pPr>
      <w:r w:rsidRPr="5F884969">
        <w:rPr>
          <w:b/>
          <w:bCs/>
          <w:i/>
          <w:iCs/>
          <w:sz w:val="20"/>
          <w:szCs w:val="20"/>
        </w:rPr>
        <w:t>Figure 5:</w:t>
      </w:r>
      <w:r w:rsidRPr="5F884969">
        <w:rPr>
          <w:sz w:val="20"/>
          <w:szCs w:val="20"/>
        </w:rPr>
        <w:t xml:space="preserve"> Families with Children Trends Over Time in Burlington</w:t>
      </w:r>
      <w:proofErr w:type="gramStart"/>
      <w:r w:rsidRPr="5F884969">
        <w:rPr>
          <w:sz w:val="20"/>
          <w:szCs w:val="20"/>
        </w:rPr>
        <w:t>,  VT</w:t>
      </w:r>
      <w:proofErr w:type="gramEnd"/>
      <w:r w:rsidRPr="5F884969">
        <w:rPr>
          <w:sz w:val="20"/>
          <w:szCs w:val="20"/>
        </w:rPr>
        <w:t>. Source: Decennial Census and 2015 ACS.</w:t>
      </w:r>
    </w:p>
    <w:p w14:paraId="5C740A81" w14:textId="5CE84E6B" w:rsidR="005658AB" w:rsidRDefault="005658AB" w:rsidP="007C35C1">
      <w:pPr>
        <w:spacing w:after="0"/>
        <w:ind w:left="270"/>
        <w:rPr>
          <w:noProof/>
          <w:lang w:eastAsia="en-US"/>
        </w:rPr>
      </w:pPr>
    </w:p>
    <w:p w14:paraId="57153B1B" w14:textId="70D89AE7" w:rsidR="005239EA" w:rsidRDefault="005239EA" w:rsidP="007C35C1">
      <w:pPr>
        <w:spacing w:after="0"/>
        <w:ind w:left="270"/>
      </w:pPr>
      <w:r>
        <w:rPr>
          <w:noProof/>
          <w:lang w:eastAsia="en-US"/>
        </w:rPr>
        <w:drawing>
          <wp:inline distT="0" distB="0" distL="0" distR="0" wp14:anchorId="40BB76B8" wp14:editId="5A0B6034">
            <wp:extent cx="5943600" cy="2018665"/>
            <wp:effectExtent l="0" t="0" r="0" b="63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FF2FEB" w14:textId="77777777" w:rsidR="007C35C1" w:rsidRDefault="007C35C1" w:rsidP="007C35C1">
      <w:pPr>
        <w:spacing w:after="0"/>
        <w:ind w:left="270"/>
      </w:pPr>
    </w:p>
    <w:p w14:paraId="246C0700" w14:textId="0401EE94" w:rsidR="007C1F06" w:rsidRDefault="00673B15" w:rsidP="0087391C">
      <w:pPr>
        <w:spacing w:after="0"/>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Please refer to Table 8 and Figure 6 for HUD provided information about the race and ethnic composition of Burlington and trends. Although the population of Burlington is becoming more and more diverse, the </w:t>
      </w:r>
      <w:r>
        <w:rPr>
          <w:rFonts w:ascii="Arial" w:hAnsi="Arial" w:cs="Arial"/>
          <w:color w:val="333333"/>
          <w:sz w:val="20"/>
          <w:szCs w:val="20"/>
          <w:shd w:val="clear" w:color="auto" w:fill="FFFFFF"/>
        </w:rPr>
        <w:lastRenderedPageBreak/>
        <w:t>majority of the population, is 87.29% White.  Black/African Americans comprise 3.71% of the population and Asians are 3.58% of the total population. Hispanic or Latino of any race consists of 2.7% of the Burlington population. Over the course of 30 years, the White population of the Jurisdiction has decreased by almost 12% and the largest increase of population is seen in Asian households going from 1.4% to 5.9%</w:t>
      </w:r>
    </w:p>
    <w:p w14:paraId="592A4C73" w14:textId="77777777" w:rsidR="00673B15" w:rsidRDefault="00673B15" w:rsidP="0087391C">
      <w:pPr>
        <w:spacing w:after="0"/>
        <w:rPr>
          <w:b/>
          <w:i/>
          <w:sz w:val="20"/>
          <w:szCs w:val="20"/>
        </w:rPr>
      </w:pPr>
    </w:p>
    <w:p w14:paraId="3948ACE8" w14:textId="046737EB" w:rsidR="0087391C" w:rsidRPr="0087391C" w:rsidRDefault="5F884969" w:rsidP="5F884969">
      <w:pPr>
        <w:spacing w:after="0"/>
        <w:ind w:firstLine="708"/>
        <w:rPr>
          <w:sz w:val="20"/>
          <w:szCs w:val="20"/>
        </w:rPr>
      </w:pPr>
      <w:r w:rsidRPr="5F884969">
        <w:rPr>
          <w:b/>
          <w:bCs/>
          <w:i/>
          <w:iCs/>
          <w:sz w:val="20"/>
          <w:szCs w:val="20"/>
        </w:rPr>
        <w:t>Table 8:</w:t>
      </w:r>
      <w:r w:rsidRPr="5F884969">
        <w:rPr>
          <w:sz w:val="20"/>
          <w:szCs w:val="20"/>
        </w:rPr>
        <w:t xml:space="preserve"> Race/Ethnicity Demographics for Burlington. Decennial Census 2010; ACS.</w:t>
      </w:r>
    </w:p>
    <w:tbl>
      <w:tblPr>
        <w:tblStyle w:val="TableGrid"/>
        <w:tblW w:w="0" w:type="auto"/>
        <w:tblInd w:w="904" w:type="dxa"/>
        <w:tblLook w:val="04A0" w:firstRow="1" w:lastRow="0" w:firstColumn="1" w:lastColumn="0" w:noHBand="0" w:noVBand="1"/>
      </w:tblPr>
      <w:tblGrid>
        <w:gridCol w:w="2965"/>
        <w:gridCol w:w="1170"/>
        <w:gridCol w:w="1350"/>
      </w:tblGrid>
      <w:tr w:rsidR="0087391C" w:rsidRPr="00C3193C" w14:paraId="170C11AA" w14:textId="77777777" w:rsidTr="5F884969">
        <w:trPr>
          <w:trHeight w:val="602"/>
        </w:trPr>
        <w:tc>
          <w:tcPr>
            <w:tcW w:w="2965" w:type="dxa"/>
            <w:noWrap/>
            <w:hideMark/>
          </w:tcPr>
          <w:p w14:paraId="341E10E8" w14:textId="497453F2" w:rsidR="0087391C" w:rsidRPr="00587EB8" w:rsidRDefault="5F884969" w:rsidP="5F884969">
            <w:pPr>
              <w:rPr>
                <w:rFonts w:ascii="Calibri" w:hAnsi="Calibri" w:cs="Arial"/>
                <w:b/>
                <w:bCs/>
              </w:rPr>
            </w:pPr>
            <w:r w:rsidRPr="5F884969">
              <w:rPr>
                <w:rFonts w:ascii="Calibri" w:hAnsi="Calibri" w:cs="Arial"/>
                <w:b/>
                <w:bCs/>
              </w:rPr>
              <w:t> Table 8: Race/Ethnicity Demographics</w:t>
            </w:r>
          </w:p>
        </w:tc>
        <w:tc>
          <w:tcPr>
            <w:tcW w:w="2520" w:type="dxa"/>
            <w:gridSpan w:val="2"/>
            <w:hideMark/>
          </w:tcPr>
          <w:p w14:paraId="007B58D8" w14:textId="77777777" w:rsidR="0087391C" w:rsidRPr="00587EB8" w:rsidRDefault="5F884969" w:rsidP="5F884969">
            <w:pPr>
              <w:rPr>
                <w:rFonts w:ascii="Calibri" w:hAnsi="Calibri" w:cs="Arial"/>
                <w:b/>
                <w:bCs/>
              </w:rPr>
            </w:pPr>
            <w:r w:rsidRPr="5F884969">
              <w:rPr>
                <w:rFonts w:ascii="Calibri" w:hAnsi="Calibri" w:cs="Arial"/>
                <w:b/>
                <w:bCs/>
              </w:rPr>
              <w:t>Burlington, VT</w:t>
            </w:r>
          </w:p>
        </w:tc>
      </w:tr>
      <w:tr w:rsidR="0087391C" w:rsidRPr="00C3193C" w14:paraId="7A56808E" w14:textId="77777777" w:rsidTr="5F884969">
        <w:trPr>
          <w:trHeight w:val="420"/>
        </w:trPr>
        <w:tc>
          <w:tcPr>
            <w:tcW w:w="2965" w:type="dxa"/>
            <w:shd w:val="clear" w:color="auto" w:fill="D9D9D9" w:themeFill="background1" w:themeFillShade="D9"/>
            <w:noWrap/>
            <w:hideMark/>
          </w:tcPr>
          <w:p w14:paraId="450E6D44" w14:textId="77777777" w:rsidR="0087391C" w:rsidRPr="00587EB8" w:rsidRDefault="5F884969" w:rsidP="5F884969">
            <w:pPr>
              <w:rPr>
                <w:rFonts w:ascii="Calibri" w:hAnsi="Calibri" w:cs="Arial"/>
                <w:b/>
                <w:bCs/>
              </w:rPr>
            </w:pPr>
            <w:r w:rsidRPr="5F884969">
              <w:rPr>
                <w:rFonts w:ascii="Calibri" w:hAnsi="Calibri" w:cs="Arial"/>
                <w:b/>
                <w:bCs/>
              </w:rPr>
              <w:t xml:space="preserve">Race/Ethnicity </w:t>
            </w:r>
          </w:p>
        </w:tc>
        <w:tc>
          <w:tcPr>
            <w:tcW w:w="1170" w:type="dxa"/>
            <w:shd w:val="clear" w:color="auto" w:fill="D9D9D9" w:themeFill="background1" w:themeFillShade="D9"/>
            <w:noWrap/>
            <w:hideMark/>
          </w:tcPr>
          <w:p w14:paraId="5582AC1F" w14:textId="77777777" w:rsidR="0087391C" w:rsidRPr="00587EB8" w:rsidRDefault="5F884969" w:rsidP="5F884969">
            <w:pPr>
              <w:rPr>
                <w:rFonts w:ascii="Calibri" w:hAnsi="Calibri" w:cs="Arial"/>
                <w:b/>
                <w:bCs/>
              </w:rPr>
            </w:pPr>
            <w:r w:rsidRPr="5F884969">
              <w:rPr>
                <w:rFonts w:ascii="Calibri" w:hAnsi="Calibri" w:cs="Arial"/>
                <w:b/>
                <w:bCs/>
              </w:rPr>
              <w:t>#</w:t>
            </w:r>
          </w:p>
        </w:tc>
        <w:tc>
          <w:tcPr>
            <w:tcW w:w="1350" w:type="dxa"/>
            <w:shd w:val="clear" w:color="auto" w:fill="D9D9D9" w:themeFill="background1" w:themeFillShade="D9"/>
            <w:noWrap/>
            <w:hideMark/>
          </w:tcPr>
          <w:p w14:paraId="1111FE53" w14:textId="77777777" w:rsidR="0087391C" w:rsidRPr="00587EB8" w:rsidRDefault="5F884969" w:rsidP="5F884969">
            <w:pPr>
              <w:rPr>
                <w:rFonts w:ascii="Calibri" w:hAnsi="Calibri" w:cs="Arial"/>
                <w:b/>
                <w:bCs/>
              </w:rPr>
            </w:pPr>
            <w:r w:rsidRPr="5F884969">
              <w:rPr>
                <w:rFonts w:ascii="Calibri" w:hAnsi="Calibri" w:cs="Arial"/>
                <w:b/>
                <w:bCs/>
              </w:rPr>
              <w:t>%</w:t>
            </w:r>
          </w:p>
        </w:tc>
      </w:tr>
      <w:tr w:rsidR="0087391C" w:rsidRPr="00C3193C" w14:paraId="4E41C134" w14:textId="77777777" w:rsidTr="5F884969">
        <w:trPr>
          <w:trHeight w:val="420"/>
        </w:trPr>
        <w:tc>
          <w:tcPr>
            <w:tcW w:w="2965" w:type="dxa"/>
            <w:noWrap/>
            <w:hideMark/>
          </w:tcPr>
          <w:p w14:paraId="638EAF96" w14:textId="77777777" w:rsidR="0087391C" w:rsidRPr="00587EB8" w:rsidRDefault="5F884969" w:rsidP="5F884969">
            <w:pPr>
              <w:rPr>
                <w:rFonts w:ascii="Calibri" w:hAnsi="Calibri" w:cs="Arial"/>
              </w:rPr>
            </w:pPr>
            <w:r w:rsidRPr="5F884969">
              <w:rPr>
                <w:rFonts w:ascii="Calibri" w:hAnsi="Calibri" w:cs="Arial"/>
              </w:rPr>
              <w:t>White, Non-Hispanic</w:t>
            </w:r>
          </w:p>
        </w:tc>
        <w:tc>
          <w:tcPr>
            <w:tcW w:w="1170" w:type="dxa"/>
            <w:noWrap/>
            <w:hideMark/>
          </w:tcPr>
          <w:p w14:paraId="73F2EBD3" w14:textId="77777777" w:rsidR="0087391C" w:rsidRPr="00587EB8" w:rsidRDefault="5F884969" w:rsidP="5F884969">
            <w:pPr>
              <w:rPr>
                <w:rFonts w:ascii="Calibri" w:hAnsi="Calibri" w:cs="Arial"/>
              </w:rPr>
            </w:pPr>
            <w:r w:rsidRPr="5F884969">
              <w:rPr>
                <w:rFonts w:ascii="Calibri" w:hAnsi="Calibri" w:cs="Arial"/>
              </w:rPr>
              <w:t>37,027</w:t>
            </w:r>
          </w:p>
        </w:tc>
        <w:tc>
          <w:tcPr>
            <w:tcW w:w="1350" w:type="dxa"/>
            <w:noWrap/>
            <w:hideMark/>
          </w:tcPr>
          <w:p w14:paraId="494DF1CA" w14:textId="77777777" w:rsidR="0087391C" w:rsidRPr="00587EB8" w:rsidRDefault="5F884969" w:rsidP="5F884969">
            <w:pPr>
              <w:rPr>
                <w:rFonts w:ascii="Calibri" w:hAnsi="Calibri" w:cs="Arial"/>
              </w:rPr>
            </w:pPr>
            <w:r w:rsidRPr="5F884969">
              <w:rPr>
                <w:rFonts w:ascii="Calibri" w:hAnsi="Calibri" w:cs="Arial"/>
              </w:rPr>
              <w:t>87.29%</w:t>
            </w:r>
          </w:p>
        </w:tc>
      </w:tr>
      <w:tr w:rsidR="0087391C" w:rsidRPr="00C3193C" w14:paraId="2BC8678E" w14:textId="77777777" w:rsidTr="5F884969">
        <w:trPr>
          <w:trHeight w:val="420"/>
        </w:trPr>
        <w:tc>
          <w:tcPr>
            <w:tcW w:w="2965" w:type="dxa"/>
            <w:noWrap/>
            <w:hideMark/>
          </w:tcPr>
          <w:p w14:paraId="4B9DB42B" w14:textId="77777777" w:rsidR="0087391C" w:rsidRPr="00587EB8" w:rsidRDefault="5F884969" w:rsidP="5F884969">
            <w:pPr>
              <w:rPr>
                <w:rFonts w:ascii="Calibri" w:hAnsi="Calibri" w:cs="Arial"/>
              </w:rPr>
            </w:pPr>
            <w:r w:rsidRPr="5F884969">
              <w:rPr>
                <w:rFonts w:ascii="Calibri" w:hAnsi="Calibri" w:cs="Arial"/>
              </w:rPr>
              <w:t xml:space="preserve">Black, Non-Hispanic </w:t>
            </w:r>
          </w:p>
        </w:tc>
        <w:tc>
          <w:tcPr>
            <w:tcW w:w="1170" w:type="dxa"/>
            <w:noWrap/>
            <w:hideMark/>
          </w:tcPr>
          <w:p w14:paraId="7C15AC03" w14:textId="77777777" w:rsidR="0087391C" w:rsidRPr="00587EB8" w:rsidRDefault="5F884969" w:rsidP="5F884969">
            <w:pPr>
              <w:rPr>
                <w:rFonts w:ascii="Calibri" w:hAnsi="Calibri" w:cs="Arial"/>
              </w:rPr>
            </w:pPr>
            <w:r w:rsidRPr="5F884969">
              <w:rPr>
                <w:rFonts w:ascii="Calibri" w:hAnsi="Calibri" w:cs="Arial"/>
              </w:rPr>
              <w:t>1,575</w:t>
            </w:r>
          </w:p>
        </w:tc>
        <w:tc>
          <w:tcPr>
            <w:tcW w:w="1350" w:type="dxa"/>
            <w:noWrap/>
            <w:hideMark/>
          </w:tcPr>
          <w:p w14:paraId="6674D97C" w14:textId="77777777" w:rsidR="0087391C" w:rsidRPr="00587EB8" w:rsidRDefault="5F884969" w:rsidP="5F884969">
            <w:pPr>
              <w:rPr>
                <w:rFonts w:ascii="Calibri" w:hAnsi="Calibri" w:cs="Arial"/>
              </w:rPr>
            </w:pPr>
            <w:r w:rsidRPr="5F884969">
              <w:rPr>
                <w:rFonts w:ascii="Calibri" w:hAnsi="Calibri" w:cs="Arial"/>
              </w:rPr>
              <w:t>3.71%</w:t>
            </w:r>
          </w:p>
        </w:tc>
      </w:tr>
      <w:tr w:rsidR="0087391C" w:rsidRPr="00C3193C" w14:paraId="7B1483A9" w14:textId="77777777" w:rsidTr="5F884969">
        <w:trPr>
          <w:trHeight w:val="420"/>
        </w:trPr>
        <w:tc>
          <w:tcPr>
            <w:tcW w:w="2965" w:type="dxa"/>
            <w:noWrap/>
            <w:hideMark/>
          </w:tcPr>
          <w:p w14:paraId="42396F94" w14:textId="77777777" w:rsidR="0087391C" w:rsidRPr="00587EB8" w:rsidRDefault="5F884969" w:rsidP="5F884969">
            <w:pPr>
              <w:rPr>
                <w:rFonts w:ascii="Calibri" w:hAnsi="Calibri" w:cs="Arial"/>
              </w:rPr>
            </w:pPr>
            <w:r w:rsidRPr="5F884969">
              <w:rPr>
                <w:rFonts w:ascii="Calibri" w:hAnsi="Calibri" w:cs="Arial"/>
              </w:rPr>
              <w:t>Hispanic</w:t>
            </w:r>
          </w:p>
        </w:tc>
        <w:tc>
          <w:tcPr>
            <w:tcW w:w="1170" w:type="dxa"/>
            <w:noWrap/>
            <w:hideMark/>
          </w:tcPr>
          <w:p w14:paraId="307A5510" w14:textId="77777777" w:rsidR="0087391C" w:rsidRPr="00587EB8" w:rsidRDefault="5F884969" w:rsidP="5F884969">
            <w:pPr>
              <w:rPr>
                <w:rFonts w:ascii="Calibri" w:hAnsi="Calibri" w:cs="Arial"/>
              </w:rPr>
            </w:pPr>
            <w:r w:rsidRPr="5F884969">
              <w:rPr>
                <w:rFonts w:ascii="Calibri" w:hAnsi="Calibri" w:cs="Arial"/>
              </w:rPr>
              <w:t>1,144</w:t>
            </w:r>
          </w:p>
        </w:tc>
        <w:tc>
          <w:tcPr>
            <w:tcW w:w="1350" w:type="dxa"/>
            <w:noWrap/>
            <w:hideMark/>
          </w:tcPr>
          <w:p w14:paraId="601E078D" w14:textId="77777777" w:rsidR="0087391C" w:rsidRPr="00587EB8" w:rsidRDefault="5F884969" w:rsidP="5F884969">
            <w:pPr>
              <w:rPr>
                <w:rFonts w:ascii="Calibri" w:hAnsi="Calibri" w:cs="Arial"/>
              </w:rPr>
            </w:pPr>
            <w:r w:rsidRPr="5F884969">
              <w:rPr>
                <w:rFonts w:ascii="Calibri" w:hAnsi="Calibri" w:cs="Arial"/>
              </w:rPr>
              <w:t>2.70%</w:t>
            </w:r>
          </w:p>
        </w:tc>
      </w:tr>
      <w:tr w:rsidR="0087391C" w:rsidRPr="00C3193C" w14:paraId="307819BC" w14:textId="77777777" w:rsidTr="5F884969">
        <w:trPr>
          <w:trHeight w:val="432"/>
        </w:trPr>
        <w:tc>
          <w:tcPr>
            <w:tcW w:w="2965" w:type="dxa"/>
            <w:noWrap/>
            <w:hideMark/>
          </w:tcPr>
          <w:p w14:paraId="5D0BE99F" w14:textId="77777777" w:rsidR="0087391C" w:rsidRPr="00587EB8" w:rsidRDefault="5F884969" w:rsidP="5F884969">
            <w:pPr>
              <w:rPr>
                <w:rFonts w:ascii="Calibri" w:hAnsi="Calibri" w:cs="Arial"/>
              </w:rPr>
            </w:pPr>
            <w:r w:rsidRPr="5F884969">
              <w:rPr>
                <w:rFonts w:ascii="Calibri" w:hAnsi="Calibri" w:cs="Arial"/>
              </w:rPr>
              <w:t>Asian or Pacific Islander, Non-Hispanic</w:t>
            </w:r>
          </w:p>
        </w:tc>
        <w:tc>
          <w:tcPr>
            <w:tcW w:w="1170" w:type="dxa"/>
            <w:noWrap/>
            <w:hideMark/>
          </w:tcPr>
          <w:p w14:paraId="2D0E6316" w14:textId="77777777" w:rsidR="0087391C" w:rsidRPr="00587EB8" w:rsidRDefault="5F884969" w:rsidP="5F884969">
            <w:pPr>
              <w:rPr>
                <w:rFonts w:ascii="Calibri" w:hAnsi="Calibri" w:cs="Arial"/>
              </w:rPr>
            </w:pPr>
            <w:r w:rsidRPr="5F884969">
              <w:rPr>
                <w:rFonts w:ascii="Calibri" w:hAnsi="Calibri" w:cs="Arial"/>
              </w:rPr>
              <w:t>1,518</w:t>
            </w:r>
          </w:p>
        </w:tc>
        <w:tc>
          <w:tcPr>
            <w:tcW w:w="1350" w:type="dxa"/>
            <w:noWrap/>
            <w:hideMark/>
          </w:tcPr>
          <w:p w14:paraId="1BFC132B" w14:textId="77777777" w:rsidR="0087391C" w:rsidRPr="00587EB8" w:rsidRDefault="5F884969" w:rsidP="5F884969">
            <w:pPr>
              <w:rPr>
                <w:rFonts w:ascii="Calibri" w:hAnsi="Calibri" w:cs="Arial"/>
              </w:rPr>
            </w:pPr>
            <w:r w:rsidRPr="5F884969">
              <w:rPr>
                <w:rFonts w:ascii="Calibri" w:hAnsi="Calibri" w:cs="Arial"/>
              </w:rPr>
              <w:t>3.58%</w:t>
            </w:r>
          </w:p>
        </w:tc>
      </w:tr>
      <w:tr w:rsidR="0087391C" w:rsidRPr="00C3193C" w14:paraId="1D2D5B6B" w14:textId="77777777" w:rsidTr="5F884969">
        <w:trPr>
          <w:trHeight w:val="432"/>
        </w:trPr>
        <w:tc>
          <w:tcPr>
            <w:tcW w:w="2965" w:type="dxa"/>
            <w:noWrap/>
            <w:hideMark/>
          </w:tcPr>
          <w:p w14:paraId="0A801538" w14:textId="77777777" w:rsidR="0087391C" w:rsidRPr="00587EB8" w:rsidRDefault="5F884969" w:rsidP="5F884969">
            <w:pPr>
              <w:rPr>
                <w:rFonts w:ascii="Calibri" w:hAnsi="Calibri" w:cs="Arial"/>
              </w:rPr>
            </w:pPr>
            <w:r w:rsidRPr="5F884969">
              <w:rPr>
                <w:rFonts w:ascii="Calibri" w:hAnsi="Calibri" w:cs="Arial"/>
              </w:rPr>
              <w:t>Native American, Non-Hispanic</w:t>
            </w:r>
          </w:p>
        </w:tc>
        <w:tc>
          <w:tcPr>
            <w:tcW w:w="1170" w:type="dxa"/>
            <w:noWrap/>
            <w:hideMark/>
          </w:tcPr>
          <w:p w14:paraId="6EBAC99A" w14:textId="77777777" w:rsidR="0087391C" w:rsidRPr="00587EB8" w:rsidRDefault="5F884969" w:rsidP="5F884969">
            <w:pPr>
              <w:rPr>
                <w:rFonts w:ascii="Calibri" w:hAnsi="Calibri" w:cs="Arial"/>
              </w:rPr>
            </w:pPr>
            <w:r w:rsidRPr="5F884969">
              <w:rPr>
                <w:rFonts w:ascii="Calibri" w:hAnsi="Calibri" w:cs="Arial"/>
              </w:rPr>
              <w:t>111</w:t>
            </w:r>
          </w:p>
        </w:tc>
        <w:tc>
          <w:tcPr>
            <w:tcW w:w="1350" w:type="dxa"/>
            <w:noWrap/>
            <w:hideMark/>
          </w:tcPr>
          <w:p w14:paraId="0ED504FF" w14:textId="77777777" w:rsidR="0087391C" w:rsidRPr="00587EB8" w:rsidRDefault="5F884969" w:rsidP="5F884969">
            <w:pPr>
              <w:rPr>
                <w:rFonts w:ascii="Calibri" w:hAnsi="Calibri" w:cs="Arial"/>
              </w:rPr>
            </w:pPr>
            <w:r w:rsidRPr="5F884969">
              <w:rPr>
                <w:rFonts w:ascii="Calibri" w:hAnsi="Calibri" w:cs="Arial"/>
              </w:rPr>
              <w:t>0.26%</w:t>
            </w:r>
          </w:p>
        </w:tc>
      </w:tr>
      <w:tr w:rsidR="0087391C" w:rsidRPr="00C3193C" w14:paraId="4EC065F6" w14:textId="77777777" w:rsidTr="5F884969">
        <w:trPr>
          <w:trHeight w:val="432"/>
        </w:trPr>
        <w:tc>
          <w:tcPr>
            <w:tcW w:w="2965" w:type="dxa"/>
            <w:noWrap/>
            <w:hideMark/>
          </w:tcPr>
          <w:p w14:paraId="7018D4DC" w14:textId="77777777" w:rsidR="0087391C" w:rsidRPr="00587EB8" w:rsidRDefault="5F884969" w:rsidP="5F884969">
            <w:pPr>
              <w:rPr>
                <w:rFonts w:ascii="Calibri" w:hAnsi="Calibri" w:cs="Arial"/>
              </w:rPr>
            </w:pPr>
            <w:r w:rsidRPr="5F884969">
              <w:rPr>
                <w:rFonts w:ascii="Calibri" w:hAnsi="Calibri" w:cs="Arial"/>
              </w:rPr>
              <w:t>Two or More Races, Non-Hispanic</w:t>
            </w:r>
          </w:p>
        </w:tc>
        <w:tc>
          <w:tcPr>
            <w:tcW w:w="1170" w:type="dxa"/>
            <w:noWrap/>
            <w:hideMark/>
          </w:tcPr>
          <w:p w14:paraId="03AAF695" w14:textId="77777777" w:rsidR="0087391C" w:rsidRPr="00587EB8" w:rsidRDefault="5F884969" w:rsidP="5F884969">
            <w:pPr>
              <w:rPr>
                <w:rFonts w:ascii="Calibri" w:hAnsi="Calibri" w:cs="Arial"/>
              </w:rPr>
            </w:pPr>
            <w:r w:rsidRPr="5F884969">
              <w:rPr>
                <w:rFonts w:ascii="Calibri" w:hAnsi="Calibri" w:cs="Arial"/>
              </w:rPr>
              <w:t>969</w:t>
            </w:r>
          </w:p>
        </w:tc>
        <w:tc>
          <w:tcPr>
            <w:tcW w:w="1350" w:type="dxa"/>
            <w:noWrap/>
            <w:hideMark/>
          </w:tcPr>
          <w:p w14:paraId="50C272F1" w14:textId="77777777" w:rsidR="0087391C" w:rsidRPr="00587EB8" w:rsidRDefault="5F884969" w:rsidP="5F884969">
            <w:pPr>
              <w:rPr>
                <w:rFonts w:ascii="Calibri" w:hAnsi="Calibri" w:cs="Arial"/>
              </w:rPr>
            </w:pPr>
            <w:r w:rsidRPr="5F884969">
              <w:rPr>
                <w:rFonts w:ascii="Calibri" w:hAnsi="Calibri" w:cs="Arial"/>
              </w:rPr>
              <w:t>2.28%</w:t>
            </w:r>
          </w:p>
        </w:tc>
      </w:tr>
      <w:tr w:rsidR="0087391C" w:rsidRPr="00C3193C" w14:paraId="25665ED9" w14:textId="77777777" w:rsidTr="5F884969">
        <w:trPr>
          <w:trHeight w:val="420"/>
        </w:trPr>
        <w:tc>
          <w:tcPr>
            <w:tcW w:w="2965" w:type="dxa"/>
            <w:noWrap/>
            <w:hideMark/>
          </w:tcPr>
          <w:p w14:paraId="4614631C" w14:textId="77777777" w:rsidR="0087391C" w:rsidRPr="00587EB8" w:rsidRDefault="5F884969" w:rsidP="5F884969">
            <w:pPr>
              <w:rPr>
                <w:rFonts w:ascii="Calibri" w:hAnsi="Calibri" w:cs="Arial"/>
              </w:rPr>
            </w:pPr>
            <w:r w:rsidRPr="5F884969">
              <w:rPr>
                <w:rFonts w:ascii="Calibri" w:hAnsi="Calibri" w:cs="Arial"/>
              </w:rPr>
              <w:t>Other, Non-Hispanic</w:t>
            </w:r>
          </w:p>
        </w:tc>
        <w:tc>
          <w:tcPr>
            <w:tcW w:w="1170" w:type="dxa"/>
            <w:noWrap/>
            <w:hideMark/>
          </w:tcPr>
          <w:p w14:paraId="172B13B9" w14:textId="77777777" w:rsidR="0087391C" w:rsidRPr="00587EB8" w:rsidRDefault="5F884969" w:rsidP="5F884969">
            <w:pPr>
              <w:rPr>
                <w:rFonts w:ascii="Calibri" w:hAnsi="Calibri" w:cs="Arial"/>
              </w:rPr>
            </w:pPr>
            <w:r w:rsidRPr="5F884969">
              <w:rPr>
                <w:rFonts w:ascii="Calibri" w:hAnsi="Calibri" w:cs="Arial"/>
              </w:rPr>
              <w:t>73</w:t>
            </w:r>
          </w:p>
        </w:tc>
        <w:tc>
          <w:tcPr>
            <w:tcW w:w="1350" w:type="dxa"/>
            <w:noWrap/>
            <w:hideMark/>
          </w:tcPr>
          <w:p w14:paraId="6AA05EEB" w14:textId="77777777" w:rsidR="0087391C" w:rsidRPr="00587EB8" w:rsidRDefault="5F884969" w:rsidP="5F884969">
            <w:pPr>
              <w:rPr>
                <w:rFonts w:ascii="Calibri" w:hAnsi="Calibri" w:cs="Arial"/>
              </w:rPr>
            </w:pPr>
            <w:r w:rsidRPr="5F884969">
              <w:rPr>
                <w:rFonts w:ascii="Calibri" w:hAnsi="Calibri" w:cs="Arial"/>
              </w:rPr>
              <w:t>0.17%</w:t>
            </w:r>
          </w:p>
        </w:tc>
      </w:tr>
    </w:tbl>
    <w:p w14:paraId="5673D670" w14:textId="77777777" w:rsidR="0087391C" w:rsidRDefault="0087391C" w:rsidP="007C1F06">
      <w:pPr>
        <w:spacing w:after="0"/>
        <w:rPr>
          <w:b/>
        </w:rPr>
      </w:pPr>
    </w:p>
    <w:p w14:paraId="306A463D" w14:textId="77777777" w:rsidR="00B408AE" w:rsidRDefault="00B408AE" w:rsidP="007C1F06">
      <w:pPr>
        <w:spacing w:after="0"/>
        <w:rPr>
          <w:b/>
        </w:rPr>
      </w:pPr>
    </w:p>
    <w:p w14:paraId="781559CA" w14:textId="77777777" w:rsidR="00B408AE" w:rsidRDefault="00B408AE" w:rsidP="007C1F06">
      <w:pPr>
        <w:spacing w:after="0"/>
        <w:rPr>
          <w:b/>
        </w:rPr>
      </w:pPr>
    </w:p>
    <w:p w14:paraId="66228D19" w14:textId="77777777" w:rsidR="00B408AE" w:rsidRDefault="00B408AE" w:rsidP="007C1F06">
      <w:pPr>
        <w:spacing w:after="0"/>
        <w:rPr>
          <w:b/>
        </w:rPr>
      </w:pPr>
    </w:p>
    <w:p w14:paraId="568BD584" w14:textId="77777777" w:rsidR="00B408AE" w:rsidRDefault="00B408AE" w:rsidP="007C1F06">
      <w:pPr>
        <w:spacing w:after="0"/>
        <w:rPr>
          <w:b/>
        </w:rPr>
      </w:pPr>
    </w:p>
    <w:p w14:paraId="4E79F7B5" w14:textId="77777777" w:rsidR="00C16312" w:rsidRDefault="00C16312" w:rsidP="007C1F06">
      <w:pPr>
        <w:spacing w:after="0"/>
        <w:rPr>
          <w:b/>
        </w:rPr>
      </w:pPr>
    </w:p>
    <w:p w14:paraId="3820B27F" w14:textId="77777777" w:rsidR="00C16312" w:rsidRDefault="00C16312" w:rsidP="007C1F06">
      <w:pPr>
        <w:spacing w:after="0"/>
        <w:rPr>
          <w:b/>
        </w:rPr>
      </w:pPr>
    </w:p>
    <w:p w14:paraId="596C8083" w14:textId="77777777" w:rsidR="00C16312" w:rsidRDefault="00C16312" w:rsidP="007C1F06">
      <w:pPr>
        <w:spacing w:after="0"/>
        <w:rPr>
          <w:b/>
        </w:rPr>
      </w:pPr>
    </w:p>
    <w:p w14:paraId="328AFB48" w14:textId="77777777" w:rsidR="00C16312" w:rsidRDefault="00C16312" w:rsidP="007C1F06">
      <w:pPr>
        <w:spacing w:after="0"/>
        <w:rPr>
          <w:b/>
        </w:rPr>
      </w:pPr>
    </w:p>
    <w:p w14:paraId="18D6BCE5" w14:textId="77777777" w:rsidR="00C16312" w:rsidRDefault="00C16312" w:rsidP="007C1F06">
      <w:pPr>
        <w:spacing w:after="0"/>
        <w:rPr>
          <w:b/>
        </w:rPr>
      </w:pPr>
    </w:p>
    <w:p w14:paraId="01195877" w14:textId="77777777" w:rsidR="00C16312" w:rsidRDefault="00C16312" w:rsidP="007C1F06">
      <w:pPr>
        <w:spacing w:after="0"/>
        <w:rPr>
          <w:b/>
        </w:rPr>
      </w:pPr>
    </w:p>
    <w:p w14:paraId="44637458" w14:textId="77777777" w:rsidR="00C16312" w:rsidRDefault="00C16312" w:rsidP="007C1F06">
      <w:pPr>
        <w:spacing w:after="0"/>
        <w:rPr>
          <w:b/>
        </w:rPr>
      </w:pPr>
    </w:p>
    <w:p w14:paraId="367326C4" w14:textId="77777777" w:rsidR="00C16312" w:rsidRDefault="00C16312" w:rsidP="007C1F06">
      <w:pPr>
        <w:spacing w:after="0"/>
        <w:rPr>
          <w:b/>
        </w:rPr>
      </w:pPr>
    </w:p>
    <w:p w14:paraId="7AA3077D" w14:textId="77777777" w:rsidR="00C16312" w:rsidRDefault="00C16312" w:rsidP="007C1F06">
      <w:pPr>
        <w:spacing w:after="0"/>
        <w:rPr>
          <w:b/>
        </w:rPr>
      </w:pPr>
    </w:p>
    <w:p w14:paraId="5B6341E4" w14:textId="77777777" w:rsidR="00C16312" w:rsidRDefault="00C16312" w:rsidP="007C1F06">
      <w:pPr>
        <w:spacing w:after="0"/>
        <w:rPr>
          <w:b/>
        </w:rPr>
      </w:pPr>
    </w:p>
    <w:p w14:paraId="09E3AEDC" w14:textId="77777777" w:rsidR="00C16312" w:rsidRDefault="00C16312" w:rsidP="007C1F06">
      <w:pPr>
        <w:spacing w:after="0"/>
        <w:rPr>
          <w:b/>
        </w:rPr>
      </w:pPr>
    </w:p>
    <w:p w14:paraId="7EB7D807" w14:textId="77777777" w:rsidR="00C16312" w:rsidRDefault="00C16312" w:rsidP="007C1F06">
      <w:pPr>
        <w:spacing w:after="0"/>
        <w:rPr>
          <w:b/>
        </w:rPr>
      </w:pPr>
    </w:p>
    <w:p w14:paraId="6DE787E4" w14:textId="77777777" w:rsidR="00C16312" w:rsidRDefault="00C16312" w:rsidP="007C1F06">
      <w:pPr>
        <w:spacing w:after="0"/>
        <w:rPr>
          <w:b/>
        </w:rPr>
      </w:pPr>
    </w:p>
    <w:p w14:paraId="66551FB3" w14:textId="77777777" w:rsidR="00C16312" w:rsidRDefault="00C16312" w:rsidP="007C1F06">
      <w:pPr>
        <w:spacing w:after="0"/>
        <w:rPr>
          <w:b/>
        </w:rPr>
      </w:pPr>
    </w:p>
    <w:p w14:paraId="6AAE0931" w14:textId="77777777" w:rsidR="00C16312" w:rsidRDefault="00C16312" w:rsidP="007C1F06">
      <w:pPr>
        <w:spacing w:after="0"/>
        <w:rPr>
          <w:b/>
        </w:rPr>
      </w:pPr>
    </w:p>
    <w:p w14:paraId="4D8B1633" w14:textId="77777777" w:rsidR="00B408AE" w:rsidRDefault="00B408AE" w:rsidP="007C1F06">
      <w:pPr>
        <w:spacing w:after="0"/>
        <w:rPr>
          <w:b/>
        </w:rPr>
      </w:pPr>
    </w:p>
    <w:p w14:paraId="6BDF75EC" w14:textId="77777777" w:rsidR="00B408AE" w:rsidRDefault="00B408AE" w:rsidP="007C1F06">
      <w:pPr>
        <w:spacing w:after="0"/>
        <w:rPr>
          <w:b/>
        </w:rPr>
      </w:pPr>
    </w:p>
    <w:p w14:paraId="3733C523" w14:textId="77777777" w:rsidR="007C35C1" w:rsidRDefault="5F884969" w:rsidP="5F884969">
      <w:pPr>
        <w:spacing w:after="0"/>
        <w:ind w:left="360"/>
        <w:rPr>
          <w:sz w:val="20"/>
          <w:szCs w:val="20"/>
        </w:rPr>
      </w:pPr>
      <w:r w:rsidRPr="5F884969">
        <w:rPr>
          <w:b/>
          <w:bCs/>
          <w:i/>
          <w:iCs/>
          <w:sz w:val="20"/>
          <w:szCs w:val="20"/>
        </w:rPr>
        <w:lastRenderedPageBreak/>
        <w:t>Figure 6:</w:t>
      </w:r>
      <w:r w:rsidRPr="5F884969">
        <w:rPr>
          <w:sz w:val="20"/>
          <w:szCs w:val="20"/>
        </w:rPr>
        <w:t xml:space="preserve"> Race/Ethnicity Demographics Trends </w:t>
      </w:r>
      <w:proofErr w:type="gramStart"/>
      <w:r w:rsidRPr="5F884969">
        <w:rPr>
          <w:sz w:val="20"/>
          <w:szCs w:val="20"/>
        </w:rPr>
        <w:t>Over</w:t>
      </w:r>
      <w:proofErr w:type="gramEnd"/>
      <w:r w:rsidRPr="5F884969">
        <w:rPr>
          <w:sz w:val="20"/>
          <w:szCs w:val="20"/>
        </w:rPr>
        <w:t xml:space="preserve"> Time for Burlington, VT. Source: Decennial Census 1990, 2000, 2010; 2011-2015 ACS.</w:t>
      </w:r>
    </w:p>
    <w:p w14:paraId="581EA79B" w14:textId="676BB642" w:rsidR="007C35C1" w:rsidRPr="007C35C1" w:rsidRDefault="007C35C1" w:rsidP="007C35C1">
      <w:pPr>
        <w:spacing w:after="0"/>
        <w:ind w:left="360"/>
        <w:rPr>
          <w:sz w:val="20"/>
          <w:szCs w:val="20"/>
        </w:rPr>
      </w:pPr>
      <w:r>
        <w:rPr>
          <w:noProof/>
          <w:lang w:eastAsia="en-US"/>
        </w:rPr>
        <w:drawing>
          <wp:inline distT="0" distB="0" distL="0" distR="0" wp14:anchorId="2A3BE0EA" wp14:editId="0CF9DB01">
            <wp:extent cx="6048375" cy="4019550"/>
            <wp:effectExtent l="0" t="0" r="22225"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0BE7D5" w14:textId="77777777" w:rsidR="00FA52D6" w:rsidRDefault="5F884969" w:rsidP="5F884969">
      <w:pPr>
        <w:spacing w:beforeAutospacing="1" w:afterAutospacing="1"/>
        <w:ind w:left="360"/>
        <w:rPr>
          <w:rFonts w:ascii="Calibri" w:hAnsi="Calibri" w:cs="Arial"/>
        </w:rPr>
      </w:pPr>
      <w:r w:rsidRPr="5F884969">
        <w:rPr>
          <w:rFonts w:ascii="Calibri" w:hAnsi="Calibri" w:cs="Arial"/>
        </w:rPr>
        <w:t xml:space="preserve">Almost 2700 Burlington residents were born in other countries with the largest component being from Vietnam. This corresponds to the early refugee resettlements beginning in 1989 through 1991 with 245 Vietnamese refugees. Vietnamese refugees continued to be resettled through 2002 bringing the total of Vietnamese refugees to 1056. Refugees from Bosnia were settled in Chittenden County beginning in 1993 through 2005. Somalia and Sudan refugees began arriving in 2003 and 2001 respectively. Groups from Iraq, Bhutan and Burma began to arrive in 2008. </w:t>
      </w:r>
    </w:p>
    <w:p w14:paraId="76BBBEF0" w14:textId="77777777" w:rsidR="00B408AE" w:rsidRDefault="00B408AE" w:rsidP="5F884969">
      <w:pPr>
        <w:spacing w:beforeAutospacing="1" w:afterAutospacing="1"/>
        <w:ind w:left="360"/>
        <w:rPr>
          <w:rFonts w:ascii="Calibri" w:hAnsi="Calibri" w:cs="Arial"/>
        </w:rPr>
      </w:pPr>
    </w:p>
    <w:p w14:paraId="1B990616" w14:textId="77777777" w:rsidR="00B408AE" w:rsidRDefault="00B408AE" w:rsidP="5F884969">
      <w:pPr>
        <w:spacing w:beforeAutospacing="1" w:afterAutospacing="1"/>
        <w:ind w:left="360"/>
        <w:rPr>
          <w:rFonts w:ascii="Calibri" w:hAnsi="Calibri" w:cs="Arial"/>
        </w:rPr>
      </w:pPr>
    </w:p>
    <w:p w14:paraId="588B2812" w14:textId="77777777" w:rsidR="00B408AE" w:rsidRDefault="00B408AE" w:rsidP="5F884969">
      <w:pPr>
        <w:spacing w:beforeAutospacing="1" w:afterAutospacing="1"/>
        <w:ind w:left="360"/>
        <w:rPr>
          <w:rFonts w:ascii="Calibri" w:hAnsi="Calibri" w:cs="Arial"/>
        </w:rPr>
      </w:pPr>
    </w:p>
    <w:p w14:paraId="6D8D2F93" w14:textId="77777777" w:rsidR="00B408AE" w:rsidRDefault="00B408AE" w:rsidP="5F884969">
      <w:pPr>
        <w:spacing w:beforeAutospacing="1" w:afterAutospacing="1"/>
        <w:ind w:left="360"/>
        <w:rPr>
          <w:rFonts w:ascii="Calibri" w:hAnsi="Calibri" w:cs="Arial"/>
        </w:rPr>
      </w:pPr>
    </w:p>
    <w:p w14:paraId="5C670FF7" w14:textId="77777777" w:rsidR="00B408AE" w:rsidRDefault="00B408AE" w:rsidP="5F884969">
      <w:pPr>
        <w:spacing w:beforeAutospacing="1" w:afterAutospacing="1"/>
        <w:ind w:left="360"/>
        <w:rPr>
          <w:rFonts w:ascii="Calibri" w:hAnsi="Calibri" w:cs="Arial"/>
        </w:rPr>
      </w:pPr>
    </w:p>
    <w:p w14:paraId="17AEACF5" w14:textId="77777777" w:rsidR="00884775" w:rsidRDefault="00884775" w:rsidP="5F884969">
      <w:pPr>
        <w:spacing w:beforeAutospacing="1" w:afterAutospacing="1"/>
        <w:ind w:left="360"/>
        <w:rPr>
          <w:rFonts w:ascii="Calibri" w:hAnsi="Calibri" w:cs="Arial"/>
        </w:rPr>
      </w:pPr>
    </w:p>
    <w:p w14:paraId="78DC506B" w14:textId="77777777" w:rsidR="00B408AE" w:rsidRDefault="00B408AE" w:rsidP="5F884969">
      <w:pPr>
        <w:spacing w:beforeAutospacing="1" w:afterAutospacing="1"/>
        <w:ind w:left="360"/>
        <w:rPr>
          <w:rFonts w:ascii="Calibri" w:hAnsi="Calibri" w:cs="Arial"/>
        </w:rPr>
      </w:pPr>
    </w:p>
    <w:p w14:paraId="026A7CF0" w14:textId="77777777" w:rsidR="0069192B" w:rsidRPr="0069192B" w:rsidRDefault="5F884969" w:rsidP="5F884969">
      <w:pPr>
        <w:spacing w:after="0"/>
        <w:ind w:left="360"/>
        <w:rPr>
          <w:sz w:val="20"/>
          <w:szCs w:val="20"/>
        </w:rPr>
      </w:pPr>
      <w:r w:rsidRPr="5F884969">
        <w:rPr>
          <w:b/>
          <w:bCs/>
          <w:i/>
          <w:iCs/>
          <w:sz w:val="20"/>
          <w:szCs w:val="20"/>
        </w:rPr>
        <w:lastRenderedPageBreak/>
        <w:t>Figure 7:</w:t>
      </w:r>
      <w:r w:rsidRPr="5F884969">
        <w:rPr>
          <w:sz w:val="20"/>
          <w:szCs w:val="20"/>
        </w:rPr>
        <w:t xml:space="preserve"> Foreign Born Residents Demographic Trends </w:t>
      </w:r>
      <w:proofErr w:type="gramStart"/>
      <w:r w:rsidRPr="5F884969">
        <w:rPr>
          <w:sz w:val="20"/>
          <w:szCs w:val="20"/>
        </w:rPr>
        <w:t>Over</w:t>
      </w:r>
      <w:proofErr w:type="gramEnd"/>
      <w:r w:rsidRPr="5F884969">
        <w:rPr>
          <w:sz w:val="20"/>
          <w:szCs w:val="20"/>
        </w:rPr>
        <w:t xml:space="preserve"> Time for Burlington, VT. Source: Decennial Census; ACS 2011-2015.</w:t>
      </w:r>
    </w:p>
    <w:p w14:paraId="74179E46" w14:textId="491FC609" w:rsidR="0069192B" w:rsidRDefault="0069192B" w:rsidP="0069192B">
      <w:pPr>
        <w:spacing w:after="0"/>
        <w:ind w:left="270"/>
      </w:pPr>
      <w:r>
        <w:rPr>
          <w:noProof/>
          <w:lang w:eastAsia="en-US"/>
        </w:rPr>
        <w:drawing>
          <wp:inline distT="0" distB="0" distL="0" distR="0" wp14:anchorId="62FD229B" wp14:editId="24257E42">
            <wp:extent cx="5943600" cy="2246630"/>
            <wp:effectExtent l="0" t="0" r="0" b="12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0524DE" w14:textId="77777777" w:rsidR="00FA52D6" w:rsidRDefault="5F884969" w:rsidP="5F884969">
      <w:pPr>
        <w:spacing w:beforeAutospacing="1" w:afterAutospacing="1"/>
        <w:ind w:left="360"/>
        <w:rPr>
          <w:rFonts w:ascii="Calibri" w:hAnsi="Calibri" w:cs="Arial"/>
        </w:rPr>
      </w:pPr>
      <w:r w:rsidRPr="5F884969">
        <w:rPr>
          <w:rFonts w:ascii="Calibri" w:hAnsi="Calibri" w:cs="Arial"/>
        </w:rPr>
        <w:t>The number of foreign-born residents increased dramatically from 2010 to 2015 as noted in the graph provided. More recent data has been gathered from the American Community Survey 2011-2015, reflecting a greater increase in the number of foreign born from 8% to over 13% of the City’s population. Foreign born residents represent 34% of Burlington’s non-white population.</w:t>
      </w:r>
    </w:p>
    <w:p w14:paraId="356399B2" w14:textId="77777777" w:rsidR="0069192B" w:rsidRPr="0069192B" w:rsidRDefault="5F884969" w:rsidP="5F884969">
      <w:pPr>
        <w:spacing w:after="0"/>
        <w:ind w:left="360"/>
        <w:rPr>
          <w:sz w:val="20"/>
          <w:szCs w:val="20"/>
        </w:rPr>
      </w:pPr>
      <w:r w:rsidRPr="5F884969">
        <w:rPr>
          <w:b/>
          <w:bCs/>
          <w:i/>
          <w:iCs/>
          <w:sz w:val="20"/>
          <w:szCs w:val="20"/>
        </w:rPr>
        <w:t>Figure 8:</w:t>
      </w:r>
      <w:r w:rsidRPr="5F884969">
        <w:rPr>
          <w:sz w:val="20"/>
          <w:szCs w:val="20"/>
        </w:rPr>
        <w:t xml:space="preserve"> Foreign Born Regions of Birth Demographics for Burlington, VT. Source: 2011-2015 ACS 5-Year Estimates.</w:t>
      </w:r>
    </w:p>
    <w:p w14:paraId="6EC4A9D6" w14:textId="754E310F" w:rsidR="0069192B" w:rsidRDefault="0069192B" w:rsidP="0069192B">
      <w:pPr>
        <w:spacing w:beforeAutospacing="1" w:afterAutospacing="1"/>
        <w:ind w:left="360"/>
        <w:rPr>
          <w:rFonts w:ascii="Calibri" w:hAnsi="Calibri" w:cs="Arial"/>
          <w:highlight w:val="yellow"/>
        </w:rPr>
      </w:pPr>
      <w:r>
        <w:rPr>
          <w:noProof/>
          <w:lang w:eastAsia="en-US"/>
        </w:rPr>
        <w:drawing>
          <wp:inline distT="0" distB="0" distL="0" distR="0" wp14:anchorId="53BCFA4B" wp14:editId="48FFC780">
            <wp:extent cx="5943600" cy="37338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1B25FC" w14:textId="48167D1A" w:rsidR="0087391C" w:rsidRPr="00236FF7" w:rsidRDefault="5F884969" w:rsidP="5F884969">
      <w:pPr>
        <w:spacing w:after="0"/>
        <w:ind w:left="360"/>
        <w:rPr>
          <w:sz w:val="20"/>
          <w:szCs w:val="20"/>
        </w:rPr>
      </w:pPr>
      <w:r w:rsidRPr="5F884969">
        <w:rPr>
          <w:b/>
          <w:bCs/>
          <w:i/>
          <w:iCs/>
          <w:sz w:val="20"/>
          <w:szCs w:val="20"/>
        </w:rPr>
        <w:lastRenderedPageBreak/>
        <w:t>Table 9:</w:t>
      </w:r>
      <w:r w:rsidRPr="5F884969">
        <w:rPr>
          <w:sz w:val="20"/>
          <w:szCs w:val="20"/>
        </w:rPr>
        <w:t xml:space="preserve"> National Origin Demographics for Burlington and Burlington-South Burlington Region. Source: Decennial Census 2010; ACS.</w:t>
      </w:r>
    </w:p>
    <w:tbl>
      <w:tblPr>
        <w:tblStyle w:val="TableGrid"/>
        <w:tblW w:w="9351" w:type="dxa"/>
        <w:tblInd w:w="364" w:type="dxa"/>
        <w:tblLook w:val="04A0" w:firstRow="1" w:lastRow="0" w:firstColumn="1" w:lastColumn="0" w:noHBand="0" w:noVBand="1"/>
      </w:tblPr>
      <w:tblGrid>
        <w:gridCol w:w="2356"/>
        <w:gridCol w:w="1742"/>
        <w:gridCol w:w="819"/>
        <w:gridCol w:w="764"/>
        <w:gridCol w:w="1742"/>
        <w:gridCol w:w="819"/>
        <w:gridCol w:w="1119"/>
      </w:tblGrid>
      <w:tr w:rsidR="0087391C" w:rsidRPr="00E072DA" w14:paraId="76A57EAE" w14:textId="77777777" w:rsidTr="000B5BAB">
        <w:trPr>
          <w:trHeight w:val="420"/>
        </w:trPr>
        <w:tc>
          <w:tcPr>
            <w:tcW w:w="2356" w:type="dxa"/>
            <w:noWrap/>
          </w:tcPr>
          <w:p w14:paraId="05EBC55C" w14:textId="39DDCAE1" w:rsidR="0087391C" w:rsidRPr="00587EB8" w:rsidRDefault="5F884969" w:rsidP="5F884969">
            <w:pPr>
              <w:rPr>
                <w:rFonts w:ascii="Calibri" w:hAnsi="Calibri"/>
                <w:b/>
                <w:bCs/>
              </w:rPr>
            </w:pPr>
            <w:r w:rsidRPr="5F884969">
              <w:rPr>
                <w:rFonts w:ascii="Calibri" w:hAnsi="Calibri"/>
                <w:b/>
                <w:bCs/>
              </w:rPr>
              <w:t>TABLE 9: National Origin Demographics</w:t>
            </w:r>
          </w:p>
          <w:p w14:paraId="40FF165E" w14:textId="77777777" w:rsidR="0087391C" w:rsidRPr="00587EB8" w:rsidRDefault="0087391C" w:rsidP="0025019A">
            <w:pPr>
              <w:rPr>
                <w:rFonts w:ascii="Calibri" w:hAnsi="Calibri"/>
                <w:b/>
                <w:bCs/>
              </w:rPr>
            </w:pPr>
          </w:p>
        </w:tc>
        <w:tc>
          <w:tcPr>
            <w:tcW w:w="3315" w:type="dxa"/>
            <w:gridSpan w:val="3"/>
            <w:noWrap/>
          </w:tcPr>
          <w:p w14:paraId="1509EA9C" w14:textId="77777777" w:rsidR="0087391C" w:rsidRPr="00587EB8" w:rsidRDefault="5F884969" w:rsidP="5F884969">
            <w:pPr>
              <w:rPr>
                <w:rFonts w:ascii="Calibri" w:hAnsi="Calibri"/>
              </w:rPr>
            </w:pPr>
            <w:r w:rsidRPr="5F884969">
              <w:rPr>
                <w:rFonts w:ascii="Calibri" w:hAnsi="Calibri"/>
                <w:b/>
                <w:bCs/>
              </w:rPr>
              <w:t> Burlington, VT</w:t>
            </w:r>
          </w:p>
        </w:tc>
        <w:tc>
          <w:tcPr>
            <w:tcW w:w="3680" w:type="dxa"/>
            <w:gridSpan w:val="3"/>
            <w:noWrap/>
          </w:tcPr>
          <w:p w14:paraId="387A1E64" w14:textId="77777777" w:rsidR="0087391C" w:rsidRPr="008564B3" w:rsidRDefault="5F884969" w:rsidP="5F884969">
            <w:pPr>
              <w:rPr>
                <w:rFonts w:ascii="Calibri" w:hAnsi="Calibri"/>
                <w:b/>
                <w:bCs/>
                <w:color w:val="000000" w:themeColor="text1"/>
              </w:rPr>
            </w:pPr>
            <w:r w:rsidRPr="5F884969">
              <w:rPr>
                <w:rFonts w:ascii="Calibri" w:hAnsi="Calibri"/>
                <w:b/>
                <w:bCs/>
                <w:color w:val="000000" w:themeColor="text1"/>
              </w:rPr>
              <w:t>Burlington-South Burlington Region</w:t>
            </w:r>
          </w:p>
          <w:p w14:paraId="3FECB340" w14:textId="77777777" w:rsidR="0087391C" w:rsidRPr="00587EB8" w:rsidRDefault="0087391C" w:rsidP="0025019A">
            <w:pPr>
              <w:rPr>
                <w:rFonts w:ascii="Calibri" w:hAnsi="Calibri"/>
              </w:rPr>
            </w:pPr>
          </w:p>
        </w:tc>
      </w:tr>
      <w:tr w:rsidR="0087391C" w:rsidRPr="00E072DA" w14:paraId="08863169" w14:textId="77777777" w:rsidTr="000B5BAB">
        <w:trPr>
          <w:trHeight w:val="420"/>
        </w:trPr>
        <w:tc>
          <w:tcPr>
            <w:tcW w:w="2356" w:type="dxa"/>
            <w:noWrap/>
            <w:hideMark/>
          </w:tcPr>
          <w:p w14:paraId="45F9D0A6" w14:textId="77777777" w:rsidR="0087391C" w:rsidRPr="00587EB8" w:rsidRDefault="5F884969" w:rsidP="5F884969">
            <w:pPr>
              <w:rPr>
                <w:rFonts w:ascii="Calibri" w:hAnsi="Calibri"/>
              </w:rPr>
            </w:pPr>
            <w:r w:rsidRPr="5F884969">
              <w:rPr>
                <w:rFonts w:ascii="Calibri" w:hAnsi="Calibri"/>
              </w:rPr>
              <w:t xml:space="preserve">#1 country of origin </w:t>
            </w:r>
          </w:p>
        </w:tc>
        <w:tc>
          <w:tcPr>
            <w:tcW w:w="1742" w:type="dxa"/>
            <w:noWrap/>
            <w:hideMark/>
          </w:tcPr>
          <w:p w14:paraId="1BC63877" w14:textId="77777777" w:rsidR="0087391C" w:rsidRPr="00587EB8" w:rsidRDefault="5F884969" w:rsidP="5F884969">
            <w:pPr>
              <w:rPr>
                <w:rFonts w:ascii="Calibri" w:hAnsi="Calibri"/>
              </w:rPr>
            </w:pPr>
            <w:r w:rsidRPr="5F884969">
              <w:rPr>
                <w:rFonts w:ascii="Calibri" w:hAnsi="Calibri"/>
              </w:rPr>
              <w:t>Vietnam</w:t>
            </w:r>
          </w:p>
        </w:tc>
        <w:tc>
          <w:tcPr>
            <w:tcW w:w="819" w:type="dxa"/>
            <w:noWrap/>
            <w:hideMark/>
          </w:tcPr>
          <w:p w14:paraId="1E70DDA3" w14:textId="77777777" w:rsidR="0087391C" w:rsidRPr="00587EB8" w:rsidRDefault="5F884969" w:rsidP="5F884969">
            <w:pPr>
              <w:rPr>
                <w:rFonts w:ascii="Calibri" w:hAnsi="Calibri"/>
              </w:rPr>
            </w:pPr>
            <w:r w:rsidRPr="5F884969">
              <w:rPr>
                <w:rFonts w:ascii="Calibri" w:hAnsi="Calibri"/>
              </w:rPr>
              <w:t>477</w:t>
            </w:r>
          </w:p>
        </w:tc>
        <w:tc>
          <w:tcPr>
            <w:tcW w:w="754" w:type="dxa"/>
            <w:noWrap/>
            <w:hideMark/>
          </w:tcPr>
          <w:p w14:paraId="6AF376BA" w14:textId="77777777" w:rsidR="0087391C" w:rsidRPr="00587EB8" w:rsidRDefault="5F884969" w:rsidP="5F884969">
            <w:pPr>
              <w:rPr>
                <w:rFonts w:ascii="Calibri" w:hAnsi="Calibri"/>
              </w:rPr>
            </w:pPr>
            <w:r w:rsidRPr="5F884969">
              <w:rPr>
                <w:rFonts w:ascii="Calibri" w:hAnsi="Calibri"/>
              </w:rPr>
              <w:t>1.16%</w:t>
            </w:r>
          </w:p>
        </w:tc>
        <w:tc>
          <w:tcPr>
            <w:tcW w:w="1742" w:type="dxa"/>
            <w:noWrap/>
            <w:hideMark/>
          </w:tcPr>
          <w:p w14:paraId="191EA679" w14:textId="77777777" w:rsidR="0087391C" w:rsidRPr="00587EB8" w:rsidRDefault="5F884969" w:rsidP="5F884969">
            <w:pPr>
              <w:rPr>
                <w:rFonts w:ascii="Calibri" w:hAnsi="Calibri"/>
              </w:rPr>
            </w:pPr>
            <w:r w:rsidRPr="5F884969">
              <w:rPr>
                <w:rFonts w:ascii="Calibri" w:hAnsi="Calibri"/>
              </w:rPr>
              <w:t>Canada</w:t>
            </w:r>
          </w:p>
        </w:tc>
        <w:tc>
          <w:tcPr>
            <w:tcW w:w="819" w:type="dxa"/>
            <w:noWrap/>
            <w:hideMark/>
          </w:tcPr>
          <w:p w14:paraId="47E52ED2" w14:textId="77777777" w:rsidR="0087391C" w:rsidRPr="00587EB8" w:rsidRDefault="5F884969" w:rsidP="5F884969">
            <w:pPr>
              <w:rPr>
                <w:rFonts w:ascii="Calibri" w:hAnsi="Calibri"/>
              </w:rPr>
            </w:pPr>
            <w:r w:rsidRPr="5F884969">
              <w:rPr>
                <w:rFonts w:ascii="Calibri" w:hAnsi="Calibri"/>
              </w:rPr>
              <w:t>2,534</w:t>
            </w:r>
          </w:p>
        </w:tc>
        <w:tc>
          <w:tcPr>
            <w:tcW w:w="1119" w:type="dxa"/>
            <w:noWrap/>
            <w:hideMark/>
          </w:tcPr>
          <w:p w14:paraId="3E421757" w14:textId="77777777" w:rsidR="0087391C" w:rsidRPr="00587EB8" w:rsidRDefault="5F884969" w:rsidP="5F884969">
            <w:pPr>
              <w:rPr>
                <w:rFonts w:ascii="Calibri" w:hAnsi="Calibri"/>
              </w:rPr>
            </w:pPr>
            <w:r w:rsidRPr="5F884969">
              <w:rPr>
                <w:rFonts w:ascii="Calibri" w:hAnsi="Calibri"/>
              </w:rPr>
              <w:t>1.26%</w:t>
            </w:r>
          </w:p>
        </w:tc>
      </w:tr>
      <w:tr w:rsidR="0087391C" w:rsidRPr="00E072DA" w14:paraId="02DA98BB" w14:textId="77777777" w:rsidTr="000B5BAB">
        <w:trPr>
          <w:trHeight w:val="420"/>
        </w:trPr>
        <w:tc>
          <w:tcPr>
            <w:tcW w:w="2356" w:type="dxa"/>
            <w:noWrap/>
            <w:hideMark/>
          </w:tcPr>
          <w:p w14:paraId="1F224397" w14:textId="77777777" w:rsidR="0087391C" w:rsidRPr="00587EB8" w:rsidRDefault="5F884969" w:rsidP="5F884969">
            <w:pPr>
              <w:rPr>
                <w:rFonts w:ascii="Calibri" w:hAnsi="Calibri"/>
              </w:rPr>
            </w:pPr>
            <w:r w:rsidRPr="5F884969">
              <w:rPr>
                <w:rFonts w:ascii="Calibri" w:hAnsi="Calibri"/>
              </w:rPr>
              <w:t>#2 country of origin</w:t>
            </w:r>
          </w:p>
        </w:tc>
        <w:tc>
          <w:tcPr>
            <w:tcW w:w="1742" w:type="dxa"/>
            <w:noWrap/>
            <w:hideMark/>
          </w:tcPr>
          <w:p w14:paraId="0087C569" w14:textId="77777777" w:rsidR="0087391C" w:rsidRPr="00587EB8" w:rsidRDefault="5F884969" w:rsidP="5F884969">
            <w:pPr>
              <w:rPr>
                <w:rFonts w:ascii="Calibri" w:hAnsi="Calibri"/>
              </w:rPr>
            </w:pPr>
            <w:r w:rsidRPr="5F884969">
              <w:rPr>
                <w:rFonts w:ascii="Calibri" w:hAnsi="Calibri"/>
              </w:rPr>
              <w:t>Bosnia &amp; Herzegovina</w:t>
            </w:r>
          </w:p>
        </w:tc>
        <w:tc>
          <w:tcPr>
            <w:tcW w:w="819" w:type="dxa"/>
            <w:noWrap/>
            <w:hideMark/>
          </w:tcPr>
          <w:p w14:paraId="73AD008B" w14:textId="77777777" w:rsidR="0087391C" w:rsidRPr="00587EB8" w:rsidRDefault="5F884969" w:rsidP="5F884969">
            <w:pPr>
              <w:rPr>
                <w:rFonts w:ascii="Calibri" w:hAnsi="Calibri"/>
              </w:rPr>
            </w:pPr>
            <w:r w:rsidRPr="5F884969">
              <w:rPr>
                <w:rFonts w:ascii="Calibri" w:hAnsi="Calibri"/>
              </w:rPr>
              <w:t>439</w:t>
            </w:r>
          </w:p>
        </w:tc>
        <w:tc>
          <w:tcPr>
            <w:tcW w:w="754" w:type="dxa"/>
            <w:noWrap/>
            <w:hideMark/>
          </w:tcPr>
          <w:p w14:paraId="4EFAC590" w14:textId="77777777" w:rsidR="0087391C" w:rsidRPr="00587EB8" w:rsidRDefault="5F884969" w:rsidP="5F884969">
            <w:pPr>
              <w:rPr>
                <w:rFonts w:ascii="Calibri" w:hAnsi="Calibri"/>
              </w:rPr>
            </w:pPr>
            <w:r w:rsidRPr="5F884969">
              <w:rPr>
                <w:rFonts w:ascii="Calibri" w:hAnsi="Calibri"/>
              </w:rPr>
              <w:t>1.07%</w:t>
            </w:r>
          </w:p>
        </w:tc>
        <w:tc>
          <w:tcPr>
            <w:tcW w:w="1742" w:type="dxa"/>
            <w:noWrap/>
            <w:hideMark/>
          </w:tcPr>
          <w:p w14:paraId="057A0E71" w14:textId="77777777" w:rsidR="0087391C" w:rsidRPr="00587EB8" w:rsidRDefault="5F884969" w:rsidP="5F884969">
            <w:pPr>
              <w:rPr>
                <w:rFonts w:ascii="Calibri" w:hAnsi="Calibri"/>
              </w:rPr>
            </w:pPr>
            <w:r w:rsidRPr="5F884969">
              <w:rPr>
                <w:rFonts w:ascii="Calibri" w:hAnsi="Calibri"/>
              </w:rPr>
              <w:t>Vietnam</w:t>
            </w:r>
          </w:p>
        </w:tc>
        <w:tc>
          <w:tcPr>
            <w:tcW w:w="819" w:type="dxa"/>
            <w:noWrap/>
            <w:hideMark/>
          </w:tcPr>
          <w:p w14:paraId="3688B275" w14:textId="77777777" w:rsidR="0087391C" w:rsidRPr="00587EB8" w:rsidRDefault="5F884969" w:rsidP="5F884969">
            <w:pPr>
              <w:rPr>
                <w:rFonts w:ascii="Calibri" w:hAnsi="Calibri"/>
              </w:rPr>
            </w:pPr>
            <w:r w:rsidRPr="5F884969">
              <w:rPr>
                <w:rFonts w:ascii="Calibri" w:hAnsi="Calibri"/>
              </w:rPr>
              <w:t>893</w:t>
            </w:r>
          </w:p>
        </w:tc>
        <w:tc>
          <w:tcPr>
            <w:tcW w:w="1119" w:type="dxa"/>
            <w:noWrap/>
            <w:hideMark/>
          </w:tcPr>
          <w:p w14:paraId="35330F31" w14:textId="77777777" w:rsidR="0087391C" w:rsidRPr="00587EB8" w:rsidRDefault="5F884969" w:rsidP="5F884969">
            <w:pPr>
              <w:rPr>
                <w:rFonts w:ascii="Calibri" w:hAnsi="Calibri"/>
              </w:rPr>
            </w:pPr>
            <w:r w:rsidRPr="5F884969">
              <w:rPr>
                <w:rFonts w:ascii="Calibri" w:hAnsi="Calibri"/>
              </w:rPr>
              <w:t>0.44%</w:t>
            </w:r>
          </w:p>
        </w:tc>
      </w:tr>
      <w:tr w:rsidR="0087391C" w:rsidRPr="00E072DA" w14:paraId="7E6A31FC" w14:textId="77777777" w:rsidTr="000B5BAB">
        <w:trPr>
          <w:trHeight w:val="420"/>
        </w:trPr>
        <w:tc>
          <w:tcPr>
            <w:tcW w:w="2356" w:type="dxa"/>
            <w:noWrap/>
            <w:hideMark/>
          </w:tcPr>
          <w:p w14:paraId="1721EDD1" w14:textId="77777777" w:rsidR="0087391C" w:rsidRPr="00587EB8" w:rsidRDefault="5F884969" w:rsidP="5F884969">
            <w:pPr>
              <w:rPr>
                <w:rFonts w:ascii="Calibri" w:hAnsi="Calibri"/>
              </w:rPr>
            </w:pPr>
            <w:r w:rsidRPr="5F884969">
              <w:rPr>
                <w:rFonts w:ascii="Calibri" w:hAnsi="Calibri"/>
              </w:rPr>
              <w:t>#3 country of origin</w:t>
            </w:r>
          </w:p>
        </w:tc>
        <w:tc>
          <w:tcPr>
            <w:tcW w:w="1742" w:type="dxa"/>
            <w:noWrap/>
            <w:hideMark/>
          </w:tcPr>
          <w:p w14:paraId="0BAD2108" w14:textId="77777777" w:rsidR="0087391C" w:rsidRPr="00587EB8" w:rsidRDefault="5F884969" w:rsidP="5F884969">
            <w:pPr>
              <w:rPr>
                <w:rFonts w:ascii="Calibri" w:hAnsi="Calibri"/>
              </w:rPr>
            </w:pPr>
            <w:r w:rsidRPr="5F884969">
              <w:rPr>
                <w:rFonts w:ascii="Calibri" w:hAnsi="Calibri"/>
              </w:rPr>
              <w:t>Other South Central Asia</w:t>
            </w:r>
          </w:p>
        </w:tc>
        <w:tc>
          <w:tcPr>
            <w:tcW w:w="819" w:type="dxa"/>
            <w:noWrap/>
            <w:hideMark/>
          </w:tcPr>
          <w:p w14:paraId="0BD8D992" w14:textId="77777777" w:rsidR="0087391C" w:rsidRPr="00587EB8" w:rsidRDefault="5F884969" w:rsidP="5F884969">
            <w:pPr>
              <w:rPr>
                <w:rFonts w:ascii="Calibri" w:hAnsi="Calibri"/>
              </w:rPr>
            </w:pPr>
            <w:r w:rsidRPr="5F884969">
              <w:rPr>
                <w:rFonts w:ascii="Calibri" w:hAnsi="Calibri"/>
              </w:rPr>
              <w:t>390</w:t>
            </w:r>
          </w:p>
        </w:tc>
        <w:tc>
          <w:tcPr>
            <w:tcW w:w="754" w:type="dxa"/>
            <w:noWrap/>
            <w:hideMark/>
          </w:tcPr>
          <w:p w14:paraId="191F6938" w14:textId="77777777" w:rsidR="0087391C" w:rsidRPr="00587EB8" w:rsidRDefault="5F884969" w:rsidP="5F884969">
            <w:pPr>
              <w:rPr>
                <w:rFonts w:ascii="Calibri" w:hAnsi="Calibri"/>
              </w:rPr>
            </w:pPr>
            <w:r w:rsidRPr="5F884969">
              <w:rPr>
                <w:rFonts w:ascii="Calibri" w:hAnsi="Calibri"/>
              </w:rPr>
              <w:t>0.95%</w:t>
            </w:r>
          </w:p>
        </w:tc>
        <w:tc>
          <w:tcPr>
            <w:tcW w:w="1742" w:type="dxa"/>
            <w:noWrap/>
            <w:hideMark/>
          </w:tcPr>
          <w:p w14:paraId="65143F24" w14:textId="77777777" w:rsidR="0087391C" w:rsidRPr="00587EB8" w:rsidRDefault="5F884969" w:rsidP="5F884969">
            <w:pPr>
              <w:rPr>
                <w:rFonts w:ascii="Calibri" w:hAnsi="Calibri"/>
              </w:rPr>
            </w:pPr>
            <w:r w:rsidRPr="5F884969">
              <w:rPr>
                <w:rFonts w:ascii="Calibri" w:hAnsi="Calibri"/>
              </w:rPr>
              <w:t>Bosnia &amp; Herzegovina</w:t>
            </w:r>
          </w:p>
        </w:tc>
        <w:tc>
          <w:tcPr>
            <w:tcW w:w="819" w:type="dxa"/>
            <w:noWrap/>
            <w:hideMark/>
          </w:tcPr>
          <w:p w14:paraId="54C731F3" w14:textId="77777777" w:rsidR="0087391C" w:rsidRPr="00587EB8" w:rsidRDefault="5F884969" w:rsidP="5F884969">
            <w:pPr>
              <w:rPr>
                <w:rFonts w:ascii="Calibri" w:hAnsi="Calibri"/>
              </w:rPr>
            </w:pPr>
            <w:r w:rsidRPr="5F884969">
              <w:rPr>
                <w:rFonts w:ascii="Calibri" w:hAnsi="Calibri"/>
              </w:rPr>
              <w:t>810</w:t>
            </w:r>
          </w:p>
        </w:tc>
        <w:tc>
          <w:tcPr>
            <w:tcW w:w="1119" w:type="dxa"/>
            <w:noWrap/>
            <w:hideMark/>
          </w:tcPr>
          <w:p w14:paraId="78D42A5D" w14:textId="77777777" w:rsidR="0087391C" w:rsidRPr="00587EB8" w:rsidRDefault="5F884969" w:rsidP="5F884969">
            <w:pPr>
              <w:rPr>
                <w:rFonts w:ascii="Calibri" w:hAnsi="Calibri"/>
              </w:rPr>
            </w:pPr>
            <w:r w:rsidRPr="5F884969">
              <w:rPr>
                <w:rFonts w:ascii="Calibri" w:hAnsi="Calibri"/>
              </w:rPr>
              <w:t>0.40%</w:t>
            </w:r>
          </w:p>
        </w:tc>
      </w:tr>
      <w:tr w:rsidR="0087391C" w:rsidRPr="00E072DA" w14:paraId="531B199D" w14:textId="77777777" w:rsidTr="000B5BAB">
        <w:trPr>
          <w:trHeight w:val="420"/>
        </w:trPr>
        <w:tc>
          <w:tcPr>
            <w:tcW w:w="2356" w:type="dxa"/>
            <w:noWrap/>
            <w:hideMark/>
          </w:tcPr>
          <w:p w14:paraId="4B0C88A8" w14:textId="77777777" w:rsidR="0087391C" w:rsidRPr="00587EB8" w:rsidRDefault="5F884969" w:rsidP="5F884969">
            <w:pPr>
              <w:rPr>
                <w:rFonts w:ascii="Calibri" w:hAnsi="Calibri"/>
              </w:rPr>
            </w:pPr>
            <w:r w:rsidRPr="5F884969">
              <w:rPr>
                <w:rFonts w:ascii="Calibri" w:hAnsi="Calibri"/>
              </w:rPr>
              <w:t>#4 country of origin</w:t>
            </w:r>
          </w:p>
        </w:tc>
        <w:tc>
          <w:tcPr>
            <w:tcW w:w="1742" w:type="dxa"/>
            <w:noWrap/>
            <w:hideMark/>
          </w:tcPr>
          <w:p w14:paraId="3AE37577" w14:textId="77777777" w:rsidR="0087391C" w:rsidRPr="00587EB8" w:rsidRDefault="5F884969" w:rsidP="5F884969">
            <w:pPr>
              <w:rPr>
                <w:rFonts w:ascii="Calibri" w:hAnsi="Calibri"/>
              </w:rPr>
            </w:pPr>
            <w:r w:rsidRPr="5F884969">
              <w:rPr>
                <w:rFonts w:ascii="Calibri" w:hAnsi="Calibri"/>
              </w:rPr>
              <w:t>Nepal</w:t>
            </w:r>
          </w:p>
        </w:tc>
        <w:tc>
          <w:tcPr>
            <w:tcW w:w="819" w:type="dxa"/>
            <w:noWrap/>
            <w:hideMark/>
          </w:tcPr>
          <w:p w14:paraId="431E274E" w14:textId="77777777" w:rsidR="0087391C" w:rsidRPr="00587EB8" w:rsidRDefault="5F884969" w:rsidP="5F884969">
            <w:pPr>
              <w:rPr>
                <w:rFonts w:ascii="Calibri" w:hAnsi="Calibri"/>
              </w:rPr>
            </w:pPr>
            <w:r w:rsidRPr="5F884969">
              <w:rPr>
                <w:rFonts w:ascii="Calibri" w:hAnsi="Calibri"/>
              </w:rPr>
              <w:t>307</w:t>
            </w:r>
          </w:p>
        </w:tc>
        <w:tc>
          <w:tcPr>
            <w:tcW w:w="754" w:type="dxa"/>
            <w:noWrap/>
            <w:hideMark/>
          </w:tcPr>
          <w:p w14:paraId="76D6A357" w14:textId="77777777" w:rsidR="0087391C" w:rsidRPr="00587EB8" w:rsidRDefault="5F884969" w:rsidP="5F884969">
            <w:pPr>
              <w:rPr>
                <w:rFonts w:ascii="Calibri" w:hAnsi="Calibri"/>
              </w:rPr>
            </w:pPr>
            <w:r w:rsidRPr="5F884969">
              <w:rPr>
                <w:rFonts w:ascii="Calibri" w:hAnsi="Calibri"/>
              </w:rPr>
              <w:t>0.75%</w:t>
            </w:r>
          </w:p>
        </w:tc>
        <w:tc>
          <w:tcPr>
            <w:tcW w:w="1742" w:type="dxa"/>
            <w:noWrap/>
            <w:hideMark/>
          </w:tcPr>
          <w:p w14:paraId="23452FCD" w14:textId="77777777" w:rsidR="0087391C" w:rsidRPr="00587EB8" w:rsidRDefault="5F884969" w:rsidP="5F884969">
            <w:pPr>
              <w:rPr>
                <w:rFonts w:ascii="Calibri" w:hAnsi="Calibri"/>
              </w:rPr>
            </w:pPr>
            <w:r w:rsidRPr="5F884969">
              <w:rPr>
                <w:rFonts w:ascii="Calibri" w:hAnsi="Calibri"/>
              </w:rPr>
              <w:t>China excl. Hong Kong &amp; Taiwan</w:t>
            </w:r>
          </w:p>
        </w:tc>
        <w:tc>
          <w:tcPr>
            <w:tcW w:w="819" w:type="dxa"/>
            <w:noWrap/>
            <w:hideMark/>
          </w:tcPr>
          <w:p w14:paraId="3047943B" w14:textId="77777777" w:rsidR="0087391C" w:rsidRPr="00587EB8" w:rsidRDefault="5F884969" w:rsidP="5F884969">
            <w:pPr>
              <w:rPr>
                <w:rFonts w:ascii="Calibri" w:hAnsi="Calibri"/>
              </w:rPr>
            </w:pPr>
            <w:r w:rsidRPr="5F884969">
              <w:rPr>
                <w:rFonts w:ascii="Calibri" w:hAnsi="Calibri"/>
              </w:rPr>
              <w:t>614</w:t>
            </w:r>
          </w:p>
        </w:tc>
        <w:tc>
          <w:tcPr>
            <w:tcW w:w="1119" w:type="dxa"/>
            <w:noWrap/>
            <w:hideMark/>
          </w:tcPr>
          <w:p w14:paraId="450E5D38" w14:textId="77777777" w:rsidR="0087391C" w:rsidRPr="00587EB8" w:rsidRDefault="5F884969" w:rsidP="5F884969">
            <w:pPr>
              <w:rPr>
                <w:rFonts w:ascii="Calibri" w:hAnsi="Calibri"/>
              </w:rPr>
            </w:pPr>
            <w:r w:rsidRPr="5F884969">
              <w:rPr>
                <w:rFonts w:ascii="Calibri" w:hAnsi="Calibri"/>
              </w:rPr>
              <w:t>0.30%</w:t>
            </w:r>
          </w:p>
        </w:tc>
      </w:tr>
      <w:tr w:rsidR="0087391C" w:rsidRPr="00E072DA" w14:paraId="19B5C340" w14:textId="77777777" w:rsidTr="000B5BAB">
        <w:trPr>
          <w:trHeight w:val="420"/>
        </w:trPr>
        <w:tc>
          <w:tcPr>
            <w:tcW w:w="2356" w:type="dxa"/>
            <w:noWrap/>
            <w:hideMark/>
          </w:tcPr>
          <w:p w14:paraId="51B287EE" w14:textId="77777777" w:rsidR="0087391C" w:rsidRPr="00587EB8" w:rsidRDefault="5F884969" w:rsidP="5F884969">
            <w:pPr>
              <w:rPr>
                <w:rFonts w:ascii="Calibri" w:hAnsi="Calibri"/>
              </w:rPr>
            </w:pPr>
            <w:r w:rsidRPr="5F884969">
              <w:rPr>
                <w:rFonts w:ascii="Calibri" w:hAnsi="Calibri"/>
              </w:rPr>
              <w:t>#5 country of origin</w:t>
            </w:r>
          </w:p>
        </w:tc>
        <w:tc>
          <w:tcPr>
            <w:tcW w:w="1742" w:type="dxa"/>
            <w:noWrap/>
            <w:hideMark/>
          </w:tcPr>
          <w:p w14:paraId="4915A4E1" w14:textId="77777777" w:rsidR="0087391C" w:rsidRPr="00587EB8" w:rsidRDefault="5F884969" w:rsidP="5F884969">
            <w:pPr>
              <w:rPr>
                <w:rFonts w:ascii="Calibri" w:hAnsi="Calibri"/>
              </w:rPr>
            </w:pPr>
            <w:r w:rsidRPr="5F884969">
              <w:rPr>
                <w:rFonts w:ascii="Calibri" w:hAnsi="Calibri"/>
              </w:rPr>
              <w:t>Canada</w:t>
            </w:r>
          </w:p>
        </w:tc>
        <w:tc>
          <w:tcPr>
            <w:tcW w:w="819" w:type="dxa"/>
            <w:noWrap/>
            <w:hideMark/>
          </w:tcPr>
          <w:p w14:paraId="5E632966" w14:textId="77777777" w:rsidR="0087391C" w:rsidRPr="00587EB8" w:rsidRDefault="5F884969" w:rsidP="5F884969">
            <w:pPr>
              <w:rPr>
                <w:rFonts w:ascii="Calibri" w:hAnsi="Calibri"/>
              </w:rPr>
            </w:pPr>
            <w:r w:rsidRPr="5F884969">
              <w:rPr>
                <w:rFonts w:ascii="Calibri" w:hAnsi="Calibri"/>
              </w:rPr>
              <w:t>265</w:t>
            </w:r>
          </w:p>
        </w:tc>
        <w:tc>
          <w:tcPr>
            <w:tcW w:w="754" w:type="dxa"/>
            <w:noWrap/>
            <w:hideMark/>
          </w:tcPr>
          <w:p w14:paraId="1D3809D8" w14:textId="77777777" w:rsidR="0087391C" w:rsidRPr="00587EB8" w:rsidRDefault="5F884969" w:rsidP="5F884969">
            <w:pPr>
              <w:rPr>
                <w:rFonts w:ascii="Calibri" w:hAnsi="Calibri"/>
              </w:rPr>
            </w:pPr>
            <w:r w:rsidRPr="5F884969">
              <w:rPr>
                <w:rFonts w:ascii="Calibri" w:hAnsi="Calibri"/>
              </w:rPr>
              <w:t>0.65%</w:t>
            </w:r>
          </w:p>
        </w:tc>
        <w:tc>
          <w:tcPr>
            <w:tcW w:w="1742" w:type="dxa"/>
            <w:noWrap/>
            <w:hideMark/>
          </w:tcPr>
          <w:p w14:paraId="09DE6A81" w14:textId="77777777" w:rsidR="0087391C" w:rsidRPr="00587EB8" w:rsidRDefault="5F884969" w:rsidP="5F884969">
            <w:pPr>
              <w:rPr>
                <w:rFonts w:ascii="Calibri" w:hAnsi="Calibri"/>
              </w:rPr>
            </w:pPr>
            <w:r w:rsidRPr="5F884969">
              <w:rPr>
                <w:rFonts w:ascii="Calibri" w:hAnsi="Calibri"/>
              </w:rPr>
              <w:t>Other South Central Asia</w:t>
            </w:r>
          </w:p>
        </w:tc>
        <w:tc>
          <w:tcPr>
            <w:tcW w:w="819" w:type="dxa"/>
            <w:noWrap/>
            <w:hideMark/>
          </w:tcPr>
          <w:p w14:paraId="34A891D5" w14:textId="77777777" w:rsidR="0087391C" w:rsidRPr="00587EB8" w:rsidRDefault="5F884969" w:rsidP="5F884969">
            <w:pPr>
              <w:rPr>
                <w:rFonts w:ascii="Calibri" w:hAnsi="Calibri"/>
              </w:rPr>
            </w:pPr>
            <w:r w:rsidRPr="5F884969">
              <w:rPr>
                <w:rFonts w:ascii="Calibri" w:hAnsi="Calibri"/>
              </w:rPr>
              <w:t>520</w:t>
            </w:r>
          </w:p>
        </w:tc>
        <w:tc>
          <w:tcPr>
            <w:tcW w:w="1119" w:type="dxa"/>
            <w:noWrap/>
            <w:hideMark/>
          </w:tcPr>
          <w:p w14:paraId="41EF7058" w14:textId="77777777" w:rsidR="0087391C" w:rsidRPr="00587EB8" w:rsidRDefault="5F884969" w:rsidP="5F884969">
            <w:pPr>
              <w:rPr>
                <w:rFonts w:ascii="Calibri" w:hAnsi="Calibri"/>
              </w:rPr>
            </w:pPr>
            <w:r w:rsidRPr="5F884969">
              <w:rPr>
                <w:rFonts w:ascii="Calibri" w:hAnsi="Calibri"/>
              </w:rPr>
              <w:t>0.26%</w:t>
            </w:r>
          </w:p>
        </w:tc>
      </w:tr>
      <w:tr w:rsidR="0087391C" w:rsidRPr="00E072DA" w14:paraId="5E31A50A" w14:textId="77777777" w:rsidTr="000B5BAB">
        <w:trPr>
          <w:trHeight w:val="420"/>
        </w:trPr>
        <w:tc>
          <w:tcPr>
            <w:tcW w:w="2356" w:type="dxa"/>
            <w:noWrap/>
            <w:hideMark/>
          </w:tcPr>
          <w:p w14:paraId="6D103B93" w14:textId="77777777" w:rsidR="0087391C" w:rsidRPr="00587EB8" w:rsidRDefault="5F884969" w:rsidP="5F884969">
            <w:pPr>
              <w:rPr>
                <w:rFonts w:ascii="Calibri" w:hAnsi="Calibri"/>
              </w:rPr>
            </w:pPr>
            <w:r w:rsidRPr="5F884969">
              <w:rPr>
                <w:rFonts w:ascii="Calibri" w:hAnsi="Calibri"/>
              </w:rPr>
              <w:t>#6 country of origin</w:t>
            </w:r>
          </w:p>
        </w:tc>
        <w:tc>
          <w:tcPr>
            <w:tcW w:w="1742" w:type="dxa"/>
            <w:noWrap/>
            <w:hideMark/>
          </w:tcPr>
          <w:p w14:paraId="22CA61A0" w14:textId="77777777" w:rsidR="0087391C" w:rsidRPr="00587EB8" w:rsidRDefault="5F884969" w:rsidP="5F884969">
            <w:pPr>
              <w:rPr>
                <w:rFonts w:ascii="Calibri" w:hAnsi="Calibri"/>
              </w:rPr>
            </w:pPr>
            <w:r w:rsidRPr="5F884969">
              <w:rPr>
                <w:rFonts w:ascii="Calibri" w:hAnsi="Calibri"/>
              </w:rPr>
              <w:t>Other Eastern Africa</w:t>
            </w:r>
          </w:p>
        </w:tc>
        <w:tc>
          <w:tcPr>
            <w:tcW w:w="819" w:type="dxa"/>
            <w:noWrap/>
            <w:hideMark/>
          </w:tcPr>
          <w:p w14:paraId="49100E44" w14:textId="77777777" w:rsidR="0087391C" w:rsidRPr="00587EB8" w:rsidRDefault="5F884969" w:rsidP="5F884969">
            <w:pPr>
              <w:rPr>
                <w:rFonts w:ascii="Calibri" w:hAnsi="Calibri"/>
              </w:rPr>
            </w:pPr>
            <w:r w:rsidRPr="5F884969">
              <w:rPr>
                <w:rFonts w:ascii="Calibri" w:hAnsi="Calibri"/>
              </w:rPr>
              <w:t>199</w:t>
            </w:r>
          </w:p>
        </w:tc>
        <w:tc>
          <w:tcPr>
            <w:tcW w:w="754" w:type="dxa"/>
            <w:noWrap/>
            <w:hideMark/>
          </w:tcPr>
          <w:p w14:paraId="08002A10" w14:textId="77777777" w:rsidR="0087391C" w:rsidRPr="00587EB8" w:rsidRDefault="5F884969" w:rsidP="5F884969">
            <w:pPr>
              <w:rPr>
                <w:rFonts w:ascii="Calibri" w:hAnsi="Calibri"/>
              </w:rPr>
            </w:pPr>
            <w:r w:rsidRPr="5F884969">
              <w:rPr>
                <w:rFonts w:ascii="Calibri" w:hAnsi="Calibri"/>
              </w:rPr>
              <w:t>0.49%</w:t>
            </w:r>
          </w:p>
        </w:tc>
        <w:tc>
          <w:tcPr>
            <w:tcW w:w="1742" w:type="dxa"/>
            <w:noWrap/>
            <w:hideMark/>
          </w:tcPr>
          <w:p w14:paraId="095A55BF" w14:textId="77777777" w:rsidR="0087391C" w:rsidRPr="00587EB8" w:rsidRDefault="5F884969" w:rsidP="5F884969">
            <w:pPr>
              <w:rPr>
                <w:rFonts w:ascii="Calibri" w:hAnsi="Calibri"/>
              </w:rPr>
            </w:pPr>
            <w:r w:rsidRPr="5F884969">
              <w:rPr>
                <w:rFonts w:ascii="Calibri" w:hAnsi="Calibri"/>
              </w:rPr>
              <w:t>Other Eastern Africa</w:t>
            </w:r>
          </w:p>
        </w:tc>
        <w:tc>
          <w:tcPr>
            <w:tcW w:w="819" w:type="dxa"/>
            <w:noWrap/>
            <w:hideMark/>
          </w:tcPr>
          <w:p w14:paraId="6998411F" w14:textId="77777777" w:rsidR="0087391C" w:rsidRPr="00587EB8" w:rsidRDefault="5F884969" w:rsidP="5F884969">
            <w:pPr>
              <w:rPr>
                <w:rFonts w:ascii="Calibri" w:hAnsi="Calibri"/>
              </w:rPr>
            </w:pPr>
            <w:r w:rsidRPr="5F884969">
              <w:rPr>
                <w:rFonts w:ascii="Calibri" w:hAnsi="Calibri"/>
              </w:rPr>
              <w:t>484</w:t>
            </w:r>
          </w:p>
        </w:tc>
        <w:tc>
          <w:tcPr>
            <w:tcW w:w="1119" w:type="dxa"/>
            <w:noWrap/>
            <w:hideMark/>
          </w:tcPr>
          <w:p w14:paraId="11074012" w14:textId="77777777" w:rsidR="0087391C" w:rsidRPr="00587EB8" w:rsidRDefault="5F884969" w:rsidP="5F884969">
            <w:pPr>
              <w:rPr>
                <w:rFonts w:ascii="Calibri" w:hAnsi="Calibri"/>
              </w:rPr>
            </w:pPr>
            <w:r w:rsidRPr="5F884969">
              <w:rPr>
                <w:rFonts w:ascii="Calibri" w:hAnsi="Calibri"/>
              </w:rPr>
              <w:t>0.24%</w:t>
            </w:r>
          </w:p>
        </w:tc>
      </w:tr>
      <w:tr w:rsidR="0087391C" w:rsidRPr="00E072DA" w14:paraId="0603E192" w14:textId="77777777" w:rsidTr="000B5BAB">
        <w:trPr>
          <w:trHeight w:val="420"/>
        </w:trPr>
        <w:tc>
          <w:tcPr>
            <w:tcW w:w="2356" w:type="dxa"/>
            <w:noWrap/>
            <w:hideMark/>
          </w:tcPr>
          <w:p w14:paraId="31955ACF" w14:textId="77777777" w:rsidR="0087391C" w:rsidRPr="00587EB8" w:rsidRDefault="5F884969" w:rsidP="5F884969">
            <w:pPr>
              <w:rPr>
                <w:rFonts w:ascii="Calibri" w:hAnsi="Calibri"/>
              </w:rPr>
            </w:pPr>
            <w:r w:rsidRPr="5F884969">
              <w:rPr>
                <w:rFonts w:ascii="Calibri" w:hAnsi="Calibri"/>
              </w:rPr>
              <w:t>#7 country of origin</w:t>
            </w:r>
          </w:p>
        </w:tc>
        <w:tc>
          <w:tcPr>
            <w:tcW w:w="1742" w:type="dxa"/>
            <w:noWrap/>
            <w:hideMark/>
          </w:tcPr>
          <w:p w14:paraId="49C97970" w14:textId="77777777" w:rsidR="0087391C" w:rsidRPr="00587EB8" w:rsidRDefault="5F884969" w:rsidP="5F884969">
            <w:pPr>
              <w:rPr>
                <w:rFonts w:ascii="Calibri" w:hAnsi="Calibri"/>
              </w:rPr>
            </w:pPr>
            <w:r w:rsidRPr="5F884969">
              <w:rPr>
                <w:rFonts w:ascii="Calibri" w:hAnsi="Calibri"/>
              </w:rPr>
              <w:t>China excl. Hong Kong &amp; Taiwan</w:t>
            </w:r>
          </w:p>
        </w:tc>
        <w:tc>
          <w:tcPr>
            <w:tcW w:w="819" w:type="dxa"/>
            <w:noWrap/>
            <w:hideMark/>
          </w:tcPr>
          <w:p w14:paraId="5144870B" w14:textId="77777777" w:rsidR="0087391C" w:rsidRPr="00587EB8" w:rsidRDefault="5F884969" w:rsidP="5F884969">
            <w:pPr>
              <w:rPr>
                <w:rFonts w:ascii="Calibri" w:hAnsi="Calibri"/>
              </w:rPr>
            </w:pPr>
            <w:r w:rsidRPr="5F884969">
              <w:rPr>
                <w:rFonts w:ascii="Calibri" w:hAnsi="Calibri"/>
              </w:rPr>
              <w:t>169</w:t>
            </w:r>
          </w:p>
        </w:tc>
        <w:tc>
          <w:tcPr>
            <w:tcW w:w="754" w:type="dxa"/>
            <w:noWrap/>
            <w:hideMark/>
          </w:tcPr>
          <w:p w14:paraId="4CFD842B" w14:textId="77777777" w:rsidR="0087391C" w:rsidRPr="00587EB8" w:rsidRDefault="5F884969" w:rsidP="5F884969">
            <w:pPr>
              <w:rPr>
                <w:rFonts w:ascii="Calibri" w:hAnsi="Calibri"/>
              </w:rPr>
            </w:pPr>
            <w:r w:rsidRPr="5F884969">
              <w:rPr>
                <w:rFonts w:ascii="Calibri" w:hAnsi="Calibri"/>
              </w:rPr>
              <w:t>0.41%</w:t>
            </w:r>
          </w:p>
        </w:tc>
        <w:tc>
          <w:tcPr>
            <w:tcW w:w="1742" w:type="dxa"/>
            <w:noWrap/>
            <w:hideMark/>
          </w:tcPr>
          <w:p w14:paraId="34C430ED" w14:textId="77777777" w:rsidR="0087391C" w:rsidRPr="00587EB8" w:rsidRDefault="5F884969" w:rsidP="5F884969">
            <w:pPr>
              <w:rPr>
                <w:rFonts w:ascii="Calibri" w:hAnsi="Calibri"/>
              </w:rPr>
            </w:pPr>
            <w:r w:rsidRPr="5F884969">
              <w:rPr>
                <w:rFonts w:ascii="Calibri" w:hAnsi="Calibri"/>
              </w:rPr>
              <w:t>Germany</w:t>
            </w:r>
          </w:p>
        </w:tc>
        <w:tc>
          <w:tcPr>
            <w:tcW w:w="819" w:type="dxa"/>
            <w:noWrap/>
            <w:hideMark/>
          </w:tcPr>
          <w:p w14:paraId="6595BCA0" w14:textId="77777777" w:rsidR="0087391C" w:rsidRPr="00587EB8" w:rsidRDefault="5F884969" w:rsidP="5F884969">
            <w:pPr>
              <w:rPr>
                <w:rFonts w:ascii="Calibri" w:hAnsi="Calibri"/>
              </w:rPr>
            </w:pPr>
            <w:r w:rsidRPr="5F884969">
              <w:rPr>
                <w:rFonts w:ascii="Calibri" w:hAnsi="Calibri"/>
              </w:rPr>
              <w:t>481</w:t>
            </w:r>
          </w:p>
        </w:tc>
        <w:tc>
          <w:tcPr>
            <w:tcW w:w="1119" w:type="dxa"/>
            <w:noWrap/>
            <w:hideMark/>
          </w:tcPr>
          <w:p w14:paraId="3C723FBC" w14:textId="77777777" w:rsidR="0087391C" w:rsidRPr="00587EB8" w:rsidRDefault="5F884969" w:rsidP="5F884969">
            <w:pPr>
              <w:rPr>
                <w:rFonts w:ascii="Calibri" w:hAnsi="Calibri"/>
              </w:rPr>
            </w:pPr>
            <w:r w:rsidRPr="5F884969">
              <w:rPr>
                <w:rFonts w:ascii="Calibri" w:hAnsi="Calibri"/>
              </w:rPr>
              <w:t>0.24%</w:t>
            </w:r>
          </w:p>
        </w:tc>
      </w:tr>
      <w:tr w:rsidR="0087391C" w:rsidRPr="00E072DA" w14:paraId="755C5EE8" w14:textId="77777777" w:rsidTr="000B5BAB">
        <w:trPr>
          <w:trHeight w:val="420"/>
        </w:trPr>
        <w:tc>
          <w:tcPr>
            <w:tcW w:w="2356" w:type="dxa"/>
            <w:noWrap/>
            <w:hideMark/>
          </w:tcPr>
          <w:p w14:paraId="5DF16272" w14:textId="77777777" w:rsidR="0087391C" w:rsidRPr="00587EB8" w:rsidRDefault="5F884969" w:rsidP="5F884969">
            <w:pPr>
              <w:rPr>
                <w:rFonts w:ascii="Calibri" w:hAnsi="Calibri"/>
              </w:rPr>
            </w:pPr>
            <w:r w:rsidRPr="5F884969">
              <w:rPr>
                <w:rFonts w:ascii="Calibri" w:hAnsi="Calibri"/>
              </w:rPr>
              <w:t>#8 country of origin</w:t>
            </w:r>
          </w:p>
        </w:tc>
        <w:tc>
          <w:tcPr>
            <w:tcW w:w="1742" w:type="dxa"/>
            <w:noWrap/>
            <w:hideMark/>
          </w:tcPr>
          <w:p w14:paraId="105AA967" w14:textId="77777777" w:rsidR="0087391C" w:rsidRPr="00587EB8" w:rsidRDefault="5F884969" w:rsidP="5F884969">
            <w:pPr>
              <w:rPr>
                <w:rFonts w:ascii="Calibri" w:hAnsi="Calibri"/>
              </w:rPr>
            </w:pPr>
            <w:r w:rsidRPr="5F884969">
              <w:rPr>
                <w:rFonts w:ascii="Calibri" w:hAnsi="Calibri"/>
              </w:rPr>
              <w:t>India</w:t>
            </w:r>
          </w:p>
        </w:tc>
        <w:tc>
          <w:tcPr>
            <w:tcW w:w="819" w:type="dxa"/>
            <w:noWrap/>
            <w:hideMark/>
          </w:tcPr>
          <w:p w14:paraId="01217CCF" w14:textId="77777777" w:rsidR="0087391C" w:rsidRPr="00587EB8" w:rsidRDefault="5F884969" w:rsidP="5F884969">
            <w:pPr>
              <w:rPr>
                <w:rFonts w:ascii="Calibri" w:hAnsi="Calibri"/>
              </w:rPr>
            </w:pPr>
            <w:r w:rsidRPr="5F884969">
              <w:rPr>
                <w:rFonts w:ascii="Calibri" w:hAnsi="Calibri"/>
              </w:rPr>
              <w:t>161</w:t>
            </w:r>
          </w:p>
        </w:tc>
        <w:tc>
          <w:tcPr>
            <w:tcW w:w="754" w:type="dxa"/>
            <w:noWrap/>
            <w:hideMark/>
          </w:tcPr>
          <w:p w14:paraId="7CBDC100" w14:textId="77777777" w:rsidR="0087391C" w:rsidRPr="00587EB8" w:rsidRDefault="5F884969" w:rsidP="5F884969">
            <w:pPr>
              <w:rPr>
                <w:rFonts w:ascii="Calibri" w:hAnsi="Calibri"/>
              </w:rPr>
            </w:pPr>
            <w:r w:rsidRPr="5F884969">
              <w:rPr>
                <w:rFonts w:ascii="Calibri" w:hAnsi="Calibri"/>
              </w:rPr>
              <w:t>0.39%</w:t>
            </w:r>
          </w:p>
        </w:tc>
        <w:tc>
          <w:tcPr>
            <w:tcW w:w="1742" w:type="dxa"/>
            <w:noWrap/>
            <w:hideMark/>
          </w:tcPr>
          <w:p w14:paraId="16A218DC" w14:textId="77777777" w:rsidR="0087391C" w:rsidRPr="00587EB8" w:rsidRDefault="5F884969" w:rsidP="5F884969">
            <w:pPr>
              <w:rPr>
                <w:rFonts w:ascii="Calibri" w:hAnsi="Calibri"/>
              </w:rPr>
            </w:pPr>
            <w:r w:rsidRPr="5F884969">
              <w:rPr>
                <w:rFonts w:ascii="Calibri" w:hAnsi="Calibri"/>
              </w:rPr>
              <w:t>India</w:t>
            </w:r>
          </w:p>
        </w:tc>
        <w:tc>
          <w:tcPr>
            <w:tcW w:w="819" w:type="dxa"/>
            <w:noWrap/>
            <w:hideMark/>
          </w:tcPr>
          <w:p w14:paraId="63A078AD" w14:textId="77777777" w:rsidR="0087391C" w:rsidRPr="00587EB8" w:rsidRDefault="5F884969" w:rsidP="5F884969">
            <w:pPr>
              <w:rPr>
                <w:rFonts w:ascii="Calibri" w:hAnsi="Calibri"/>
              </w:rPr>
            </w:pPr>
            <w:r w:rsidRPr="5F884969">
              <w:rPr>
                <w:rFonts w:ascii="Calibri" w:hAnsi="Calibri"/>
              </w:rPr>
              <w:t>424</w:t>
            </w:r>
          </w:p>
        </w:tc>
        <w:tc>
          <w:tcPr>
            <w:tcW w:w="1119" w:type="dxa"/>
            <w:noWrap/>
            <w:hideMark/>
          </w:tcPr>
          <w:p w14:paraId="1E426D00" w14:textId="77777777" w:rsidR="0087391C" w:rsidRPr="00587EB8" w:rsidRDefault="5F884969" w:rsidP="5F884969">
            <w:pPr>
              <w:rPr>
                <w:rFonts w:ascii="Calibri" w:hAnsi="Calibri"/>
              </w:rPr>
            </w:pPr>
            <w:r w:rsidRPr="5F884969">
              <w:rPr>
                <w:rFonts w:ascii="Calibri" w:hAnsi="Calibri"/>
              </w:rPr>
              <w:t>0.21%</w:t>
            </w:r>
          </w:p>
        </w:tc>
      </w:tr>
      <w:tr w:rsidR="0087391C" w:rsidRPr="00E072DA" w14:paraId="2BB2E253" w14:textId="77777777" w:rsidTr="000B5BAB">
        <w:trPr>
          <w:trHeight w:val="420"/>
        </w:trPr>
        <w:tc>
          <w:tcPr>
            <w:tcW w:w="2356" w:type="dxa"/>
            <w:noWrap/>
            <w:hideMark/>
          </w:tcPr>
          <w:p w14:paraId="73B1D62D" w14:textId="77777777" w:rsidR="0087391C" w:rsidRPr="00587EB8" w:rsidRDefault="5F884969" w:rsidP="5F884969">
            <w:pPr>
              <w:rPr>
                <w:rFonts w:ascii="Calibri" w:hAnsi="Calibri"/>
              </w:rPr>
            </w:pPr>
            <w:r w:rsidRPr="5F884969">
              <w:rPr>
                <w:rFonts w:ascii="Calibri" w:hAnsi="Calibri"/>
              </w:rPr>
              <w:t>#9 country of origin</w:t>
            </w:r>
          </w:p>
        </w:tc>
        <w:tc>
          <w:tcPr>
            <w:tcW w:w="1742" w:type="dxa"/>
            <w:noWrap/>
            <w:hideMark/>
          </w:tcPr>
          <w:p w14:paraId="08726BC5" w14:textId="77777777" w:rsidR="0087391C" w:rsidRPr="00587EB8" w:rsidRDefault="5F884969" w:rsidP="5F884969">
            <w:pPr>
              <w:rPr>
                <w:rFonts w:ascii="Calibri" w:hAnsi="Calibri"/>
              </w:rPr>
            </w:pPr>
            <w:r w:rsidRPr="5F884969">
              <w:rPr>
                <w:rFonts w:ascii="Calibri" w:hAnsi="Calibri"/>
              </w:rPr>
              <w:t>Germany</w:t>
            </w:r>
          </w:p>
        </w:tc>
        <w:tc>
          <w:tcPr>
            <w:tcW w:w="819" w:type="dxa"/>
            <w:noWrap/>
            <w:hideMark/>
          </w:tcPr>
          <w:p w14:paraId="289D1BF1" w14:textId="77777777" w:rsidR="0087391C" w:rsidRPr="00587EB8" w:rsidRDefault="5F884969" w:rsidP="5F884969">
            <w:pPr>
              <w:rPr>
                <w:rFonts w:ascii="Calibri" w:hAnsi="Calibri"/>
              </w:rPr>
            </w:pPr>
            <w:r w:rsidRPr="5F884969">
              <w:rPr>
                <w:rFonts w:ascii="Calibri" w:hAnsi="Calibri"/>
              </w:rPr>
              <w:t>153</w:t>
            </w:r>
          </w:p>
        </w:tc>
        <w:tc>
          <w:tcPr>
            <w:tcW w:w="754" w:type="dxa"/>
            <w:noWrap/>
            <w:hideMark/>
          </w:tcPr>
          <w:p w14:paraId="2E45A8F2" w14:textId="77777777" w:rsidR="0087391C" w:rsidRPr="00587EB8" w:rsidRDefault="5F884969" w:rsidP="5F884969">
            <w:pPr>
              <w:rPr>
                <w:rFonts w:ascii="Calibri" w:hAnsi="Calibri"/>
              </w:rPr>
            </w:pPr>
            <w:r w:rsidRPr="5F884969">
              <w:rPr>
                <w:rFonts w:ascii="Calibri" w:hAnsi="Calibri"/>
              </w:rPr>
              <w:t>0.37%</w:t>
            </w:r>
          </w:p>
        </w:tc>
        <w:tc>
          <w:tcPr>
            <w:tcW w:w="1742" w:type="dxa"/>
            <w:noWrap/>
            <w:hideMark/>
          </w:tcPr>
          <w:p w14:paraId="416F0ED3" w14:textId="77777777" w:rsidR="0087391C" w:rsidRPr="00587EB8" w:rsidRDefault="5F884969" w:rsidP="5F884969">
            <w:pPr>
              <w:rPr>
                <w:rFonts w:ascii="Calibri" w:hAnsi="Calibri"/>
              </w:rPr>
            </w:pPr>
            <w:r w:rsidRPr="5F884969">
              <w:rPr>
                <w:rFonts w:ascii="Calibri" w:hAnsi="Calibri"/>
              </w:rPr>
              <w:t>Nepal</w:t>
            </w:r>
          </w:p>
        </w:tc>
        <w:tc>
          <w:tcPr>
            <w:tcW w:w="819" w:type="dxa"/>
            <w:noWrap/>
            <w:hideMark/>
          </w:tcPr>
          <w:p w14:paraId="5C98965B" w14:textId="77777777" w:rsidR="0087391C" w:rsidRPr="00587EB8" w:rsidRDefault="5F884969" w:rsidP="5F884969">
            <w:pPr>
              <w:rPr>
                <w:rFonts w:ascii="Calibri" w:hAnsi="Calibri"/>
              </w:rPr>
            </w:pPr>
            <w:r w:rsidRPr="5F884969">
              <w:rPr>
                <w:rFonts w:ascii="Calibri" w:hAnsi="Calibri"/>
              </w:rPr>
              <w:t>352</w:t>
            </w:r>
          </w:p>
        </w:tc>
        <w:tc>
          <w:tcPr>
            <w:tcW w:w="1119" w:type="dxa"/>
            <w:noWrap/>
            <w:hideMark/>
          </w:tcPr>
          <w:p w14:paraId="64CD1BDD" w14:textId="77777777" w:rsidR="0087391C" w:rsidRPr="00587EB8" w:rsidRDefault="5F884969" w:rsidP="5F884969">
            <w:pPr>
              <w:rPr>
                <w:rFonts w:ascii="Calibri" w:hAnsi="Calibri"/>
              </w:rPr>
            </w:pPr>
            <w:r w:rsidRPr="5F884969">
              <w:rPr>
                <w:rFonts w:ascii="Calibri" w:hAnsi="Calibri"/>
              </w:rPr>
              <w:t>0.17%</w:t>
            </w:r>
          </w:p>
        </w:tc>
      </w:tr>
      <w:tr w:rsidR="0087391C" w:rsidRPr="00E072DA" w14:paraId="6756D829" w14:textId="77777777" w:rsidTr="000B5BAB">
        <w:trPr>
          <w:trHeight w:val="420"/>
        </w:trPr>
        <w:tc>
          <w:tcPr>
            <w:tcW w:w="2356" w:type="dxa"/>
            <w:noWrap/>
            <w:hideMark/>
          </w:tcPr>
          <w:p w14:paraId="08A1595B" w14:textId="77777777" w:rsidR="0087391C" w:rsidRPr="00587EB8" w:rsidRDefault="5F884969" w:rsidP="5F884969">
            <w:pPr>
              <w:rPr>
                <w:rFonts w:ascii="Calibri" w:hAnsi="Calibri"/>
              </w:rPr>
            </w:pPr>
            <w:r w:rsidRPr="5F884969">
              <w:rPr>
                <w:rFonts w:ascii="Calibri" w:hAnsi="Calibri"/>
              </w:rPr>
              <w:t>#10 country of origin</w:t>
            </w:r>
          </w:p>
        </w:tc>
        <w:tc>
          <w:tcPr>
            <w:tcW w:w="1742" w:type="dxa"/>
            <w:noWrap/>
            <w:hideMark/>
          </w:tcPr>
          <w:p w14:paraId="30EDAB50" w14:textId="77777777" w:rsidR="0087391C" w:rsidRPr="00587EB8" w:rsidRDefault="5F884969" w:rsidP="5F884969">
            <w:pPr>
              <w:rPr>
                <w:rFonts w:ascii="Calibri" w:hAnsi="Calibri"/>
              </w:rPr>
            </w:pPr>
            <w:r w:rsidRPr="5F884969">
              <w:rPr>
                <w:rFonts w:ascii="Calibri" w:hAnsi="Calibri"/>
              </w:rPr>
              <w:t>Other Middle Africa</w:t>
            </w:r>
          </w:p>
        </w:tc>
        <w:tc>
          <w:tcPr>
            <w:tcW w:w="819" w:type="dxa"/>
            <w:noWrap/>
            <w:hideMark/>
          </w:tcPr>
          <w:p w14:paraId="28D1D8D5" w14:textId="77777777" w:rsidR="0087391C" w:rsidRPr="00587EB8" w:rsidRDefault="5F884969" w:rsidP="5F884969">
            <w:pPr>
              <w:rPr>
                <w:rFonts w:ascii="Calibri" w:hAnsi="Calibri"/>
              </w:rPr>
            </w:pPr>
            <w:r w:rsidRPr="5F884969">
              <w:rPr>
                <w:rFonts w:ascii="Calibri" w:hAnsi="Calibri"/>
              </w:rPr>
              <w:t>115</w:t>
            </w:r>
          </w:p>
        </w:tc>
        <w:tc>
          <w:tcPr>
            <w:tcW w:w="754" w:type="dxa"/>
            <w:noWrap/>
            <w:hideMark/>
          </w:tcPr>
          <w:p w14:paraId="157822C5" w14:textId="77777777" w:rsidR="0087391C" w:rsidRPr="00587EB8" w:rsidRDefault="5F884969" w:rsidP="5F884969">
            <w:pPr>
              <w:rPr>
                <w:rFonts w:ascii="Calibri" w:hAnsi="Calibri"/>
              </w:rPr>
            </w:pPr>
            <w:r w:rsidRPr="5F884969">
              <w:rPr>
                <w:rFonts w:ascii="Calibri" w:hAnsi="Calibri"/>
              </w:rPr>
              <w:t>0.28%</w:t>
            </w:r>
          </w:p>
        </w:tc>
        <w:tc>
          <w:tcPr>
            <w:tcW w:w="1742" w:type="dxa"/>
            <w:noWrap/>
            <w:hideMark/>
          </w:tcPr>
          <w:p w14:paraId="3CDAACAB" w14:textId="77777777" w:rsidR="0087391C" w:rsidRPr="00587EB8" w:rsidRDefault="5F884969" w:rsidP="5F884969">
            <w:pPr>
              <w:rPr>
                <w:rFonts w:ascii="Calibri" w:hAnsi="Calibri"/>
              </w:rPr>
            </w:pPr>
            <w:r w:rsidRPr="5F884969">
              <w:rPr>
                <w:rFonts w:ascii="Calibri" w:hAnsi="Calibri"/>
              </w:rPr>
              <w:t>Other UK</w:t>
            </w:r>
          </w:p>
        </w:tc>
        <w:tc>
          <w:tcPr>
            <w:tcW w:w="819" w:type="dxa"/>
            <w:noWrap/>
            <w:hideMark/>
          </w:tcPr>
          <w:p w14:paraId="2C1EF271" w14:textId="77777777" w:rsidR="0087391C" w:rsidRPr="00587EB8" w:rsidRDefault="5F884969" w:rsidP="5F884969">
            <w:pPr>
              <w:rPr>
                <w:rFonts w:ascii="Calibri" w:hAnsi="Calibri"/>
              </w:rPr>
            </w:pPr>
            <w:r w:rsidRPr="5F884969">
              <w:rPr>
                <w:rFonts w:ascii="Calibri" w:hAnsi="Calibri"/>
              </w:rPr>
              <w:t>308</w:t>
            </w:r>
          </w:p>
        </w:tc>
        <w:tc>
          <w:tcPr>
            <w:tcW w:w="1119" w:type="dxa"/>
            <w:noWrap/>
            <w:hideMark/>
          </w:tcPr>
          <w:p w14:paraId="3A47961E" w14:textId="77777777" w:rsidR="0087391C" w:rsidRPr="00587EB8" w:rsidRDefault="5F884969" w:rsidP="5F884969">
            <w:pPr>
              <w:rPr>
                <w:rFonts w:ascii="Calibri" w:hAnsi="Calibri"/>
              </w:rPr>
            </w:pPr>
            <w:r w:rsidRPr="5F884969">
              <w:rPr>
                <w:rFonts w:ascii="Calibri" w:hAnsi="Calibri"/>
              </w:rPr>
              <w:t>0.15%</w:t>
            </w:r>
          </w:p>
        </w:tc>
      </w:tr>
    </w:tbl>
    <w:p w14:paraId="23B2A883" w14:textId="77777777" w:rsidR="006926FA" w:rsidRDefault="006926FA" w:rsidP="006926FA"/>
    <w:p w14:paraId="17F75F17" w14:textId="77777777" w:rsidR="006926FA" w:rsidRPr="006D0750" w:rsidRDefault="006926FA" w:rsidP="006926FA">
      <w:pPr>
        <w:spacing w:after="0"/>
        <w:ind w:left="360"/>
        <w:rPr>
          <w:rFonts w:ascii="Calibri" w:hAnsi="Calibri"/>
          <w:sz w:val="20"/>
          <w:szCs w:val="20"/>
        </w:rPr>
      </w:pPr>
      <w:r w:rsidRPr="00D8514C">
        <w:rPr>
          <w:rFonts w:ascii="Calibri" w:hAnsi="Calibri"/>
          <w:b/>
          <w:bCs/>
          <w:i/>
          <w:iCs/>
          <w:sz w:val="20"/>
          <w:szCs w:val="20"/>
        </w:rPr>
        <w:t>Table 10:</w:t>
      </w:r>
      <w:r w:rsidRPr="00D8514C">
        <w:rPr>
          <w:rFonts w:ascii="Calibri" w:hAnsi="Calibri"/>
          <w:sz w:val="20"/>
          <w:szCs w:val="20"/>
        </w:rPr>
        <w:t xml:space="preserve"> Limited English Profici</w:t>
      </w:r>
      <w:r>
        <w:rPr>
          <w:rFonts w:ascii="Calibri" w:hAnsi="Calibri"/>
          <w:sz w:val="20"/>
          <w:szCs w:val="20"/>
        </w:rPr>
        <w:t>ency Demographics for Burlington, VT</w:t>
      </w:r>
      <w:r w:rsidRPr="00D8514C">
        <w:rPr>
          <w:rFonts w:ascii="Calibri" w:hAnsi="Calibri"/>
          <w:sz w:val="20"/>
          <w:szCs w:val="20"/>
        </w:rPr>
        <w:t>. Source: Decennial Census 2010; ACS.</w:t>
      </w:r>
    </w:p>
    <w:tbl>
      <w:tblPr>
        <w:tblW w:w="9360" w:type="dxa"/>
        <w:tblInd w:w="364" w:type="dxa"/>
        <w:tblLook w:val="04A0" w:firstRow="1" w:lastRow="0" w:firstColumn="1" w:lastColumn="0" w:noHBand="0" w:noVBand="1"/>
      </w:tblPr>
      <w:tblGrid>
        <w:gridCol w:w="1595"/>
        <w:gridCol w:w="860"/>
        <w:gridCol w:w="1013"/>
        <w:gridCol w:w="951"/>
        <w:gridCol w:w="1013"/>
        <w:gridCol w:w="951"/>
        <w:gridCol w:w="1013"/>
        <w:gridCol w:w="951"/>
        <w:gridCol w:w="1013"/>
      </w:tblGrid>
      <w:tr w:rsidR="006926FA" w:rsidRPr="00A23B34" w14:paraId="68C6CA68" w14:textId="77777777" w:rsidTr="00210EF0">
        <w:trPr>
          <w:trHeight w:val="503"/>
        </w:trPr>
        <w:tc>
          <w:tcPr>
            <w:tcW w:w="1595" w:type="dxa"/>
            <w:tcBorders>
              <w:top w:val="single" w:sz="4" w:space="0" w:color="auto"/>
              <w:left w:val="single" w:sz="4" w:space="0" w:color="auto"/>
              <w:bottom w:val="single" w:sz="4" w:space="0" w:color="auto"/>
              <w:right w:val="single" w:sz="4" w:space="0" w:color="auto"/>
            </w:tcBorders>
            <w:shd w:val="clear" w:color="auto" w:fill="auto"/>
            <w:noWrap/>
            <w:hideMark/>
          </w:tcPr>
          <w:p w14:paraId="0807C35C" w14:textId="77777777" w:rsidR="006926FA" w:rsidRPr="00A23B34" w:rsidRDefault="006926FA" w:rsidP="00210EF0">
            <w:pPr>
              <w:spacing w:after="0" w:line="240" w:lineRule="auto"/>
              <w:rPr>
                <w:rFonts w:ascii="Calibri" w:eastAsia="Times New Roman" w:hAnsi="Calibri" w:cs="Times New Roman"/>
                <w:b/>
                <w:bCs/>
                <w:color w:val="000000"/>
              </w:rPr>
            </w:pPr>
            <w:r w:rsidRPr="00A23B34">
              <w:rPr>
                <w:rFonts w:ascii="Calibri" w:eastAsia="Times New Roman" w:hAnsi="Calibri"/>
                <w:b/>
                <w:bCs/>
                <w:color w:val="000000"/>
              </w:rPr>
              <w:t> Table 10</w:t>
            </w:r>
          </w:p>
        </w:tc>
        <w:tc>
          <w:tcPr>
            <w:tcW w:w="7765" w:type="dxa"/>
            <w:gridSpan w:val="8"/>
            <w:tcBorders>
              <w:top w:val="single" w:sz="4" w:space="0" w:color="auto"/>
              <w:left w:val="nil"/>
              <w:bottom w:val="single" w:sz="4" w:space="0" w:color="auto"/>
              <w:right w:val="single" w:sz="4" w:space="0" w:color="auto"/>
            </w:tcBorders>
            <w:shd w:val="clear" w:color="auto" w:fill="auto"/>
            <w:hideMark/>
          </w:tcPr>
          <w:p w14:paraId="2CDE5745"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Burlington, VT Jurisdiction</w:t>
            </w:r>
          </w:p>
        </w:tc>
      </w:tr>
      <w:tr w:rsidR="006926FA" w:rsidRPr="00A23B34" w14:paraId="1ED26ED1" w14:textId="77777777" w:rsidTr="00210EF0">
        <w:trPr>
          <w:trHeight w:val="503"/>
        </w:trPr>
        <w:tc>
          <w:tcPr>
            <w:tcW w:w="1595" w:type="dxa"/>
            <w:vMerge w:val="restart"/>
            <w:tcBorders>
              <w:top w:val="nil"/>
              <w:left w:val="single" w:sz="4" w:space="0" w:color="auto"/>
              <w:bottom w:val="single" w:sz="4" w:space="0" w:color="auto"/>
              <w:right w:val="single" w:sz="4" w:space="0" w:color="auto"/>
            </w:tcBorders>
            <w:shd w:val="clear" w:color="000000" w:fill="DCE6F1"/>
            <w:noWrap/>
            <w:hideMark/>
          </w:tcPr>
          <w:p w14:paraId="2D4FD78B" w14:textId="77777777" w:rsidR="006926FA" w:rsidRPr="00A23B34" w:rsidRDefault="006926FA" w:rsidP="00210EF0">
            <w:pPr>
              <w:rPr>
                <w:rFonts w:ascii="Calibri" w:eastAsia="Times New Roman" w:hAnsi="Calibri"/>
                <w:b/>
                <w:bCs/>
                <w:color w:val="000000"/>
              </w:rPr>
            </w:pPr>
            <w:r w:rsidRPr="00A23B34">
              <w:rPr>
                <w:rFonts w:ascii="Calibri" w:eastAsia="Times New Roman" w:hAnsi="Calibri"/>
                <w:b/>
                <w:bCs/>
                <w:color w:val="000000"/>
              </w:rPr>
              <w:t xml:space="preserve">LEP </w:t>
            </w:r>
          </w:p>
        </w:tc>
        <w:tc>
          <w:tcPr>
            <w:tcW w:w="1873" w:type="dxa"/>
            <w:gridSpan w:val="2"/>
            <w:tcBorders>
              <w:top w:val="single" w:sz="4" w:space="0" w:color="auto"/>
              <w:left w:val="nil"/>
              <w:bottom w:val="single" w:sz="4" w:space="0" w:color="auto"/>
              <w:right w:val="single" w:sz="4" w:space="0" w:color="auto"/>
            </w:tcBorders>
            <w:shd w:val="clear" w:color="000000" w:fill="DCE6F1"/>
            <w:noWrap/>
            <w:hideMark/>
          </w:tcPr>
          <w:p w14:paraId="6B0CA837"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1990 Trend</w:t>
            </w:r>
          </w:p>
        </w:tc>
        <w:tc>
          <w:tcPr>
            <w:tcW w:w="1964" w:type="dxa"/>
            <w:gridSpan w:val="2"/>
            <w:tcBorders>
              <w:top w:val="single" w:sz="4" w:space="0" w:color="auto"/>
              <w:left w:val="nil"/>
              <w:bottom w:val="single" w:sz="4" w:space="0" w:color="auto"/>
              <w:right w:val="single" w:sz="4" w:space="0" w:color="auto"/>
            </w:tcBorders>
            <w:shd w:val="clear" w:color="000000" w:fill="DCE6F1"/>
            <w:noWrap/>
            <w:hideMark/>
          </w:tcPr>
          <w:p w14:paraId="5F9E3313"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2000 Trend</w:t>
            </w:r>
          </w:p>
        </w:tc>
        <w:tc>
          <w:tcPr>
            <w:tcW w:w="1964" w:type="dxa"/>
            <w:gridSpan w:val="2"/>
            <w:tcBorders>
              <w:top w:val="single" w:sz="4" w:space="0" w:color="auto"/>
              <w:left w:val="nil"/>
              <w:bottom w:val="single" w:sz="4" w:space="0" w:color="auto"/>
              <w:right w:val="single" w:sz="4" w:space="0" w:color="auto"/>
            </w:tcBorders>
            <w:shd w:val="clear" w:color="000000" w:fill="DCE6F1"/>
            <w:noWrap/>
            <w:hideMark/>
          </w:tcPr>
          <w:p w14:paraId="531A4BB9"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2010 Trend</w:t>
            </w:r>
          </w:p>
        </w:tc>
        <w:tc>
          <w:tcPr>
            <w:tcW w:w="1964" w:type="dxa"/>
            <w:gridSpan w:val="2"/>
            <w:tcBorders>
              <w:top w:val="single" w:sz="4" w:space="0" w:color="auto"/>
              <w:left w:val="nil"/>
              <w:bottom w:val="single" w:sz="4" w:space="0" w:color="auto"/>
              <w:right w:val="single" w:sz="4" w:space="0" w:color="auto"/>
            </w:tcBorders>
            <w:shd w:val="clear" w:color="000000" w:fill="DCE6F1"/>
            <w:noWrap/>
            <w:hideMark/>
          </w:tcPr>
          <w:p w14:paraId="32D7E0A8"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Current</w:t>
            </w:r>
            <w:r>
              <w:rPr>
                <w:rFonts w:ascii="Calibri" w:eastAsia="Times New Roman" w:hAnsi="Calibri"/>
                <w:b/>
                <w:bCs/>
                <w:color w:val="000000"/>
              </w:rPr>
              <w:t xml:space="preserve"> (2015 ACS)</w:t>
            </w:r>
          </w:p>
        </w:tc>
      </w:tr>
      <w:tr w:rsidR="006926FA" w:rsidRPr="00A23B34" w14:paraId="39AC069A" w14:textId="77777777" w:rsidTr="00210EF0">
        <w:trPr>
          <w:trHeight w:val="420"/>
        </w:trPr>
        <w:tc>
          <w:tcPr>
            <w:tcW w:w="1595" w:type="dxa"/>
            <w:vMerge/>
            <w:tcBorders>
              <w:top w:val="nil"/>
              <w:left w:val="single" w:sz="4" w:space="0" w:color="auto"/>
              <w:bottom w:val="single" w:sz="4" w:space="0" w:color="auto"/>
              <w:right w:val="single" w:sz="4" w:space="0" w:color="auto"/>
            </w:tcBorders>
            <w:hideMark/>
          </w:tcPr>
          <w:p w14:paraId="09F1FCFB" w14:textId="77777777" w:rsidR="006926FA" w:rsidRPr="00A23B34" w:rsidRDefault="006926FA" w:rsidP="00210EF0">
            <w:pPr>
              <w:rPr>
                <w:rFonts w:ascii="Calibri" w:eastAsia="Times New Roman" w:hAnsi="Calibri"/>
                <w:b/>
                <w:bCs/>
                <w:color w:val="000000"/>
              </w:rPr>
            </w:pPr>
          </w:p>
        </w:tc>
        <w:tc>
          <w:tcPr>
            <w:tcW w:w="860" w:type="dxa"/>
            <w:tcBorders>
              <w:top w:val="nil"/>
              <w:left w:val="nil"/>
              <w:bottom w:val="single" w:sz="4" w:space="0" w:color="auto"/>
              <w:right w:val="single" w:sz="4" w:space="0" w:color="auto"/>
            </w:tcBorders>
            <w:shd w:val="clear" w:color="000000" w:fill="DCE6F1"/>
            <w:noWrap/>
            <w:hideMark/>
          </w:tcPr>
          <w:p w14:paraId="2382CD60"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w:t>
            </w:r>
          </w:p>
        </w:tc>
        <w:tc>
          <w:tcPr>
            <w:tcW w:w="1013" w:type="dxa"/>
            <w:tcBorders>
              <w:top w:val="nil"/>
              <w:left w:val="nil"/>
              <w:bottom w:val="single" w:sz="4" w:space="0" w:color="auto"/>
              <w:right w:val="single" w:sz="4" w:space="0" w:color="auto"/>
            </w:tcBorders>
            <w:shd w:val="clear" w:color="000000" w:fill="DCE6F1"/>
            <w:noWrap/>
            <w:hideMark/>
          </w:tcPr>
          <w:p w14:paraId="6C0DAB72"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w:t>
            </w:r>
          </w:p>
        </w:tc>
        <w:tc>
          <w:tcPr>
            <w:tcW w:w="951" w:type="dxa"/>
            <w:tcBorders>
              <w:top w:val="nil"/>
              <w:left w:val="nil"/>
              <w:bottom w:val="single" w:sz="4" w:space="0" w:color="auto"/>
              <w:right w:val="single" w:sz="4" w:space="0" w:color="auto"/>
            </w:tcBorders>
            <w:shd w:val="clear" w:color="000000" w:fill="DCE6F1"/>
            <w:noWrap/>
            <w:hideMark/>
          </w:tcPr>
          <w:p w14:paraId="637730DE"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w:t>
            </w:r>
          </w:p>
        </w:tc>
        <w:tc>
          <w:tcPr>
            <w:tcW w:w="1013" w:type="dxa"/>
            <w:tcBorders>
              <w:top w:val="nil"/>
              <w:left w:val="nil"/>
              <w:bottom w:val="single" w:sz="4" w:space="0" w:color="auto"/>
              <w:right w:val="single" w:sz="4" w:space="0" w:color="auto"/>
            </w:tcBorders>
            <w:shd w:val="clear" w:color="000000" w:fill="DCE6F1"/>
            <w:noWrap/>
            <w:hideMark/>
          </w:tcPr>
          <w:p w14:paraId="6E9AA99C"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w:t>
            </w:r>
          </w:p>
        </w:tc>
        <w:tc>
          <w:tcPr>
            <w:tcW w:w="951" w:type="dxa"/>
            <w:tcBorders>
              <w:top w:val="nil"/>
              <w:left w:val="nil"/>
              <w:bottom w:val="single" w:sz="4" w:space="0" w:color="auto"/>
              <w:right w:val="single" w:sz="4" w:space="0" w:color="auto"/>
            </w:tcBorders>
            <w:shd w:val="clear" w:color="000000" w:fill="DCE6F1"/>
            <w:noWrap/>
            <w:hideMark/>
          </w:tcPr>
          <w:p w14:paraId="3E69B444"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w:t>
            </w:r>
          </w:p>
        </w:tc>
        <w:tc>
          <w:tcPr>
            <w:tcW w:w="1013" w:type="dxa"/>
            <w:tcBorders>
              <w:top w:val="nil"/>
              <w:left w:val="nil"/>
              <w:bottom w:val="single" w:sz="4" w:space="0" w:color="auto"/>
              <w:right w:val="single" w:sz="4" w:space="0" w:color="auto"/>
            </w:tcBorders>
            <w:shd w:val="clear" w:color="000000" w:fill="DCE6F1"/>
            <w:noWrap/>
            <w:hideMark/>
          </w:tcPr>
          <w:p w14:paraId="7835726F"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w:t>
            </w:r>
          </w:p>
        </w:tc>
        <w:tc>
          <w:tcPr>
            <w:tcW w:w="951" w:type="dxa"/>
            <w:tcBorders>
              <w:top w:val="nil"/>
              <w:left w:val="nil"/>
              <w:bottom w:val="single" w:sz="4" w:space="0" w:color="auto"/>
              <w:right w:val="single" w:sz="4" w:space="0" w:color="auto"/>
            </w:tcBorders>
            <w:shd w:val="clear" w:color="000000" w:fill="DCE6F1"/>
            <w:noWrap/>
            <w:hideMark/>
          </w:tcPr>
          <w:p w14:paraId="35741572"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w:t>
            </w:r>
          </w:p>
        </w:tc>
        <w:tc>
          <w:tcPr>
            <w:tcW w:w="1013" w:type="dxa"/>
            <w:tcBorders>
              <w:top w:val="nil"/>
              <w:left w:val="nil"/>
              <w:bottom w:val="single" w:sz="4" w:space="0" w:color="auto"/>
              <w:right w:val="single" w:sz="4" w:space="0" w:color="auto"/>
            </w:tcBorders>
            <w:shd w:val="clear" w:color="000000" w:fill="DCE6F1"/>
            <w:noWrap/>
            <w:hideMark/>
          </w:tcPr>
          <w:p w14:paraId="4167797A" w14:textId="77777777" w:rsidR="006926FA" w:rsidRPr="00A23B34" w:rsidRDefault="006926FA" w:rsidP="00210EF0">
            <w:pPr>
              <w:jc w:val="center"/>
              <w:rPr>
                <w:rFonts w:ascii="Calibri" w:eastAsia="Times New Roman" w:hAnsi="Calibri"/>
                <w:b/>
                <w:bCs/>
                <w:color w:val="000000"/>
              </w:rPr>
            </w:pPr>
            <w:r w:rsidRPr="00A23B34">
              <w:rPr>
                <w:rFonts w:ascii="Calibri" w:eastAsia="Times New Roman" w:hAnsi="Calibri"/>
                <w:b/>
                <w:bCs/>
                <w:color w:val="000000"/>
              </w:rPr>
              <w:t>%</w:t>
            </w:r>
          </w:p>
        </w:tc>
      </w:tr>
      <w:tr w:rsidR="006926FA" w:rsidRPr="00A23B34" w14:paraId="1638DF4C" w14:textId="77777777" w:rsidTr="00210EF0">
        <w:trPr>
          <w:trHeight w:val="420"/>
        </w:trPr>
        <w:tc>
          <w:tcPr>
            <w:tcW w:w="1595" w:type="dxa"/>
            <w:tcBorders>
              <w:top w:val="nil"/>
              <w:left w:val="single" w:sz="4" w:space="0" w:color="auto"/>
              <w:bottom w:val="single" w:sz="4" w:space="0" w:color="auto"/>
              <w:right w:val="single" w:sz="4" w:space="0" w:color="auto"/>
            </w:tcBorders>
            <w:shd w:val="clear" w:color="auto" w:fill="auto"/>
            <w:noWrap/>
            <w:hideMark/>
          </w:tcPr>
          <w:p w14:paraId="17860E26" w14:textId="77777777" w:rsidR="006926FA" w:rsidRPr="00A23B34" w:rsidRDefault="006926FA" w:rsidP="00210EF0">
            <w:pPr>
              <w:rPr>
                <w:rFonts w:ascii="Calibri" w:eastAsia="Times New Roman" w:hAnsi="Calibri"/>
                <w:color w:val="000000"/>
              </w:rPr>
            </w:pPr>
            <w:r w:rsidRPr="00A23B34">
              <w:rPr>
                <w:rFonts w:ascii="Calibri" w:eastAsia="Times New Roman" w:hAnsi="Calibri"/>
                <w:color w:val="000000"/>
              </w:rPr>
              <w:t>Limited English Proficiency</w:t>
            </w:r>
          </w:p>
        </w:tc>
        <w:tc>
          <w:tcPr>
            <w:tcW w:w="860" w:type="dxa"/>
            <w:tcBorders>
              <w:top w:val="nil"/>
              <w:left w:val="nil"/>
              <w:bottom w:val="single" w:sz="4" w:space="0" w:color="auto"/>
              <w:right w:val="single" w:sz="4" w:space="0" w:color="auto"/>
            </w:tcBorders>
            <w:shd w:val="clear" w:color="auto" w:fill="auto"/>
            <w:noWrap/>
            <w:hideMark/>
          </w:tcPr>
          <w:p w14:paraId="0CD9973B" w14:textId="77777777" w:rsidR="006926FA" w:rsidRPr="00A23B34" w:rsidRDefault="006926FA" w:rsidP="00210EF0">
            <w:pPr>
              <w:jc w:val="right"/>
              <w:rPr>
                <w:rFonts w:ascii="Calibri" w:eastAsia="Times New Roman" w:hAnsi="Calibri"/>
                <w:color w:val="000000"/>
              </w:rPr>
            </w:pPr>
            <w:r w:rsidRPr="00A23B34">
              <w:rPr>
                <w:rFonts w:ascii="Calibri" w:eastAsia="Times New Roman" w:hAnsi="Calibri"/>
                <w:color w:val="000000"/>
              </w:rPr>
              <w:t>668</w:t>
            </w:r>
          </w:p>
        </w:tc>
        <w:tc>
          <w:tcPr>
            <w:tcW w:w="1013" w:type="dxa"/>
            <w:tcBorders>
              <w:top w:val="nil"/>
              <w:left w:val="nil"/>
              <w:bottom w:val="single" w:sz="4" w:space="0" w:color="auto"/>
              <w:right w:val="single" w:sz="4" w:space="0" w:color="auto"/>
            </w:tcBorders>
            <w:shd w:val="clear" w:color="auto" w:fill="auto"/>
            <w:noWrap/>
            <w:hideMark/>
          </w:tcPr>
          <w:p w14:paraId="128B7A98" w14:textId="77777777" w:rsidR="006926FA" w:rsidRPr="00A23B34" w:rsidRDefault="006926FA" w:rsidP="00210EF0">
            <w:pPr>
              <w:jc w:val="right"/>
              <w:rPr>
                <w:rFonts w:ascii="Calibri" w:eastAsia="Times New Roman" w:hAnsi="Calibri"/>
                <w:color w:val="000000"/>
              </w:rPr>
            </w:pPr>
            <w:r w:rsidRPr="00A23B34">
              <w:rPr>
                <w:rFonts w:ascii="Calibri" w:eastAsia="Times New Roman" w:hAnsi="Calibri"/>
                <w:color w:val="000000"/>
              </w:rPr>
              <w:t>1.71%</w:t>
            </w:r>
          </w:p>
        </w:tc>
        <w:tc>
          <w:tcPr>
            <w:tcW w:w="951" w:type="dxa"/>
            <w:tcBorders>
              <w:top w:val="nil"/>
              <w:left w:val="nil"/>
              <w:bottom w:val="single" w:sz="4" w:space="0" w:color="auto"/>
              <w:right w:val="single" w:sz="4" w:space="0" w:color="auto"/>
            </w:tcBorders>
            <w:shd w:val="clear" w:color="auto" w:fill="auto"/>
            <w:noWrap/>
            <w:hideMark/>
          </w:tcPr>
          <w:p w14:paraId="0BEAC9A0" w14:textId="77777777" w:rsidR="006926FA" w:rsidRPr="00A23B34" w:rsidRDefault="006926FA" w:rsidP="00210EF0">
            <w:pPr>
              <w:jc w:val="right"/>
              <w:rPr>
                <w:rFonts w:ascii="Calibri" w:eastAsia="Times New Roman" w:hAnsi="Calibri"/>
                <w:color w:val="000000"/>
              </w:rPr>
            </w:pPr>
            <w:r w:rsidRPr="00A23B34">
              <w:rPr>
                <w:rFonts w:ascii="Calibri" w:eastAsia="Times New Roman" w:hAnsi="Calibri"/>
                <w:color w:val="000000"/>
              </w:rPr>
              <w:t>1,525</w:t>
            </w:r>
          </w:p>
        </w:tc>
        <w:tc>
          <w:tcPr>
            <w:tcW w:w="1013" w:type="dxa"/>
            <w:tcBorders>
              <w:top w:val="nil"/>
              <w:left w:val="nil"/>
              <w:bottom w:val="single" w:sz="4" w:space="0" w:color="auto"/>
              <w:right w:val="single" w:sz="4" w:space="0" w:color="auto"/>
            </w:tcBorders>
            <w:shd w:val="clear" w:color="auto" w:fill="auto"/>
            <w:noWrap/>
            <w:hideMark/>
          </w:tcPr>
          <w:p w14:paraId="4945BFA3" w14:textId="77777777" w:rsidR="006926FA" w:rsidRPr="00A23B34" w:rsidRDefault="006926FA" w:rsidP="00210EF0">
            <w:pPr>
              <w:jc w:val="right"/>
              <w:rPr>
                <w:rFonts w:ascii="Calibri" w:eastAsia="Times New Roman" w:hAnsi="Calibri"/>
                <w:color w:val="000000"/>
              </w:rPr>
            </w:pPr>
            <w:r w:rsidRPr="00A23B34">
              <w:rPr>
                <w:rFonts w:ascii="Calibri" w:eastAsia="Times New Roman" w:hAnsi="Calibri"/>
                <w:color w:val="000000"/>
              </w:rPr>
              <w:t>3.92%</w:t>
            </w:r>
          </w:p>
        </w:tc>
        <w:tc>
          <w:tcPr>
            <w:tcW w:w="951" w:type="dxa"/>
            <w:tcBorders>
              <w:top w:val="nil"/>
              <w:left w:val="nil"/>
              <w:bottom w:val="single" w:sz="4" w:space="0" w:color="auto"/>
              <w:right w:val="single" w:sz="4" w:space="0" w:color="auto"/>
            </w:tcBorders>
            <w:shd w:val="clear" w:color="auto" w:fill="auto"/>
            <w:noWrap/>
            <w:hideMark/>
          </w:tcPr>
          <w:p w14:paraId="13D5B91E" w14:textId="77777777" w:rsidR="006926FA" w:rsidRPr="00A23B34" w:rsidRDefault="006926FA" w:rsidP="00210EF0">
            <w:pPr>
              <w:jc w:val="right"/>
              <w:rPr>
                <w:rFonts w:ascii="Calibri" w:eastAsia="Times New Roman" w:hAnsi="Calibri"/>
                <w:color w:val="000000"/>
              </w:rPr>
            </w:pPr>
            <w:r w:rsidRPr="00A23B34">
              <w:rPr>
                <w:rFonts w:ascii="Calibri" w:eastAsia="Times New Roman" w:hAnsi="Calibri"/>
                <w:color w:val="000000"/>
              </w:rPr>
              <w:t>1,788</w:t>
            </w:r>
          </w:p>
        </w:tc>
        <w:tc>
          <w:tcPr>
            <w:tcW w:w="1013" w:type="dxa"/>
            <w:tcBorders>
              <w:top w:val="nil"/>
              <w:left w:val="nil"/>
              <w:bottom w:val="single" w:sz="4" w:space="0" w:color="auto"/>
              <w:right w:val="single" w:sz="4" w:space="0" w:color="auto"/>
            </w:tcBorders>
            <w:shd w:val="clear" w:color="auto" w:fill="auto"/>
            <w:noWrap/>
            <w:hideMark/>
          </w:tcPr>
          <w:p w14:paraId="092B72C4" w14:textId="77777777" w:rsidR="006926FA" w:rsidRPr="00A23B34" w:rsidRDefault="006926FA" w:rsidP="00210EF0">
            <w:pPr>
              <w:jc w:val="right"/>
              <w:rPr>
                <w:rFonts w:ascii="Calibri" w:eastAsia="Times New Roman" w:hAnsi="Calibri"/>
                <w:color w:val="000000"/>
              </w:rPr>
            </w:pPr>
            <w:r w:rsidRPr="00A23B34">
              <w:rPr>
                <w:rFonts w:ascii="Calibri" w:eastAsia="Times New Roman" w:hAnsi="Calibri"/>
                <w:color w:val="000000"/>
              </w:rPr>
              <w:t>4.22%</w:t>
            </w:r>
          </w:p>
        </w:tc>
        <w:tc>
          <w:tcPr>
            <w:tcW w:w="951" w:type="dxa"/>
            <w:tcBorders>
              <w:top w:val="nil"/>
              <w:left w:val="nil"/>
              <w:bottom w:val="single" w:sz="4" w:space="0" w:color="auto"/>
              <w:right w:val="single" w:sz="4" w:space="0" w:color="auto"/>
            </w:tcBorders>
            <w:shd w:val="clear" w:color="auto" w:fill="auto"/>
            <w:noWrap/>
            <w:hideMark/>
          </w:tcPr>
          <w:p w14:paraId="62DE8BE3" w14:textId="77777777" w:rsidR="006926FA" w:rsidRPr="00A23B34" w:rsidRDefault="006926FA" w:rsidP="00210EF0">
            <w:pPr>
              <w:jc w:val="right"/>
              <w:rPr>
                <w:rFonts w:ascii="Calibri" w:eastAsia="Times New Roman" w:hAnsi="Calibri"/>
                <w:color w:val="000000"/>
              </w:rPr>
            </w:pPr>
            <w:r w:rsidRPr="00A23B34">
              <w:rPr>
                <w:rFonts w:ascii="Calibri" w:eastAsia="Times New Roman" w:hAnsi="Calibri"/>
                <w:color w:val="000000"/>
              </w:rPr>
              <w:t>1,994</w:t>
            </w:r>
          </w:p>
        </w:tc>
        <w:tc>
          <w:tcPr>
            <w:tcW w:w="1013" w:type="dxa"/>
            <w:tcBorders>
              <w:top w:val="nil"/>
              <w:left w:val="nil"/>
              <w:bottom w:val="single" w:sz="4" w:space="0" w:color="auto"/>
              <w:right w:val="single" w:sz="4" w:space="0" w:color="auto"/>
            </w:tcBorders>
            <w:shd w:val="clear" w:color="auto" w:fill="auto"/>
            <w:noWrap/>
            <w:hideMark/>
          </w:tcPr>
          <w:p w14:paraId="0EA976A2" w14:textId="77777777" w:rsidR="006926FA" w:rsidRPr="00A23B34" w:rsidRDefault="006926FA" w:rsidP="00210EF0">
            <w:pPr>
              <w:jc w:val="right"/>
              <w:rPr>
                <w:rFonts w:ascii="Calibri" w:eastAsia="Times New Roman" w:hAnsi="Calibri"/>
                <w:color w:val="000000"/>
              </w:rPr>
            </w:pPr>
            <w:r w:rsidRPr="00A23B34">
              <w:rPr>
                <w:rFonts w:ascii="Calibri" w:eastAsia="Times New Roman" w:hAnsi="Calibri"/>
                <w:color w:val="000000"/>
              </w:rPr>
              <w:t>4.70%</w:t>
            </w:r>
          </w:p>
        </w:tc>
      </w:tr>
    </w:tbl>
    <w:p w14:paraId="232DEB0D" w14:textId="7B938DC6" w:rsidR="00884775" w:rsidRDefault="00884775" w:rsidP="006926FA"/>
    <w:p w14:paraId="66B2F05F" w14:textId="6925264B" w:rsidR="00884775" w:rsidRPr="00D8514C" w:rsidRDefault="00884775" w:rsidP="00884775">
      <w:pPr>
        <w:ind w:left="270" w:hanging="270"/>
      </w:pPr>
      <w:r>
        <w:t xml:space="preserve">      Table 10 demonstrates the upward trend in the jurisdiction of individuals who have limited English      proficiency from 1.71% in 1990 to 4.7% in 2015. This trend mirrors the increase in the number of foreign-born residents but the percentages are not as high.</w:t>
      </w:r>
    </w:p>
    <w:p w14:paraId="376A3452" w14:textId="31A37D9C" w:rsidR="0071320C" w:rsidRPr="00561146" w:rsidRDefault="5F884969" w:rsidP="002F7C2E">
      <w:pPr>
        <w:pStyle w:val="Heading1"/>
        <w:spacing w:before="0" w:after="120"/>
        <w:ind w:left="360"/>
        <w:rPr>
          <w:rFonts w:ascii="Calibri" w:hAnsi="Calibri"/>
          <w:b/>
          <w:bCs/>
          <w:color w:val="FF0000"/>
          <w:sz w:val="24"/>
          <w:szCs w:val="24"/>
        </w:rPr>
      </w:pPr>
      <w:r w:rsidRPr="5F884969">
        <w:rPr>
          <w:rFonts w:ascii="Calibri" w:hAnsi="Calibri"/>
          <w:b/>
          <w:bCs/>
          <w:color w:val="000000" w:themeColor="text1"/>
          <w:sz w:val="24"/>
          <w:szCs w:val="24"/>
        </w:rPr>
        <w:t>Economic Demographics</w:t>
      </w:r>
      <w:r w:rsidR="00561146">
        <w:rPr>
          <w:rFonts w:ascii="Calibri" w:hAnsi="Calibri"/>
          <w:b/>
          <w:bCs/>
          <w:color w:val="000000" w:themeColor="text1"/>
          <w:sz w:val="24"/>
          <w:szCs w:val="24"/>
        </w:rPr>
        <w:t xml:space="preserve"> </w:t>
      </w:r>
    </w:p>
    <w:p w14:paraId="0065F2A7" w14:textId="77777777" w:rsidR="0071320C" w:rsidRPr="00371703" w:rsidRDefault="5F884969" w:rsidP="5F884969">
      <w:pPr>
        <w:ind w:left="360"/>
        <w:rPr>
          <w:rFonts w:ascii="Calibri" w:hAnsi="Calibri"/>
        </w:rPr>
      </w:pPr>
      <w:r w:rsidRPr="5F884969">
        <w:rPr>
          <w:rFonts w:ascii="Calibri" w:hAnsi="Calibri"/>
        </w:rPr>
        <w:t>Burlington is the heart of the largest urbanized region in Vermont and is Vermont’s principal economic and cultural engine. Burlington is home to the Flynn Theater, Church Street Marketplace and national companies including Burton Snowboards and Lake Champlain Chocolates. Burlington remains the birthplace of Ben and Jerry’s Ice Cream and the band Phish.</w:t>
      </w:r>
    </w:p>
    <w:p w14:paraId="621AA15F" w14:textId="77777777" w:rsidR="0071320C" w:rsidRPr="006033A3" w:rsidRDefault="5F884969" w:rsidP="5F884969">
      <w:pPr>
        <w:ind w:left="360"/>
        <w:rPr>
          <w:rFonts w:ascii="Calibri" w:hAnsi="Calibri"/>
        </w:rPr>
      </w:pPr>
      <w:r w:rsidRPr="006033A3">
        <w:rPr>
          <w:rFonts w:ascii="Calibri" w:hAnsi="Calibri"/>
        </w:rPr>
        <w:lastRenderedPageBreak/>
        <w:t xml:space="preserve">The City’s goal is that a prosperous Burlington economy provides all Burlington residents with access to livable wage jobs, to the education and training that qualify them for those jobs, to business ownership opportunities, and to the supports necessary to access those opportunities.  </w:t>
      </w:r>
    </w:p>
    <w:p w14:paraId="32AD95E7" w14:textId="77777777" w:rsidR="0071320C" w:rsidRPr="006033A3" w:rsidRDefault="5F884969" w:rsidP="5F884969">
      <w:pPr>
        <w:ind w:left="360"/>
        <w:rPr>
          <w:rFonts w:ascii="Calibri" w:hAnsi="Calibri"/>
        </w:rPr>
      </w:pPr>
      <w:r w:rsidRPr="006033A3">
        <w:rPr>
          <w:rFonts w:ascii="Calibri" w:hAnsi="Calibri"/>
        </w:rPr>
        <w:t xml:space="preserve">Based on the 2011-2015 American Community Survey, 60% of Burlington’s population over 16 is employed in the civilian labor force with approximately 4.7% unemployed. Women represent almost 52% of the labor force.  The top three occupations in the City of Burlington are Management/Business/Science (43%), Service Occupations (24%) and Sales and Office Occupations (22%).  The top three industries are Educational Services and Health (35%), Arts, Entertainment and Recreation (16.6%) and Retail (12%). </w:t>
      </w:r>
    </w:p>
    <w:p w14:paraId="485C7F5B" w14:textId="77777777" w:rsidR="0071320C" w:rsidRPr="006033A3" w:rsidRDefault="5F884969" w:rsidP="5F884969">
      <w:pPr>
        <w:ind w:left="360"/>
        <w:rPr>
          <w:rFonts w:ascii="Calibri" w:hAnsi="Calibri"/>
        </w:rPr>
      </w:pPr>
      <w:r w:rsidRPr="006033A3">
        <w:rPr>
          <w:rFonts w:ascii="Calibri" w:hAnsi="Calibri"/>
        </w:rPr>
        <w:t xml:space="preserve">Over 78% of the workforce are private wage or salary employees with the remaining 17% government workers and almost 5% self-employed. The median income of a Burlington household is $44,671. The median family income is considerably higher than the median nonfamily income by over double which accounts for dual income households. In addition median income for full-time males ($42,224) exceeds those of full-time females ($36,414) by 16%. </w:t>
      </w:r>
    </w:p>
    <w:p w14:paraId="1F8EA7FE" w14:textId="77777777" w:rsidR="0071320C" w:rsidRPr="006033A3" w:rsidRDefault="5F884969" w:rsidP="5F884969">
      <w:pPr>
        <w:ind w:left="360"/>
        <w:rPr>
          <w:rFonts w:ascii="Calibri" w:hAnsi="Calibri"/>
        </w:rPr>
      </w:pPr>
      <w:r w:rsidRPr="006033A3">
        <w:rPr>
          <w:rFonts w:ascii="Calibri" w:hAnsi="Calibri"/>
        </w:rPr>
        <w:t>The City tracks a number of economic indicators:</w:t>
      </w:r>
    </w:p>
    <w:p w14:paraId="3ECF7E42" w14:textId="77777777" w:rsidR="0071320C" w:rsidRPr="00371703" w:rsidRDefault="5F884969" w:rsidP="002F7C2E">
      <w:pPr>
        <w:keepNext/>
        <w:spacing w:before="120" w:after="120"/>
        <w:ind w:left="360"/>
        <w:outlineLvl w:val="0"/>
        <w:rPr>
          <w:rFonts w:ascii="Calibri" w:hAnsi="Calibri"/>
          <w:b/>
          <w:bCs/>
          <w:i/>
          <w:iCs/>
        </w:rPr>
      </w:pPr>
      <w:bookmarkStart w:id="7" w:name="_Toc238371541"/>
      <w:bookmarkStart w:id="8" w:name="_Toc238529006"/>
      <w:bookmarkStart w:id="9" w:name="_Toc238529166"/>
      <w:bookmarkStart w:id="10" w:name="_Toc238529336"/>
      <w:bookmarkStart w:id="11" w:name="_Toc235936112"/>
      <w:bookmarkStart w:id="12" w:name="_Toc236205945"/>
      <w:bookmarkStart w:id="13" w:name="_Toc236554100"/>
      <w:bookmarkStart w:id="14" w:name="_Toc236554150"/>
      <w:bookmarkStart w:id="15" w:name="_Toc236561144"/>
      <w:bookmarkStart w:id="16" w:name="_Toc236561340"/>
      <w:bookmarkStart w:id="17" w:name="_Toc236563695"/>
      <w:bookmarkStart w:id="18" w:name="_Toc236563816"/>
      <w:bookmarkStart w:id="19" w:name="_Toc236642086"/>
      <w:bookmarkStart w:id="20" w:name="_Toc237329129"/>
      <w:bookmarkStart w:id="21" w:name="_Toc237329277"/>
      <w:bookmarkStart w:id="22" w:name="_Toc237672918"/>
      <w:bookmarkStart w:id="23" w:name="_Toc237855918"/>
      <w:bookmarkStart w:id="24" w:name="_Toc237923147"/>
      <w:bookmarkStart w:id="25" w:name="_Toc237924272"/>
      <w:bookmarkStart w:id="26" w:name="_Toc238370333"/>
      <w:bookmarkStart w:id="27" w:name="_Toc238370717"/>
      <w:r w:rsidRPr="5F884969">
        <w:rPr>
          <w:rFonts w:ascii="Calibri" w:hAnsi="Calibri"/>
          <w:b/>
          <w:bCs/>
          <w:i/>
          <w:iCs/>
        </w:rPr>
        <w:t xml:space="preserve">Job Growth and Unemployment </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92B92A7" w14:textId="77777777" w:rsidR="0071320C" w:rsidRDefault="5F884969" w:rsidP="0071320C">
      <w:pPr>
        <w:ind w:left="360"/>
      </w:pPr>
      <w:r w:rsidRPr="5F884969">
        <w:rPr>
          <w:rFonts w:ascii="Calibri" w:hAnsi="Calibri"/>
        </w:rPr>
        <w:t>Burlington’s unemployment rate continues to track state and national rates, declining each year since 2009 but at a lower level.  Job growth in the City and in the Labor Market Area (LMA), which is based on commuting patterns, declined sharply between 2008 and 2009.  Employment, however, did appear to be following national trends with a slight increase in jobs in the LMA, including those in the private sector.</w:t>
      </w:r>
      <w:r>
        <w:t xml:space="preserve"> </w:t>
      </w:r>
    </w:p>
    <w:p w14:paraId="2AAD3E2E" w14:textId="77777777" w:rsidR="00211F97" w:rsidRDefault="00211F97" w:rsidP="0071320C">
      <w:pPr>
        <w:ind w:left="360"/>
      </w:pPr>
    </w:p>
    <w:p w14:paraId="6696F085" w14:textId="77777777" w:rsidR="00211F97" w:rsidRDefault="00211F97" w:rsidP="0071320C">
      <w:pPr>
        <w:ind w:left="360"/>
      </w:pPr>
    </w:p>
    <w:p w14:paraId="479603FE" w14:textId="77777777" w:rsidR="00211F97" w:rsidRDefault="00211F97" w:rsidP="0071320C">
      <w:pPr>
        <w:ind w:left="360"/>
      </w:pPr>
    </w:p>
    <w:p w14:paraId="612413C5" w14:textId="77777777" w:rsidR="00211F97" w:rsidRDefault="00211F97" w:rsidP="0071320C">
      <w:pPr>
        <w:ind w:left="360"/>
      </w:pPr>
    </w:p>
    <w:p w14:paraId="40174701" w14:textId="77777777" w:rsidR="00211F97" w:rsidRDefault="00211F97" w:rsidP="0071320C">
      <w:pPr>
        <w:ind w:left="360"/>
      </w:pPr>
    </w:p>
    <w:p w14:paraId="580BD46B" w14:textId="77777777" w:rsidR="00211F97" w:rsidRDefault="00211F97" w:rsidP="0071320C">
      <w:pPr>
        <w:ind w:left="360"/>
      </w:pPr>
    </w:p>
    <w:p w14:paraId="58E0EBA7" w14:textId="77777777" w:rsidR="00211F97" w:rsidRDefault="00211F97" w:rsidP="0071320C">
      <w:pPr>
        <w:ind w:left="360"/>
      </w:pPr>
    </w:p>
    <w:p w14:paraId="47BD5D41" w14:textId="77777777" w:rsidR="00211F97" w:rsidRDefault="00211F97" w:rsidP="0071320C">
      <w:pPr>
        <w:ind w:left="360"/>
      </w:pPr>
    </w:p>
    <w:p w14:paraId="46AF5C8E" w14:textId="77777777" w:rsidR="00211F97" w:rsidRDefault="00211F97" w:rsidP="0071320C">
      <w:pPr>
        <w:ind w:left="360"/>
      </w:pPr>
    </w:p>
    <w:p w14:paraId="507E9A89" w14:textId="77777777" w:rsidR="00211F97" w:rsidRDefault="00211F97" w:rsidP="0071320C">
      <w:pPr>
        <w:ind w:left="360"/>
      </w:pPr>
    </w:p>
    <w:p w14:paraId="23FB69A4" w14:textId="77777777" w:rsidR="00211F97" w:rsidRDefault="00211F97" w:rsidP="0071320C">
      <w:pPr>
        <w:ind w:left="360"/>
      </w:pPr>
    </w:p>
    <w:p w14:paraId="7F107352" w14:textId="77777777" w:rsidR="00211F97" w:rsidRDefault="00211F97" w:rsidP="0071320C">
      <w:pPr>
        <w:ind w:left="360"/>
      </w:pPr>
    </w:p>
    <w:p w14:paraId="3524FA37" w14:textId="77777777" w:rsidR="00211F97" w:rsidRDefault="00211F97" w:rsidP="0071320C">
      <w:pPr>
        <w:ind w:left="360"/>
      </w:pPr>
    </w:p>
    <w:p w14:paraId="58A1EEFC" w14:textId="77777777" w:rsidR="009071E9" w:rsidRPr="009071E9" w:rsidRDefault="5F884969" w:rsidP="5F884969">
      <w:pPr>
        <w:spacing w:after="0"/>
        <w:ind w:left="360"/>
        <w:rPr>
          <w:sz w:val="20"/>
          <w:szCs w:val="20"/>
        </w:rPr>
      </w:pPr>
      <w:r w:rsidRPr="5F884969">
        <w:rPr>
          <w:b/>
          <w:bCs/>
          <w:i/>
          <w:iCs/>
          <w:sz w:val="20"/>
          <w:szCs w:val="20"/>
        </w:rPr>
        <w:lastRenderedPageBreak/>
        <w:t>Figure 9:</w:t>
      </w:r>
      <w:r w:rsidRPr="5F884969">
        <w:rPr>
          <w:sz w:val="20"/>
          <w:szCs w:val="20"/>
        </w:rPr>
        <w:t xml:space="preserve"> Trends in Unemployment Rates for Burlington, VT; Vermont; and the U.S. Source: Local Area Unemployment Statistics, Not Seasonally Adjusted.</w:t>
      </w:r>
    </w:p>
    <w:p w14:paraId="51E89467" w14:textId="38E70738" w:rsidR="009071E9" w:rsidRDefault="009071E9" w:rsidP="00F34166">
      <w:pPr>
        <w:spacing w:after="0"/>
        <w:ind w:left="360"/>
      </w:pPr>
      <w:r>
        <w:rPr>
          <w:noProof/>
          <w:lang w:eastAsia="en-US"/>
        </w:rPr>
        <w:drawing>
          <wp:inline distT="0" distB="0" distL="0" distR="0" wp14:anchorId="07B9F4CA" wp14:editId="50F2FE19">
            <wp:extent cx="5880735" cy="3456940"/>
            <wp:effectExtent l="0" t="0" r="12065" b="228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0CD27A" w14:textId="77777777" w:rsidR="00F34166" w:rsidRDefault="00F34166" w:rsidP="00F34166">
      <w:pPr>
        <w:spacing w:after="0"/>
        <w:ind w:left="360"/>
      </w:pPr>
    </w:p>
    <w:p w14:paraId="0CCE5364" w14:textId="77777777" w:rsidR="00B408AE" w:rsidRDefault="00B408AE" w:rsidP="00B408AE">
      <w:pPr>
        <w:spacing w:after="0"/>
        <w:rPr>
          <w:b/>
          <w:bCs/>
          <w:i/>
          <w:iCs/>
          <w:sz w:val="20"/>
          <w:szCs w:val="20"/>
        </w:rPr>
      </w:pPr>
    </w:p>
    <w:p w14:paraId="5A6CE2A8" w14:textId="77777777" w:rsidR="006926FA" w:rsidRDefault="006926FA" w:rsidP="00B408AE">
      <w:pPr>
        <w:spacing w:after="0"/>
        <w:rPr>
          <w:b/>
          <w:bCs/>
          <w:i/>
          <w:iCs/>
          <w:sz w:val="20"/>
          <w:szCs w:val="20"/>
        </w:rPr>
      </w:pPr>
    </w:p>
    <w:p w14:paraId="669FD955" w14:textId="77777777" w:rsidR="00211F97" w:rsidRDefault="00211F97" w:rsidP="00B408AE">
      <w:pPr>
        <w:spacing w:after="0"/>
        <w:ind w:firstLine="360"/>
        <w:rPr>
          <w:b/>
          <w:bCs/>
          <w:i/>
          <w:iCs/>
          <w:sz w:val="20"/>
          <w:szCs w:val="20"/>
        </w:rPr>
      </w:pPr>
    </w:p>
    <w:p w14:paraId="1D618B6A" w14:textId="77777777" w:rsidR="00211F97" w:rsidRDefault="00211F97" w:rsidP="00B408AE">
      <w:pPr>
        <w:spacing w:after="0"/>
        <w:ind w:firstLine="360"/>
        <w:rPr>
          <w:b/>
          <w:bCs/>
          <w:i/>
          <w:iCs/>
          <w:sz w:val="20"/>
          <w:szCs w:val="20"/>
        </w:rPr>
      </w:pPr>
    </w:p>
    <w:p w14:paraId="422E2CD0" w14:textId="77777777" w:rsidR="00211F97" w:rsidRDefault="00211F97" w:rsidP="00B408AE">
      <w:pPr>
        <w:spacing w:after="0"/>
        <w:ind w:firstLine="360"/>
        <w:rPr>
          <w:b/>
          <w:bCs/>
          <w:i/>
          <w:iCs/>
          <w:sz w:val="20"/>
          <w:szCs w:val="20"/>
        </w:rPr>
      </w:pPr>
    </w:p>
    <w:p w14:paraId="0079F019" w14:textId="77777777" w:rsidR="00211F97" w:rsidRDefault="00211F97" w:rsidP="00B408AE">
      <w:pPr>
        <w:spacing w:after="0"/>
        <w:ind w:firstLine="360"/>
        <w:rPr>
          <w:b/>
          <w:bCs/>
          <w:i/>
          <w:iCs/>
          <w:sz w:val="20"/>
          <w:szCs w:val="20"/>
        </w:rPr>
      </w:pPr>
    </w:p>
    <w:p w14:paraId="60FC9BF6" w14:textId="77777777" w:rsidR="00211F97" w:rsidRDefault="00211F97" w:rsidP="00B408AE">
      <w:pPr>
        <w:spacing w:after="0"/>
        <w:ind w:firstLine="360"/>
        <w:rPr>
          <w:b/>
          <w:bCs/>
          <w:i/>
          <w:iCs/>
          <w:sz w:val="20"/>
          <w:szCs w:val="20"/>
        </w:rPr>
      </w:pPr>
    </w:p>
    <w:p w14:paraId="55F82500" w14:textId="77777777" w:rsidR="00211F97" w:rsidRDefault="00211F97" w:rsidP="00B408AE">
      <w:pPr>
        <w:spacing w:after="0"/>
        <w:ind w:firstLine="360"/>
        <w:rPr>
          <w:b/>
          <w:bCs/>
          <w:i/>
          <w:iCs/>
          <w:sz w:val="20"/>
          <w:szCs w:val="20"/>
        </w:rPr>
      </w:pPr>
    </w:p>
    <w:p w14:paraId="2BB0673D" w14:textId="77777777" w:rsidR="00211F97" w:rsidRDefault="00211F97" w:rsidP="00B408AE">
      <w:pPr>
        <w:spacing w:after="0"/>
        <w:ind w:firstLine="360"/>
        <w:rPr>
          <w:b/>
          <w:bCs/>
          <w:i/>
          <w:iCs/>
          <w:sz w:val="20"/>
          <w:szCs w:val="20"/>
        </w:rPr>
      </w:pPr>
    </w:p>
    <w:p w14:paraId="29755AC4" w14:textId="77777777" w:rsidR="00211F97" w:rsidRDefault="00211F97" w:rsidP="00B408AE">
      <w:pPr>
        <w:spacing w:after="0"/>
        <w:ind w:firstLine="360"/>
        <w:rPr>
          <w:b/>
          <w:bCs/>
          <w:i/>
          <w:iCs/>
          <w:sz w:val="20"/>
          <w:szCs w:val="20"/>
        </w:rPr>
      </w:pPr>
    </w:p>
    <w:p w14:paraId="1627CF3F" w14:textId="77777777" w:rsidR="00211F97" w:rsidRDefault="00211F97" w:rsidP="00B408AE">
      <w:pPr>
        <w:spacing w:after="0"/>
        <w:ind w:firstLine="360"/>
        <w:rPr>
          <w:b/>
          <w:bCs/>
          <w:i/>
          <w:iCs/>
          <w:sz w:val="20"/>
          <w:szCs w:val="20"/>
        </w:rPr>
      </w:pPr>
    </w:p>
    <w:p w14:paraId="104666A7" w14:textId="77777777" w:rsidR="00211F97" w:rsidRDefault="00211F97" w:rsidP="00B408AE">
      <w:pPr>
        <w:spacing w:after="0"/>
        <w:ind w:firstLine="360"/>
        <w:rPr>
          <w:b/>
          <w:bCs/>
          <w:i/>
          <w:iCs/>
          <w:sz w:val="20"/>
          <w:szCs w:val="20"/>
        </w:rPr>
      </w:pPr>
    </w:p>
    <w:p w14:paraId="77DCC212" w14:textId="77777777" w:rsidR="00211F97" w:rsidRDefault="00211F97" w:rsidP="00B408AE">
      <w:pPr>
        <w:spacing w:after="0"/>
        <w:ind w:firstLine="360"/>
        <w:rPr>
          <w:b/>
          <w:bCs/>
          <w:i/>
          <w:iCs/>
          <w:sz w:val="20"/>
          <w:szCs w:val="20"/>
        </w:rPr>
      </w:pPr>
    </w:p>
    <w:p w14:paraId="6B0E2F96" w14:textId="77777777" w:rsidR="00211F97" w:rsidRDefault="00211F97" w:rsidP="00B408AE">
      <w:pPr>
        <w:spacing w:after="0"/>
        <w:ind w:firstLine="360"/>
        <w:rPr>
          <w:b/>
          <w:bCs/>
          <w:i/>
          <w:iCs/>
          <w:sz w:val="20"/>
          <w:szCs w:val="20"/>
        </w:rPr>
      </w:pPr>
    </w:p>
    <w:p w14:paraId="1A4481DC" w14:textId="77777777" w:rsidR="00211F97" w:rsidRDefault="00211F97" w:rsidP="00B408AE">
      <w:pPr>
        <w:spacing w:after="0"/>
        <w:ind w:firstLine="360"/>
        <w:rPr>
          <w:b/>
          <w:bCs/>
          <w:i/>
          <w:iCs/>
          <w:sz w:val="20"/>
          <w:szCs w:val="20"/>
        </w:rPr>
      </w:pPr>
    </w:p>
    <w:p w14:paraId="51368BD8" w14:textId="77777777" w:rsidR="00211F97" w:rsidRDefault="00211F97" w:rsidP="00B408AE">
      <w:pPr>
        <w:spacing w:after="0"/>
        <w:ind w:firstLine="360"/>
        <w:rPr>
          <w:b/>
          <w:bCs/>
          <w:i/>
          <w:iCs/>
          <w:sz w:val="20"/>
          <w:szCs w:val="20"/>
        </w:rPr>
      </w:pPr>
    </w:p>
    <w:p w14:paraId="349FBCC7" w14:textId="77777777" w:rsidR="00211F97" w:rsidRDefault="00211F97" w:rsidP="00B408AE">
      <w:pPr>
        <w:spacing w:after="0"/>
        <w:ind w:firstLine="360"/>
        <w:rPr>
          <w:b/>
          <w:bCs/>
          <w:i/>
          <w:iCs/>
          <w:sz w:val="20"/>
          <w:szCs w:val="20"/>
        </w:rPr>
      </w:pPr>
    </w:p>
    <w:p w14:paraId="6F19F9ED" w14:textId="77777777" w:rsidR="00211F97" w:rsidRDefault="00211F97" w:rsidP="00B408AE">
      <w:pPr>
        <w:spacing w:after="0"/>
        <w:ind w:firstLine="360"/>
        <w:rPr>
          <w:b/>
          <w:bCs/>
          <w:i/>
          <w:iCs/>
          <w:sz w:val="20"/>
          <w:szCs w:val="20"/>
        </w:rPr>
      </w:pPr>
    </w:p>
    <w:p w14:paraId="5295FEEB" w14:textId="77777777" w:rsidR="00211F97" w:rsidRDefault="00211F97" w:rsidP="00B408AE">
      <w:pPr>
        <w:spacing w:after="0"/>
        <w:ind w:firstLine="360"/>
        <w:rPr>
          <w:b/>
          <w:bCs/>
          <w:i/>
          <w:iCs/>
          <w:sz w:val="20"/>
          <w:szCs w:val="20"/>
        </w:rPr>
      </w:pPr>
    </w:p>
    <w:p w14:paraId="5F616718" w14:textId="77777777" w:rsidR="00211F97" w:rsidRDefault="00211F97" w:rsidP="00B408AE">
      <w:pPr>
        <w:spacing w:after="0"/>
        <w:ind w:firstLine="360"/>
        <w:rPr>
          <w:b/>
          <w:bCs/>
          <w:i/>
          <w:iCs/>
          <w:sz w:val="20"/>
          <w:szCs w:val="20"/>
        </w:rPr>
      </w:pPr>
    </w:p>
    <w:p w14:paraId="36BCE8DF" w14:textId="77777777" w:rsidR="00211F97" w:rsidRDefault="00211F97" w:rsidP="00B408AE">
      <w:pPr>
        <w:spacing w:after="0"/>
        <w:ind w:firstLine="360"/>
        <w:rPr>
          <w:b/>
          <w:bCs/>
          <w:i/>
          <w:iCs/>
          <w:sz w:val="20"/>
          <w:szCs w:val="20"/>
        </w:rPr>
      </w:pPr>
    </w:p>
    <w:p w14:paraId="083E9519" w14:textId="77777777" w:rsidR="00211F97" w:rsidRDefault="00211F97" w:rsidP="00B408AE">
      <w:pPr>
        <w:spacing w:after="0"/>
        <w:ind w:firstLine="360"/>
        <w:rPr>
          <w:b/>
          <w:bCs/>
          <w:i/>
          <w:iCs/>
          <w:sz w:val="20"/>
          <w:szCs w:val="20"/>
        </w:rPr>
      </w:pPr>
    </w:p>
    <w:p w14:paraId="63EA8AA4" w14:textId="77777777" w:rsidR="00211F97" w:rsidRDefault="00211F97" w:rsidP="00B408AE">
      <w:pPr>
        <w:spacing w:after="0"/>
        <w:ind w:firstLine="360"/>
        <w:rPr>
          <w:b/>
          <w:bCs/>
          <w:i/>
          <w:iCs/>
          <w:sz w:val="20"/>
          <w:szCs w:val="20"/>
        </w:rPr>
      </w:pPr>
    </w:p>
    <w:p w14:paraId="37D59603" w14:textId="77777777" w:rsidR="00211F97" w:rsidRDefault="00211F97" w:rsidP="00B408AE">
      <w:pPr>
        <w:spacing w:after="0"/>
        <w:ind w:firstLine="360"/>
        <w:rPr>
          <w:b/>
          <w:bCs/>
          <w:i/>
          <w:iCs/>
          <w:sz w:val="20"/>
          <w:szCs w:val="20"/>
        </w:rPr>
      </w:pPr>
    </w:p>
    <w:p w14:paraId="17E8C22A" w14:textId="77777777" w:rsidR="00211F97" w:rsidRDefault="00211F97" w:rsidP="00B408AE">
      <w:pPr>
        <w:spacing w:after="0"/>
        <w:ind w:firstLine="360"/>
        <w:rPr>
          <w:b/>
          <w:bCs/>
          <w:i/>
          <w:iCs/>
          <w:sz w:val="20"/>
          <w:szCs w:val="20"/>
        </w:rPr>
      </w:pPr>
    </w:p>
    <w:p w14:paraId="4A8D03BD" w14:textId="77777777" w:rsidR="009071E9" w:rsidRPr="009071E9" w:rsidRDefault="5F884969" w:rsidP="00B408AE">
      <w:pPr>
        <w:spacing w:after="0"/>
        <w:ind w:firstLine="360"/>
        <w:rPr>
          <w:sz w:val="20"/>
          <w:szCs w:val="20"/>
        </w:rPr>
      </w:pPr>
      <w:r w:rsidRPr="5F884969">
        <w:rPr>
          <w:b/>
          <w:bCs/>
          <w:i/>
          <w:iCs/>
          <w:sz w:val="20"/>
          <w:szCs w:val="20"/>
        </w:rPr>
        <w:lastRenderedPageBreak/>
        <w:t>Figure 10:</w:t>
      </w:r>
      <w:r w:rsidRPr="5F884969">
        <w:rPr>
          <w:sz w:val="20"/>
          <w:szCs w:val="20"/>
        </w:rPr>
        <w:t xml:space="preserve"> Job Growth Trends 2012-2016. Source: Quarterly Census of Employment and Wages.</w:t>
      </w:r>
    </w:p>
    <w:p w14:paraId="58EC229D" w14:textId="37B0744E" w:rsidR="009071E9" w:rsidRDefault="009071E9" w:rsidP="00F34166">
      <w:pPr>
        <w:spacing w:after="0"/>
        <w:ind w:firstLine="360"/>
      </w:pPr>
      <w:r>
        <w:rPr>
          <w:noProof/>
          <w:lang w:eastAsia="en-US"/>
        </w:rPr>
        <w:drawing>
          <wp:inline distT="0" distB="0" distL="0" distR="0" wp14:anchorId="7087D2C7" wp14:editId="2F568BBF">
            <wp:extent cx="5766435" cy="3952240"/>
            <wp:effectExtent l="0" t="0" r="24765" b="1016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3BF934" w14:textId="77777777" w:rsidR="00B408AE" w:rsidRDefault="00B408AE" w:rsidP="00F34166">
      <w:pPr>
        <w:spacing w:after="0"/>
        <w:ind w:firstLine="360"/>
      </w:pPr>
    </w:p>
    <w:p w14:paraId="3A43EE5B" w14:textId="77777777" w:rsidR="009071E9" w:rsidRPr="003D0AA4" w:rsidRDefault="5F884969" w:rsidP="5F884969">
      <w:pPr>
        <w:spacing w:after="0"/>
        <w:ind w:firstLine="360"/>
        <w:rPr>
          <w:sz w:val="20"/>
          <w:szCs w:val="20"/>
        </w:rPr>
      </w:pPr>
      <w:r w:rsidRPr="5F884969">
        <w:rPr>
          <w:b/>
          <w:bCs/>
          <w:i/>
          <w:iCs/>
          <w:sz w:val="20"/>
          <w:szCs w:val="20"/>
        </w:rPr>
        <w:t>Figure 11:</w:t>
      </w:r>
      <w:r w:rsidRPr="5F884969">
        <w:rPr>
          <w:sz w:val="20"/>
          <w:szCs w:val="20"/>
        </w:rPr>
        <w:t xml:space="preserve"> Office and Retail Space Vacancy in Burlington, Vermont. Source: Allen &amp; Brooks Report Dec. 2016.</w:t>
      </w:r>
    </w:p>
    <w:p w14:paraId="5D27FC82" w14:textId="26D3228B" w:rsidR="003D0AA4" w:rsidRDefault="003D0AA4" w:rsidP="009071E9">
      <w:pPr>
        <w:spacing w:after="0"/>
        <w:ind w:firstLine="360"/>
      </w:pPr>
      <w:r>
        <w:rPr>
          <w:noProof/>
          <w:lang w:eastAsia="en-US"/>
        </w:rPr>
        <w:drawing>
          <wp:inline distT="0" distB="0" distL="0" distR="0" wp14:anchorId="0CE0F143" wp14:editId="2C9444BF">
            <wp:extent cx="5686425" cy="3186113"/>
            <wp:effectExtent l="0" t="0" r="9525" b="146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1BE9FB" w14:textId="77777777" w:rsidR="009071E9" w:rsidRDefault="009071E9" w:rsidP="009071E9">
      <w:pPr>
        <w:spacing w:after="0"/>
        <w:ind w:firstLine="360"/>
      </w:pPr>
    </w:p>
    <w:p w14:paraId="69EA9663" w14:textId="77777777" w:rsidR="00321A0B" w:rsidRPr="00321A0B" w:rsidRDefault="5F884969" w:rsidP="002F7C2E">
      <w:pPr>
        <w:pStyle w:val="Heading2"/>
        <w:spacing w:before="0" w:after="120"/>
        <w:ind w:left="360"/>
        <w:rPr>
          <w:rFonts w:asciiTheme="minorHAnsi" w:hAnsiTheme="minorHAnsi"/>
          <w:b/>
          <w:bCs/>
          <w:i/>
          <w:iCs/>
          <w:color w:val="auto"/>
          <w:sz w:val="22"/>
          <w:szCs w:val="22"/>
        </w:rPr>
      </w:pPr>
      <w:r w:rsidRPr="5F884969">
        <w:rPr>
          <w:rFonts w:asciiTheme="minorHAnsi" w:hAnsiTheme="minorHAnsi"/>
          <w:b/>
          <w:bCs/>
          <w:i/>
          <w:iCs/>
          <w:color w:val="auto"/>
          <w:sz w:val="22"/>
          <w:szCs w:val="22"/>
        </w:rPr>
        <w:lastRenderedPageBreak/>
        <w:t>Commercial Vacancy Rates</w:t>
      </w:r>
    </w:p>
    <w:p w14:paraId="6798390B" w14:textId="77777777" w:rsidR="00321A0B" w:rsidRDefault="5F884969" w:rsidP="002F7C2E">
      <w:pPr>
        <w:pStyle w:val="Heading2"/>
        <w:ind w:left="360"/>
        <w:rPr>
          <w:rFonts w:asciiTheme="minorHAnsi" w:hAnsiTheme="minorHAnsi"/>
          <w:color w:val="auto"/>
          <w:sz w:val="22"/>
          <w:szCs w:val="22"/>
        </w:rPr>
      </w:pPr>
      <w:r w:rsidRPr="5F884969">
        <w:rPr>
          <w:rFonts w:asciiTheme="minorHAnsi" w:hAnsiTheme="minorHAnsi"/>
          <w:color w:val="auto"/>
          <w:sz w:val="22"/>
          <w:szCs w:val="22"/>
        </w:rPr>
        <w:t>The downtown retail vacancy rate jumped upwards in June 2008, leveled out for several years, and peaked in December 2016 at 10.9%, higher than the historic average of 8.3%. Much of this increased vacancy is attributed to broad, long-term redevelopment plans at the Burlington Town Center shopping mall. The complex was purchased in 2014 and is undergoing a period of re-tenanting that will likely keep vacancy rates higher than average throughout the redevelopment transition.</w:t>
      </w:r>
    </w:p>
    <w:p w14:paraId="55D1361C" w14:textId="77777777" w:rsidR="00321A0B" w:rsidRPr="00321A0B" w:rsidRDefault="00321A0B" w:rsidP="00321A0B">
      <w:pPr>
        <w:spacing w:after="0"/>
      </w:pPr>
    </w:p>
    <w:p w14:paraId="5615A537" w14:textId="77777777" w:rsidR="00321A0B" w:rsidRPr="00321A0B" w:rsidRDefault="5F884969" w:rsidP="002F7C2E">
      <w:pPr>
        <w:spacing w:after="120"/>
        <w:ind w:left="360"/>
        <w:outlineLvl w:val="0"/>
        <w:rPr>
          <w:rFonts w:ascii="Calibri" w:hAnsi="Calibri"/>
          <w:b/>
          <w:bCs/>
          <w:i/>
          <w:iCs/>
        </w:rPr>
      </w:pPr>
      <w:r w:rsidRPr="5F884969">
        <w:rPr>
          <w:rFonts w:ascii="Calibri" w:hAnsi="Calibri"/>
          <w:b/>
          <w:bCs/>
          <w:i/>
          <w:iCs/>
        </w:rPr>
        <w:t>Sales and Entertainment Revenues</w:t>
      </w:r>
    </w:p>
    <w:p w14:paraId="17700F0B" w14:textId="77777777" w:rsidR="00321A0B" w:rsidRPr="008E60AA" w:rsidRDefault="5F884969" w:rsidP="5F884969">
      <w:pPr>
        <w:ind w:left="360"/>
        <w:rPr>
          <w:rFonts w:ascii="Calibri" w:hAnsi="Calibri"/>
        </w:rPr>
      </w:pPr>
      <w:r w:rsidRPr="5F884969">
        <w:rPr>
          <w:rFonts w:ascii="Calibri" w:hAnsi="Calibri"/>
        </w:rPr>
        <w:t>Vermont saw a significant rise in sales and gross use receipts between January 2010 and 2011; on a month-to-month basis, these receipts increased gradually throughout 2010, from 48,027,596 to 64,779,961 in a one year period. Burlington meals, rooms and alcohol receipts have remained largely stable since 2011, increasing by 10.81% in 2012, dipping slightly in 2013 and 2014, and finally increasing in January 2016.</w:t>
      </w:r>
    </w:p>
    <w:p w14:paraId="0C498939" w14:textId="77777777" w:rsidR="003D0AA4" w:rsidRPr="003D0AA4" w:rsidRDefault="5F884969" w:rsidP="5F884969">
      <w:pPr>
        <w:spacing w:after="0"/>
        <w:ind w:left="360"/>
        <w:rPr>
          <w:sz w:val="20"/>
          <w:szCs w:val="20"/>
        </w:rPr>
      </w:pPr>
      <w:r w:rsidRPr="5F884969">
        <w:rPr>
          <w:b/>
          <w:bCs/>
          <w:i/>
          <w:iCs/>
          <w:sz w:val="20"/>
          <w:szCs w:val="20"/>
        </w:rPr>
        <w:t>Figure 12:</w:t>
      </w:r>
      <w:r w:rsidRPr="5F884969">
        <w:rPr>
          <w:sz w:val="20"/>
          <w:szCs w:val="20"/>
        </w:rPr>
        <w:t xml:space="preserve"> Monthly Change in Tax Revenues, Jan. 2008-Jan. 2016. Source: Vermont Department of Taxes Monthly Reports.</w:t>
      </w:r>
    </w:p>
    <w:p w14:paraId="434ACC6E" w14:textId="7B696F93" w:rsidR="003D0AA4" w:rsidRDefault="003D0AA4" w:rsidP="003D0AA4">
      <w:pPr>
        <w:spacing w:after="0"/>
        <w:ind w:left="360"/>
      </w:pPr>
      <w:r>
        <w:rPr>
          <w:noProof/>
          <w:lang w:eastAsia="en-US"/>
        </w:rPr>
        <w:drawing>
          <wp:inline distT="0" distB="0" distL="0" distR="0" wp14:anchorId="16EA4E8B" wp14:editId="629144EB">
            <wp:extent cx="5943600" cy="26670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2219F5" w14:textId="77777777" w:rsidR="003D0AA4" w:rsidRDefault="003D0AA4" w:rsidP="003D0AA4">
      <w:pPr>
        <w:spacing w:after="0"/>
      </w:pPr>
    </w:p>
    <w:p w14:paraId="62D0D8AE" w14:textId="77777777" w:rsidR="002B24EC" w:rsidRPr="00DA76BD" w:rsidRDefault="5F884969" w:rsidP="002F7C2E">
      <w:pPr>
        <w:pStyle w:val="Heading1"/>
        <w:spacing w:before="0" w:after="120"/>
        <w:ind w:left="360"/>
        <w:rPr>
          <w:rFonts w:ascii="Calibri" w:hAnsi="Calibri"/>
          <w:b/>
          <w:bCs/>
          <w:color w:val="000000" w:themeColor="text1"/>
          <w:sz w:val="24"/>
          <w:szCs w:val="24"/>
        </w:rPr>
      </w:pPr>
      <w:r w:rsidRPr="00DA76BD">
        <w:rPr>
          <w:rFonts w:ascii="Calibri" w:hAnsi="Calibri"/>
          <w:b/>
          <w:bCs/>
          <w:color w:val="000000" w:themeColor="text1"/>
          <w:sz w:val="24"/>
          <w:szCs w:val="24"/>
        </w:rPr>
        <w:t>Burlington Housing Demographics</w:t>
      </w:r>
    </w:p>
    <w:p w14:paraId="01157889" w14:textId="7EA6A82B" w:rsidR="002B24EC" w:rsidRPr="00DA45CC" w:rsidRDefault="5F884969" w:rsidP="002B24EC">
      <w:pPr>
        <w:ind w:left="360"/>
      </w:pPr>
      <w:r w:rsidRPr="006926FA">
        <w:t>The number of units that make up the Burlington housing inventory include both market rate and affordable units. According to th</w:t>
      </w:r>
      <w:r>
        <w:t>e American Community Survey 2011-15, there are 16,702 units in the city with almost 97% of the units occupied. The homeowner vacancy rate dropped from 2.5% to .5% and the rental vacancy rate dropped from 1.5% to 1.0%.</w:t>
      </w:r>
    </w:p>
    <w:p w14:paraId="0DE8BDF8" w14:textId="77777777" w:rsidR="00095FB4" w:rsidRDefault="00095FB4" w:rsidP="00B408AE">
      <w:pPr>
        <w:ind w:left="360"/>
        <w:rPr>
          <w:rFonts w:ascii="Arial" w:hAnsi="Arial" w:cs="Arial"/>
          <w:color w:val="333333"/>
          <w:sz w:val="20"/>
          <w:szCs w:val="20"/>
          <w:shd w:val="clear" w:color="auto" w:fill="FFFFFF"/>
        </w:rPr>
      </w:pPr>
      <w:r>
        <w:rPr>
          <w:rFonts w:ascii="Arial" w:hAnsi="Arial" w:cs="Arial"/>
          <w:color w:val="333333"/>
          <w:sz w:val="20"/>
          <w:szCs w:val="20"/>
          <w:shd w:val="clear" w:color="auto" w:fill="FFFFFF"/>
        </w:rPr>
        <w:t>It has been noted that Vermont has the 7th oldest housing stock in the nation.  Overall, Burlington’s housing stock is predominately older, renter-occupied homes and apartments. Burlington has five times as many housing units over 50 years old than any other municipality in Chittenden County. The median year of construction for renter-occupied housing unites is estimated to be 1961 for the State of Vermont and 1965 for Chittenden County. Over 50% of the rental units are found by Code Enforcement to be out of compliance with minimum housing code. Almost 60% of Burlington’s housing units were built before 1960.</w:t>
      </w:r>
    </w:p>
    <w:p w14:paraId="198947E2" w14:textId="34CC80F3" w:rsidR="00F34166" w:rsidRPr="00B408AE" w:rsidRDefault="5F884969" w:rsidP="00B408AE">
      <w:pPr>
        <w:ind w:left="360"/>
      </w:pPr>
      <w:r>
        <w:lastRenderedPageBreak/>
        <w:t>Of the total number of housing units in Burlington, almost 60% of those units are occupied by renters. The rental vacancy rate in both Burlington and Chittenden County remains low but significantly higher than previous years due to the increased number of units being built in Chittenden County.</w:t>
      </w:r>
    </w:p>
    <w:p w14:paraId="3C63DC2F" w14:textId="77777777" w:rsidR="00B470B5" w:rsidRPr="00B470B5" w:rsidRDefault="5F884969" w:rsidP="00F34166">
      <w:pPr>
        <w:spacing w:after="0"/>
        <w:ind w:left="360"/>
        <w:rPr>
          <w:sz w:val="20"/>
          <w:szCs w:val="20"/>
        </w:rPr>
      </w:pPr>
      <w:r w:rsidRPr="5F884969">
        <w:rPr>
          <w:b/>
          <w:bCs/>
          <w:i/>
          <w:iCs/>
          <w:sz w:val="20"/>
          <w:szCs w:val="20"/>
        </w:rPr>
        <w:t>Figure 13:</w:t>
      </w:r>
      <w:r w:rsidRPr="5F884969">
        <w:rPr>
          <w:sz w:val="20"/>
          <w:szCs w:val="20"/>
        </w:rPr>
        <w:t xml:space="preserve"> Rental Vacancy Rates. Source: Allen &amp; Brooks Report and Census.</w:t>
      </w:r>
    </w:p>
    <w:p w14:paraId="5E02B8C9" w14:textId="645E68A6" w:rsidR="00B470B5" w:rsidRDefault="00B470B5" w:rsidP="00B470B5">
      <w:pPr>
        <w:spacing w:after="0"/>
        <w:ind w:left="360"/>
      </w:pPr>
      <w:r>
        <w:rPr>
          <w:noProof/>
          <w:lang w:eastAsia="en-US"/>
        </w:rPr>
        <w:drawing>
          <wp:inline distT="0" distB="0" distL="0" distR="0" wp14:anchorId="14E1A177" wp14:editId="2EFC210E">
            <wp:extent cx="5943600" cy="320992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11EF9D" w14:textId="77777777" w:rsidR="00AC2C5F" w:rsidRDefault="00AC2C5F" w:rsidP="00DA45CC">
      <w:pPr>
        <w:ind w:left="360"/>
      </w:pPr>
    </w:p>
    <w:p w14:paraId="3BA80166" w14:textId="77777777" w:rsidR="00DA45CC" w:rsidRDefault="5F884969" w:rsidP="00DA45CC">
      <w:pPr>
        <w:ind w:left="360"/>
      </w:pPr>
      <w:r>
        <w:t>The remaining 40% of housing units are occupied by homeowners and the increase in housing costs is steady but not as dramatic as rent. Foreclosure rates have declined since the peak of the foreclosure crisis in 2009.</w:t>
      </w:r>
    </w:p>
    <w:p w14:paraId="73CEF56D" w14:textId="77777777" w:rsidR="007C1F06" w:rsidRPr="007C1F06" w:rsidRDefault="5F884969" w:rsidP="5F884969">
      <w:pPr>
        <w:spacing w:after="0"/>
        <w:ind w:firstLine="360"/>
        <w:rPr>
          <w:sz w:val="20"/>
          <w:szCs w:val="20"/>
        </w:rPr>
      </w:pPr>
      <w:r w:rsidRPr="5F884969">
        <w:rPr>
          <w:b/>
          <w:bCs/>
          <w:i/>
          <w:iCs/>
          <w:sz w:val="20"/>
          <w:szCs w:val="20"/>
        </w:rPr>
        <w:t>Figure 14:</w:t>
      </w:r>
      <w:r w:rsidRPr="5F884969">
        <w:rPr>
          <w:sz w:val="20"/>
          <w:szCs w:val="20"/>
        </w:rPr>
        <w:t xml:space="preserve"> Burlington Residential Foreclosures. Source: City of Burlington Clerk/Treasurer’s Office Land.</w:t>
      </w:r>
    </w:p>
    <w:p w14:paraId="31702784" w14:textId="48EE0B37" w:rsidR="007C1F06" w:rsidRDefault="007C1F06" w:rsidP="00DA5CA7">
      <w:pPr>
        <w:spacing w:after="0"/>
        <w:ind w:firstLine="360"/>
      </w:pPr>
      <w:r>
        <w:rPr>
          <w:noProof/>
          <w:lang w:eastAsia="en-US"/>
        </w:rPr>
        <w:drawing>
          <wp:inline distT="0" distB="0" distL="0" distR="0" wp14:anchorId="04F6856A" wp14:editId="6C360F65">
            <wp:extent cx="5080635" cy="2745740"/>
            <wp:effectExtent l="0" t="0" r="24765" b="228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1C25BC" w14:textId="77777777" w:rsidR="006A40E2" w:rsidRPr="001617A3" w:rsidRDefault="5F884969" w:rsidP="002F7C2E">
      <w:pPr>
        <w:pStyle w:val="Heading2"/>
        <w:ind w:left="360"/>
        <w:rPr>
          <w:rFonts w:ascii="Calibri" w:hAnsi="Calibri"/>
          <w:b/>
          <w:bCs/>
          <w:color w:val="000000" w:themeColor="text1"/>
          <w:sz w:val="24"/>
          <w:szCs w:val="24"/>
        </w:rPr>
      </w:pPr>
      <w:r w:rsidRPr="5F884969">
        <w:rPr>
          <w:rFonts w:ascii="Calibri" w:hAnsi="Calibri"/>
          <w:b/>
          <w:bCs/>
          <w:color w:val="000000" w:themeColor="text1"/>
          <w:sz w:val="24"/>
          <w:szCs w:val="24"/>
        </w:rPr>
        <w:lastRenderedPageBreak/>
        <w:t>Burlington-South Burlington Region Population Demographics</w:t>
      </w:r>
    </w:p>
    <w:p w14:paraId="12E07291" w14:textId="1BD8978B" w:rsidR="006A40E2" w:rsidRDefault="5F884969" w:rsidP="5F884969">
      <w:pPr>
        <w:ind w:left="360"/>
        <w:rPr>
          <w:rFonts w:ascii="Calibri" w:hAnsi="Calibri"/>
          <w:color w:val="000000" w:themeColor="text1"/>
        </w:rPr>
      </w:pPr>
      <w:r w:rsidRPr="5F884969">
        <w:rPr>
          <w:rFonts w:ascii="Calibri" w:hAnsi="Calibri"/>
          <w:color w:val="000000" w:themeColor="text1"/>
        </w:rPr>
        <w:t xml:space="preserve">Burlington is part of Chittenden County and the population of the County is </w:t>
      </w:r>
      <w:r w:rsidR="00211F97">
        <w:rPr>
          <w:rFonts w:ascii="Calibri" w:hAnsi="Calibri"/>
          <w:color w:val="000000" w:themeColor="text1"/>
        </w:rPr>
        <w:t xml:space="preserve">156,545 (ACS </w:t>
      </w:r>
      <w:proofErr w:type="gramStart"/>
      <w:r w:rsidR="00211F97">
        <w:rPr>
          <w:rFonts w:ascii="Calibri" w:hAnsi="Calibri"/>
          <w:color w:val="000000" w:themeColor="text1"/>
        </w:rPr>
        <w:t>2015</w:t>
      </w:r>
      <w:r w:rsidRPr="5F884969">
        <w:rPr>
          <w:rFonts w:ascii="Calibri" w:hAnsi="Calibri"/>
          <w:color w:val="000000" w:themeColor="text1"/>
        </w:rPr>
        <w:t xml:space="preserve"> )</w:t>
      </w:r>
      <w:proofErr w:type="gramEnd"/>
      <w:r w:rsidRPr="5F884969">
        <w:rPr>
          <w:rFonts w:ascii="Calibri" w:hAnsi="Calibri"/>
          <w:color w:val="000000" w:themeColor="text1"/>
        </w:rPr>
        <w:t xml:space="preserve"> Burlington is part of the Burlington-South Burlington metropolitan statistical area as well as a core based statistical area.  A Core Based Statistical Area (CBSA) is a U.S. geographi</w:t>
      </w:r>
      <w:r w:rsidR="00996D80">
        <w:rPr>
          <w:rFonts w:ascii="Calibri" w:hAnsi="Calibri"/>
          <w:color w:val="000000" w:themeColor="text1"/>
        </w:rPr>
        <w:t>c area defined by the Office of</w:t>
      </w:r>
      <w:r w:rsidRPr="5F884969">
        <w:rPr>
          <w:rFonts w:ascii="Calibri" w:hAnsi="Calibri"/>
          <w:color w:val="000000" w:themeColor="text1"/>
        </w:rPr>
        <w:t xml:space="preserve"> Management and Budget. The CBSA represents one or more counties tied together by an urban center, in this case, Chittenden, Franklin (population 47,746) and Grand Isle (population 6,970) Counties with Burlington being the urban center. These areas are linked together socioeconomically via commuting.  </w:t>
      </w:r>
    </w:p>
    <w:p w14:paraId="2FD1CA1B" w14:textId="1DB33C0F" w:rsidR="00236FF7" w:rsidRPr="00236FF7" w:rsidRDefault="006926FA" w:rsidP="5F884969">
      <w:pPr>
        <w:spacing w:after="0"/>
        <w:ind w:left="360"/>
        <w:rPr>
          <w:sz w:val="20"/>
          <w:szCs w:val="20"/>
        </w:rPr>
      </w:pPr>
      <w:r>
        <w:rPr>
          <w:b/>
          <w:bCs/>
          <w:i/>
          <w:iCs/>
          <w:sz w:val="20"/>
          <w:szCs w:val="20"/>
        </w:rPr>
        <w:t>Table 11</w:t>
      </w:r>
      <w:r w:rsidR="5F884969" w:rsidRPr="5F884969">
        <w:rPr>
          <w:b/>
          <w:bCs/>
          <w:i/>
          <w:iCs/>
          <w:sz w:val="20"/>
          <w:szCs w:val="20"/>
        </w:rPr>
        <w:t>:</w:t>
      </w:r>
      <w:r w:rsidR="5F884969" w:rsidRPr="5F884969">
        <w:rPr>
          <w:sz w:val="20"/>
          <w:szCs w:val="20"/>
        </w:rPr>
        <w:t xml:space="preserve"> Race/Ethnicity Demographics for Burlington-South Burlington Region. Sour</w:t>
      </w:r>
      <w:r w:rsidR="005B73AF">
        <w:rPr>
          <w:sz w:val="20"/>
          <w:szCs w:val="20"/>
        </w:rPr>
        <w:t xml:space="preserve">ce: Decennial Census 2010; ACS </w:t>
      </w:r>
    </w:p>
    <w:tbl>
      <w:tblPr>
        <w:tblStyle w:val="TableGrid"/>
        <w:tblW w:w="0" w:type="auto"/>
        <w:tblInd w:w="445" w:type="dxa"/>
        <w:tblLook w:val="04A0" w:firstRow="1" w:lastRow="0" w:firstColumn="1" w:lastColumn="0" w:noHBand="0" w:noVBand="1"/>
      </w:tblPr>
      <w:tblGrid>
        <w:gridCol w:w="2522"/>
        <w:gridCol w:w="1352"/>
        <w:gridCol w:w="1440"/>
      </w:tblGrid>
      <w:tr w:rsidR="00534610" w:rsidRPr="00587EB8" w14:paraId="28AB03AF" w14:textId="77777777" w:rsidTr="5F884969">
        <w:trPr>
          <w:trHeight w:val="602"/>
        </w:trPr>
        <w:tc>
          <w:tcPr>
            <w:tcW w:w="2522" w:type="dxa"/>
            <w:noWrap/>
            <w:hideMark/>
          </w:tcPr>
          <w:p w14:paraId="085C8190" w14:textId="692DF255" w:rsidR="00236FF7" w:rsidRPr="00587EB8" w:rsidRDefault="5F884969" w:rsidP="5F884969">
            <w:pPr>
              <w:rPr>
                <w:rFonts w:ascii="Calibri" w:hAnsi="Calibri" w:cs="Arial"/>
                <w:b/>
                <w:bCs/>
              </w:rPr>
            </w:pPr>
            <w:r w:rsidRPr="5F884969">
              <w:rPr>
                <w:rFonts w:ascii="Calibri" w:hAnsi="Calibri" w:cs="Arial"/>
                <w:b/>
                <w:bCs/>
              </w:rPr>
              <w:t> Table 1</w:t>
            </w:r>
            <w:r w:rsidR="00DA76BD">
              <w:rPr>
                <w:rFonts w:ascii="Calibri" w:hAnsi="Calibri" w:cs="Arial"/>
                <w:b/>
                <w:bCs/>
              </w:rPr>
              <w:t>1</w:t>
            </w:r>
          </w:p>
        </w:tc>
        <w:tc>
          <w:tcPr>
            <w:tcW w:w="2792" w:type="dxa"/>
            <w:gridSpan w:val="2"/>
            <w:hideMark/>
          </w:tcPr>
          <w:p w14:paraId="5FE3290F" w14:textId="77777777" w:rsidR="00236FF7" w:rsidRPr="00587EB8" w:rsidRDefault="5F884969" w:rsidP="5F884969">
            <w:pPr>
              <w:rPr>
                <w:rFonts w:ascii="Calibri" w:hAnsi="Calibri" w:cs="Arial"/>
                <w:b/>
                <w:bCs/>
                <w:i/>
                <w:iCs/>
              </w:rPr>
            </w:pPr>
            <w:r w:rsidRPr="5F884969">
              <w:rPr>
                <w:rFonts w:ascii="Calibri" w:hAnsi="Calibri" w:cs="Arial"/>
                <w:b/>
                <w:bCs/>
                <w:i/>
                <w:iCs/>
              </w:rPr>
              <w:t>Burlington-South Burlington Region</w:t>
            </w:r>
          </w:p>
        </w:tc>
      </w:tr>
      <w:tr w:rsidR="00534610" w:rsidRPr="00587EB8" w14:paraId="5BBA41AE" w14:textId="77777777" w:rsidTr="5F884969">
        <w:trPr>
          <w:trHeight w:val="420"/>
        </w:trPr>
        <w:tc>
          <w:tcPr>
            <w:tcW w:w="2522" w:type="dxa"/>
            <w:shd w:val="clear" w:color="auto" w:fill="D9D9D9" w:themeFill="background1" w:themeFillShade="D9"/>
            <w:noWrap/>
            <w:hideMark/>
          </w:tcPr>
          <w:p w14:paraId="43B9253E" w14:textId="77777777" w:rsidR="00236FF7" w:rsidRPr="008564B3" w:rsidRDefault="5F884969" w:rsidP="5F884969">
            <w:pPr>
              <w:rPr>
                <w:rFonts w:ascii="Calibri" w:hAnsi="Calibri" w:cs="Arial"/>
                <w:b/>
                <w:bCs/>
              </w:rPr>
            </w:pPr>
            <w:r w:rsidRPr="5F884969">
              <w:rPr>
                <w:rFonts w:ascii="Calibri" w:hAnsi="Calibri" w:cs="Arial"/>
                <w:b/>
                <w:bCs/>
              </w:rPr>
              <w:t xml:space="preserve">Race/Ethnicity </w:t>
            </w:r>
          </w:p>
        </w:tc>
        <w:tc>
          <w:tcPr>
            <w:tcW w:w="1352" w:type="dxa"/>
            <w:shd w:val="clear" w:color="auto" w:fill="D9D9D9" w:themeFill="background1" w:themeFillShade="D9"/>
            <w:noWrap/>
            <w:hideMark/>
          </w:tcPr>
          <w:p w14:paraId="30D69F1B" w14:textId="77777777" w:rsidR="00236FF7" w:rsidRPr="008564B3" w:rsidRDefault="5F884969" w:rsidP="5F884969">
            <w:pPr>
              <w:rPr>
                <w:rFonts w:ascii="Calibri" w:hAnsi="Calibri" w:cs="Arial"/>
                <w:b/>
                <w:bCs/>
              </w:rPr>
            </w:pPr>
            <w:r w:rsidRPr="5F884969">
              <w:rPr>
                <w:rFonts w:ascii="Calibri" w:hAnsi="Calibri" w:cs="Arial"/>
                <w:b/>
                <w:bCs/>
              </w:rPr>
              <w:t>#</w:t>
            </w:r>
          </w:p>
        </w:tc>
        <w:tc>
          <w:tcPr>
            <w:tcW w:w="1440" w:type="dxa"/>
            <w:shd w:val="clear" w:color="auto" w:fill="D9D9D9" w:themeFill="background1" w:themeFillShade="D9"/>
            <w:noWrap/>
            <w:hideMark/>
          </w:tcPr>
          <w:p w14:paraId="34A291A5" w14:textId="77777777" w:rsidR="00236FF7" w:rsidRPr="008564B3" w:rsidRDefault="5F884969" w:rsidP="5F884969">
            <w:pPr>
              <w:rPr>
                <w:rFonts w:ascii="Calibri" w:hAnsi="Calibri" w:cs="Arial"/>
                <w:b/>
                <w:bCs/>
                <w:i/>
                <w:iCs/>
              </w:rPr>
            </w:pPr>
            <w:r w:rsidRPr="5F884969">
              <w:rPr>
                <w:rFonts w:ascii="Calibri" w:hAnsi="Calibri" w:cs="Arial"/>
                <w:b/>
                <w:bCs/>
                <w:i/>
                <w:iCs/>
              </w:rPr>
              <w:t>%</w:t>
            </w:r>
          </w:p>
        </w:tc>
      </w:tr>
      <w:tr w:rsidR="00534610" w:rsidRPr="00587EB8" w14:paraId="7FFDC267" w14:textId="77777777" w:rsidTr="5F884969">
        <w:trPr>
          <w:trHeight w:val="420"/>
        </w:trPr>
        <w:tc>
          <w:tcPr>
            <w:tcW w:w="2522" w:type="dxa"/>
            <w:noWrap/>
            <w:hideMark/>
          </w:tcPr>
          <w:p w14:paraId="137688C7" w14:textId="77777777" w:rsidR="00236FF7" w:rsidRPr="00587EB8" w:rsidRDefault="5F884969" w:rsidP="5F884969">
            <w:pPr>
              <w:rPr>
                <w:rFonts w:ascii="Calibri" w:hAnsi="Calibri" w:cs="Arial"/>
              </w:rPr>
            </w:pPr>
            <w:r w:rsidRPr="5F884969">
              <w:rPr>
                <w:rFonts w:ascii="Calibri" w:hAnsi="Calibri" w:cs="Arial"/>
              </w:rPr>
              <w:t>White, Non-Hispanic</w:t>
            </w:r>
          </w:p>
        </w:tc>
        <w:tc>
          <w:tcPr>
            <w:tcW w:w="1352" w:type="dxa"/>
            <w:noWrap/>
            <w:hideMark/>
          </w:tcPr>
          <w:p w14:paraId="456A0898" w14:textId="77777777" w:rsidR="00236FF7" w:rsidRPr="00587EB8" w:rsidRDefault="5F884969" w:rsidP="5F884969">
            <w:pPr>
              <w:rPr>
                <w:rFonts w:ascii="Calibri" w:hAnsi="Calibri" w:cs="Arial"/>
              </w:rPr>
            </w:pPr>
            <w:r w:rsidRPr="5F884969">
              <w:rPr>
                <w:rFonts w:ascii="Calibri" w:hAnsi="Calibri" w:cs="Arial"/>
              </w:rPr>
              <w:t>194,738</w:t>
            </w:r>
          </w:p>
        </w:tc>
        <w:tc>
          <w:tcPr>
            <w:tcW w:w="1440" w:type="dxa"/>
            <w:noWrap/>
            <w:hideMark/>
          </w:tcPr>
          <w:p w14:paraId="0FD881F1" w14:textId="77777777" w:rsidR="00236FF7" w:rsidRPr="00587EB8" w:rsidRDefault="5F884969" w:rsidP="5F884969">
            <w:pPr>
              <w:rPr>
                <w:rFonts w:ascii="Calibri" w:hAnsi="Calibri" w:cs="Arial"/>
                <w:i/>
                <w:iCs/>
              </w:rPr>
            </w:pPr>
            <w:r w:rsidRPr="5F884969">
              <w:rPr>
                <w:rFonts w:ascii="Calibri" w:hAnsi="Calibri" w:cs="Arial"/>
                <w:i/>
                <w:iCs/>
              </w:rPr>
              <w:t>92.18%</w:t>
            </w:r>
          </w:p>
        </w:tc>
      </w:tr>
      <w:tr w:rsidR="00534610" w:rsidRPr="00587EB8" w14:paraId="0345DB91" w14:textId="77777777" w:rsidTr="5F884969">
        <w:trPr>
          <w:trHeight w:val="420"/>
        </w:trPr>
        <w:tc>
          <w:tcPr>
            <w:tcW w:w="2522" w:type="dxa"/>
            <w:noWrap/>
            <w:hideMark/>
          </w:tcPr>
          <w:p w14:paraId="4517F10A" w14:textId="77777777" w:rsidR="00236FF7" w:rsidRPr="00587EB8" w:rsidRDefault="5F884969" w:rsidP="5F884969">
            <w:pPr>
              <w:rPr>
                <w:rFonts w:ascii="Calibri" w:hAnsi="Calibri" w:cs="Arial"/>
              </w:rPr>
            </w:pPr>
            <w:r w:rsidRPr="5F884969">
              <w:rPr>
                <w:rFonts w:ascii="Calibri" w:hAnsi="Calibri" w:cs="Arial"/>
              </w:rPr>
              <w:t xml:space="preserve">Black, Non-Hispanic </w:t>
            </w:r>
          </w:p>
        </w:tc>
        <w:tc>
          <w:tcPr>
            <w:tcW w:w="1352" w:type="dxa"/>
            <w:noWrap/>
            <w:hideMark/>
          </w:tcPr>
          <w:p w14:paraId="4286DDC8" w14:textId="77777777" w:rsidR="00236FF7" w:rsidRPr="00587EB8" w:rsidRDefault="5F884969" w:rsidP="5F884969">
            <w:pPr>
              <w:rPr>
                <w:rFonts w:ascii="Calibri" w:hAnsi="Calibri" w:cs="Arial"/>
              </w:rPr>
            </w:pPr>
            <w:r w:rsidRPr="5F884969">
              <w:rPr>
                <w:rFonts w:ascii="Calibri" w:hAnsi="Calibri" w:cs="Arial"/>
              </w:rPr>
              <w:t>3,395</w:t>
            </w:r>
          </w:p>
        </w:tc>
        <w:tc>
          <w:tcPr>
            <w:tcW w:w="1440" w:type="dxa"/>
            <w:noWrap/>
            <w:hideMark/>
          </w:tcPr>
          <w:p w14:paraId="4AF710A1" w14:textId="77777777" w:rsidR="00236FF7" w:rsidRPr="00587EB8" w:rsidRDefault="5F884969" w:rsidP="5F884969">
            <w:pPr>
              <w:rPr>
                <w:rFonts w:ascii="Calibri" w:hAnsi="Calibri" w:cs="Arial"/>
                <w:i/>
                <w:iCs/>
              </w:rPr>
            </w:pPr>
            <w:r w:rsidRPr="5F884969">
              <w:rPr>
                <w:rFonts w:ascii="Calibri" w:hAnsi="Calibri" w:cs="Arial"/>
                <w:i/>
                <w:iCs/>
              </w:rPr>
              <w:t>1.61%</w:t>
            </w:r>
          </w:p>
        </w:tc>
      </w:tr>
      <w:tr w:rsidR="00534610" w:rsidRPr="00587EB8" w14:paraId="2D2A4072" w14:textId="77777777" w:rsidTr="5F884969">
        <w:trPr>
          <w:trHeight w:val="420"/>
        </w:trPr>
        <w:tc>
          <w:tcPr>
            <w:tcW w:w="2522" w:type="dxa"/>
            <w:noWrap/>
            <w:hideMark/>
          </w:tcPr>
          <w:p w14:paraId="2A04EC72" w14:textId="77777777" w:rsidR="00236FF7" w:rsidRPr="00587EB8" w:rsidRDefault="5F884969" w:rsidP="5F884969">
            <w:pPr>
              <w:rPr>
                <w:rFonts w:ascii="Calibri" w:hAnsi="Calibri" w:cs="Arial"/>
              </w:rPr>
            </w:pPr>
            <w:r w:rsidRPr="5F884969">
              <w:rPr>
                <w:rFonts w:ascii="Calibri" w:hAnsi="Calibri" w:cs="Arial"/>
              </w:rPr>
              <w:t>Hispanic</w:t>
            </w:r>
          </w:p>
        </w:tc>
        <w:tc>
          <w:tcPr>
            <w:tcW w:w="1352" w:type="dxa"/>
            <w:noWrap/>
            <w:hideMark/>
          </w:tcPr>
          <w:p w14:paraId="19EF8FAF" w14:textId="77777777" w:rsidR="00236FF7" w:rsidRPr="00587EB8" w:rsidRDefault="5F884969" w:rsidP="5F884969">
            <w:pPr>
              <w:rPr>
                <w:rFonts w:ascii="Calibri" w:hAnsi="Calibri" w:cs="Arial"/>
              </w:rPr>
            </w:pPr>
            <w:r w:rsidRPr="5F884969">
              <w:rPr>
                <w:rFonts w:ascii="Calibri" w:hAnsi="Calibri" w:cs="Arial"/>
              </w:rPr>
              <w:t>3,507</w:t>
            </w:r>
          </w:p>
        </w:tc>
        <w:tc>
          <w:tcPr>
            <w:tcW w:w="1440" w:type="dxa"/>
            <w:noWrap/>
            <w:hideMark/>
          </w:tcPr>
          <w:p w14:paraId="1667F4E2" w14:textId="77777777" w:rsidR="00236FF7" w:rsidRPr="00587EB8" w:rsidRDefault="5F884969" w:rsidP="5F884969">
            <w:pPr>
              <w:rPr>
                <w:rFonts w:ascii="Calibri" w:hAnsi="Calibri" w:cs="Arial"/>
                <w:i/>
                <w:iCs/>
              </w:rPr>
            </w:pPr>
            <w:r w:rsidRPr="5F884969">
              <w:rPr>
                <w:rFonts w:ascii="Calibri" w:hAnsi="Calibri" w:cs="Arial"/>
                <w:i/>
                <w:iCs/>
              </w:rPr>
              <w:t>1.66%</w:t>
            </w:r>
          </w:p>
        </w:tc>
      </w:tr>
      <w:tr w:rsidR="00534610" w:rsidRPr="00587EB8" w14:paraId="18F29508" w14:textId="77777777" w:rsidTr="5F884969">
        <w:trPr>
          <w:trHeight w:val="432"/>
        </w:trPr>
        <w:tc>
          <w:tcPr>
            <w:tcW w:w="2522" w:type="dxa"/>
            <w:noWrap/>
            <w:hideMark/>
          </w:tcPr>
          <w:p w14:paraId="48F70DAF" w14:textId="77777777" w:rsidR="00236FF7" w:rsidRPr="00587EB8" w:rsidRDefault="5F884969" w:rsidP="5F884969">
            <w:pPr>
              <w:rPr>
                <w:rFonts w:ascii="Calibri" w:hAnsi="Calibri" w:cs="Arial"/>
              </w:rPr>
            </w:pPr>
            <w:r w:rsidRPr="5F884969">
              <w:rPr>
                <w:rFonts w:ascii="Calibri" w:hAnsi="Calibri" w:cs="Arial"/>
              </w:rPr>
              <w:t>Asian or Pacific Islander, Non-Hispanic</w:t>
            </w:r>
          </w:p>
        </w:tc>
        <w:tc>
          <w:tcPr>
            <w:tcW w:w="1352" w:type="dxa"/>
            <w:noWrap/>
            <w:hideMark/>
          </w:tcPr>
          <w:p w14:paraId="48D4DC39" w14:textId="77777777" w:rsidR="00236FF7" w:rsidRPr="00587EB8" w:rsidRDefault="5F884969" w:rsidP="5F884969">
            <w:pPr>
              <w:rPr>
                <w:rFonts w:ascii="Calibri" w:hAnsi="Calibri" w:cs="Arial"/>
              </w:rPr>
            </w:pPr>
            <w:r w:rsidRPr="5F884969">
              <w:rPr>
                <w:rFonts w:ascii="Calibri" w:hAnsi="Calibri" w:cs="Arial"/>
              </w:rPr>
              <w:t>4,668</w:t>
            </w:r>
          </w:p>
        </w:tc>
        <w:tc>
          <w:tcPr>
            <w:tcW w:w="1440" w:type="dxa"/>
            <w:noWrap/>
            <w:hideMark/>
          </w:tcPr>
          <w:p w14:paraId="291154E5" w14:textId="77777777" w:rsidR="00236FF7" w:rsidRPr="00587EB8" w:rsidRDefault="5F884969" w:rsidP="5F884969">
            <w:pPr>
              <w:rPr>
                <w:rFonts w:ascii="Calibri" w:hAnsi="Calibri" w:cs="Arial"/>
                <w:i/>
                <w:iCs/>
              </w:rPr>
            </w:pPr>
            <w:r w:rsidRPr="5F884969">
              <w:rPr>
                <w:rFonts w:ascii="Calibri" w:hAnsi="Calibri" w:cs="Arial"/>
                <w:i/>
                <w:iCs/>
              </w:rPr>
              <w:t>2.21%</w:t>
            </w:r>
          </w:p>
        </w:tc>
      </w:tr>
      <w:tr w:rsidR="00534610" w:rsidRPr="00587EB8" w14:paraId="4BDD7F30" w14:textId="77777777" w:rsidTr="5F884969">
        <w:trPr>
          <w:trHeight w:val="432"/>
        </w:trPr>
        <w:tc>
          <w:tcPr>
            <w:tcW w:w="2522" w:type="dxa"/>
            <w:noWrap/>
            <w:hideMark/>
          </w:tcPr>
          <w:p w14:paraId="2D4C2475" w14:textId="77777777" w:rsidR="00236FF7" w:rsidRPr="00587EB8" w:rsidRDefault="5F884969" w:rsidP="5F884969">
            <w:pPr>
              <w:rPr>
                <w:rFonts w:ascii="Calibri" w:hAnsi="Calibri" w:cs="Arial"/>
              </w:rPr>
            </w:pPr>
            <w:r w:rsidRPr="5F884969">
              <w:rPr>
                <w:rFonts w:ascii="Calibri" w:hAnsi="Calibri" w:cs="Arial"/>
              </w:rPr>
              <w:t>Native American, Non-Hispanic</w:t>
            </w:r>
          </w:p>
        </w:tc>
        <w:tc>
          <w:tcPr>
            <w:tcW w:w="1352" w:type="dxa"/>
            <w:noWrap/>
            <w:hideMark/>
          </w:tcPr>
          <w:p w14:paraId="5D1F5A18" w14:textId="77777777" w:rsidR="00236FF7" w:rsidRPr="00587EB8" w:rsidRDefault="5F884969" w:rsidP="5F884969">
            <w:pPr>
              <w:rPr>
                <w:rFonts w:ascii="Calibri" w:hAnsi="Calibri" w:cs="Arial"/>
              </w:rPr>
            </w:pPr>
            <w:r w:rsidRPr="5F884969">
              <w:rPr>
                <w:rFonts w:ascii="Calibri" w:hAnsi="Calibri" w:cs="Arial"/>
              </w:rPr>
              <w:t>923</w:t>
            </w:r>
          </w:p>
        </w:tc>
        <w:tc>
          <w:tcPr>
            <w:tcW w:w="1440" w:type="dxa"/>
            <w:noWrap/>
            <w:hideMark/>
          </w:tcPr>
          <w:p w14:paraId="16D03066" w14:textId="77777777" w:rsidR="00236FF7" w:rsidRPr="00587EB8" w:rsidRDefault="5F884969" w:rsidP="5F884969">
            <w:pPr>
              <w:rPr>
                <w:rFonts w:ascii="Calibri" w:hAnsi="Calibri" w:cs="Arial"/>
                <w:i/>
                <w:iCs/>
              </w:rPr>
            </w:pPr>
            <w:r w:rsidRPr="5F884969">
              <w:rPr>
                <w:rFonts w:ascii="Calibri" w:hAnsi="Calibri" w:cs="Arial"/>
                <w:i/>
                <w:iCs/>
              </w:rPr>
              <w:t>0.44%</w:t>
            </w:r>
          </w:p>
        </w:tc>
      </w:tr>
      <w:tr w:rsidR="00534610" w:rsidRPr="00587EB8" w14:paraId="2E361C9C" w14:textId="77777777" w:rsidTr="5F884969">
        <w:trPr>
          <w:trHeight w:val="432"/>
        </w:trPr>
        <w:tc>
          <w:tcPr>
            <w:tcW w:w="2522" w:type="dxa"/>
            <w:noWrap/>
            <w:hideMark/>
          </w:tcPr>
          <w:p w14:paraId="0B652EE1" w14:textId="77777777" w:rsidR="00236FF7" w:rsidRPr="00587EB8" w:rsidRDefault="5F884969" w:rsidP="5F884969">
            <w:pPr>
              <w:rPr>
                <w:rFonts w:ascii="Calibri" w:hAnsi="Calibri" w:cs="Arial"/>
              </w:rPr>
            </w:pPr>
            <w:r w:rsidRPr="5F884969">
              <w:rPr>
                <w:rFonts w:ascii="Calibri" w:hAnsi="Calibri" w:cs="Arial"/>
              </w:rPr>
              <w:t>Two or More Races, Non-Hispanic</w:t>
            </w:r>
          </w:p>
        </w:tc>
        <w:tc>
          <w:tcPr>
            <w:tcW w:w="1352" w:type="dxa"/>
            <w:noWrap/>
            <w:hideMark/>
          </w:tcPr>
          <w:p w14:paraId="43C42A6E" w14:textId="77777777" w:rsidR="00236FF7" w:rsidRPr="00587EB8" w:rsidRDefault="5F884969" w:rsidP="5F884969">
            <w:pPr>
              <w:rPr>
                <w:rFonts w:ascii="Calibri" w:hAnsi="Calibri" w:cs="Arial"/>
              </w:rPr>
            </w:pPr>
            <w:r w:rsidRPr="5F884969">
              <w:rPr>
                <w:rFonts w:ascii="Calibri" w:hAnsi="Calibri" w:cs="Arial"/>
              </w:rPr>
              <w:t>3,843</w:t>
            </w:r>
          </w:p>
        </w:tc>
        <w:tc>
          <w:tcPr>
            <w:tcW w:w="1440" w:type="dxa"/>
            <w:noWrap/>
            <w:hideMark/>
          </w:tcPr>
          <w:p w14:paraId="579C9CBE" w14:textId="77777777" w:rsidR="00236FF7" w:rsidRPr="00587EB8" w:rsidRDefault="5F884969" w:rsidP="5F884969">
            <w:pPr>
              <w:rPr>
                <w:rFonts w:ascii="Calibri" w:hAnsi="Calibri" w:cs="Arial"/>
                <w:i/>
                <w:iCs/>
              </w:rPr>
            </w:pPr>
            <w:r w:rsidRPr="5F884969">
              <w:rPr>
                <w:rFonts w:ascii="Calibri" w:hAnsi="Calibri" w:cs="Arial"/>
                <w:i/>
                <w:iCs/>
              </w:rPr>
              <w:t>1.82%</w:t>
            </w:r>
          </w:p>
        </w:tc>
      </w:tr>
      <w:tr w:rsidR="00534610" w:rsidRPr="00587EB8" w14:paraId="5D88096E" w14:textId="77777777" w:rsidTr="5F884969">
        <w:trPr>
          <w:trHeight w:val="420"/>
        </w:trPr>
        <w:tc>
          <w:tcPr>
            <w:tcW w:w="2522" w:type="dxa"/>
            <w:noWrap/>
            <w:hideMark/>
          </w:tcPr>
          <w:p w14:paraId="6CF4629D" w14:textId="77777777" w:rsidR="00236FF7" w:rsidRPr="00587EB8" w:rsidRDefault="5F884969" w:rsidP="5F884969">
            <w:pPr>
              <w:rPr>
                <w:rFonts w:ascii="Calibri" w:hAnsi="Calibri" w:cs="Arial"/>
              </w:rPr>
            </w:pPr>
            <w:r w:rsidRPr="5F884969">
              <w:rPr>
                <w:rFonts w:ascii="Calibri" w:hAnsi="Calibri" w:cs="Arial"/>
              </w:rPr>
              <w:t>Other, Non-Hispanic</w:t>
            </w:r>
          </w:p>
        </w:tc>
        <w:tc>
          <w:tcPr>
            <w:tcW w:w="1352" w:type="dxa"/>
            <w:noWrap/>
            <w:hideMark/>
          </w:tcPr>
          <w:p w14:paraId="767807FC" w14:textId="77777777" w:rsidR="00236FF7" w:rsidRPr="00587EB8" w:rsidRDefault="5F884969" w:rsidP="5F884969">
            <w:pPr>
              <w:rPr>
                <w:rFonts w:ascii="Calibri" w:hAnsi="Calibri" w:cs="Arial"/>
              </w:rPr>
            </w:pPr>
            <w:r w:rsidRPr="5F884969">
              <w:rPr>
                <w:rFonts w:ascii="Calibri" w:hAnsi="Calibri" w:cs="Arial"/>
              </w:rPr>
              <w:t>187</w:t>
            </w:r>
          </w:p>
        </w:tc>
        <w:tc>
          <w:tcPr>
            <w:tcW w:w="1440" w:type="dxa"/>
            <w:noWrap/>
            <w:hideMark/>
          </w:tcPr>
          <w:p w14:paraId="75D73E90" w14:textId="77777777" w:rsidR="00236FF7" w:rsidRPr="00587EB8" w:rsidRDefault="5F884969" w:rsidP="5F884969">
            <w:pPr>
              <w:rPr>
                <w:rFonts w:ascii="Calibri" w:hAnsi="Calibri" w:cs="Arial"/>
                <w:i/>
                <w:iCs/>
              </w:rPr>
            </w:pPr>
            <w:r w:rsidRPr="5F884969">
              <w:rPr>
                <w:rFonts w:ascii="Calibri" w:hAnsi="Calibri" w:cs="Arial"/>
                <w:i/>
                <w:iCs/>
              </w:rPr>
              <w:t>0.09%</w:t>
            </w:r>
          </w:p>
        </w:tc>
      </w:tr>
    </w:tbl>
    <w:p w14:paraId="1E43457A" w14:textId="77777777" w:rsidR="00236FF7" w:rsidRDefault="00236FF7" w:rsidP="00236FF7">
      <w:pPr>
        <w:spacing w:after="0"/>
        <w:ind w:left="360"/>
      </w:pPr>
    </w:p>
    <w:p w14:paraId="2B5CB307" w14:textId="129B843C" w:rsidR="006A40E2" w:rsidRPr="001617A3" w:rsidRDefault="5F884969" w:rsidP="5F884969">
      <w:pPr>
        <w:ind w:left="360"/>
        <w:rPr>
          <w:rFonts w:ascii="Calibri" w:hAnsi="Calibri"/>
          <w:color w:val="000000" w:themeColor="text1"/>
        </w:rPr>
      </w:pPr>
      <w:r w:rsidRPr="5F884969">
        <w:rPr>
          <w:rFonts w:ascii="Calibri" w:hAnsi="Calibri"/>
        </w:rPr>
        <w:t>According to the 2010 Census, the Burlington- South Burling</w:t>
      </w:r>
      <w:r w:rsidR="005B73AF">
        <w:rPr>
          <w:rFonts w:ascii="Calibri" w:hAnsi="Calibri"/>
        </w:rPr>
        <w:t>ton CBSA represented in Table 11</w:t>
      </w:r>
      <w:r w:rsidRPr="5F884969">
        <w:rPr>
          <w:rFonts w:ascii="Calibri" w:hAnsi="Calibri"/>
        </w:rPr>
        <w:t>, the Region’s population includes a total population of 211,261 persons of which 92% are White, Non-Hispanic. There are 83,242 households living in the Region with 38% of the householders are living alone and the remaining 62% living in families</w:t>
      </w:r>
      <w:r w:rsidRPr="5F884969">
        <w:rPr>
          <w:rFonts w:ascii="Calibri" w:hAnsi="Calibri"/>
          <w:color w:val="000000" w:themeColor="text1"/>
        </w:rPr>
        <w:t>.</w:t>
      </w:r>
    </w:p>
    <w:p w14:paraId="1E4CCAEB" w14:textId="1DFBE206" w:rsidR="006A40E2" w:rsidRDefault="5F884969" w:rsidP="5F884969">
      <w:pPr>
        <w:ind w:left="360"/>
        <w:rPr>
          <w:rFonts w:ascii="Calibri" w:hAnsi="Calibri"/>
          <w:color w:val="000000" w:themeColor="text1"/>
        </w:rPr>
      </w:pPr>
      <w:r w:rsidRPr="5F884969">
        <w:rPr>
          <w:rFonts w:ascii="Calibri" w:hAnsi="Calibri"/>
          <w:color w:val="000000" w:themeColor="text1"/>
        </w:rPr>
        <w:t>According to the 2011-2015 American Community Survey, of Region’s residents, 80% are ages 18 and older. Those over 65 comprise 13.0% of the population. The percentage of children under 18 is 21% of the population and children under 5 are 5.1% of the population. The median age in the Region is 37.7 years.</w:t>
      </w:r>
      <w:r w:rsidR="00A07D03">
        <w:rPr>
          <w:rFonts w:ascii="Calibri" w:hAnsi="Calibri"/>
          <w:color w:val="000000" w:themeColor="text1"/>
        </w:rPr>
        <w:t xml:space="preserve"> The gender trend has remained somewhat static over the course of the past 35 years.</w:t>
      </w:r>
    </w:p>
    <w:p w14:paraId="2AB18764" w14:textId="77777777" w:rsidR="00A07D03" w:rsidRDefault="00A07D03" w:rsidP="5F884969">
      <w:pPr>
        <w:ind w:left="360"/>
        <w:rPr>
          <w:rFonts w:ascii="Calibri" w:hAnsi="Calibri"/>
          <w:color w:val="000000" w:themeColor="text1"/>
        </w:rPr>
      </w:pPr>
      <w:r>
        <w:rPr>
          <w:rFonts w:ascii="Calibri" w:hAnsi="Calibri"/>
          <w:color w:val="000000" w:themeColor="text1"/>
        </w:rPr>
        <w:t>Foreign-born residents almost doubled in number from 1990 to 2015 in the region; however the percentages are still half the Burlington rate.</w:t>
      </w:r>
    </w:p>
    <w:p w14:paraId="7AE578FD" w14:textId="68169738" w:rsidR="00512F96" w:rsidRDefault="00512F96" w:rsidP="00C16312">
      <w:pPr>
        <w:ind w:left="360"/>
        <w:rPr>
          <w:rFonts w:ascii="Calibri" w:hAnsi="Calibri"/>
          <w:color w:val="000000" w:themeColor="text1"/>
        </w:rPr>
      </w:pPr>
      <w:r>
        <w:rPr>
          <w:rFonts w:ascii="Calibri" w:hAnsi="Calibri"/>
          <w:color w:val="000000" w:themeColor="text1"/>
        </w:rPr>
        <w:t>The numbers and percentages of individuals within the region with limited English proficiency has a demonstrable increase from 1990 to 2015; however, the increase is not as significant as in Burlington which emphasizes the refugee resettlement within the urban core of Burlington and Winooski.</w:t>
      </w:r>
    </w:p>
    <w:p w14:paraId="5E47A510" w14:textId="77777777" w:rsidR="00616B98" w:rsidRDefault="00616B98" w:rsidP="00DA5CA7">
      <w:pPr>
        <w:rPr>
          <w:rFonts w:ascii="Calibri" w:hAnsi="Calibri"/>
          <w:color w:val="000000" w:themeColor="text1"/>
        </w:rPr>
      </w:pPr>
    </w:p>
    <w:p w14:paraId="62AE957E" w14:textId="77777777" w:rsidR="0017157E" w:rsidRDefault="0017157E" w:rsidP="0017157E">
      <w:pPr>
        <w:spacing w:after="0"/>
        <w:rPr>
          <w:rFonts w:ascii="Calibri" w:hAnsi="Calibri"/>
          <w:color w:val="000000" w:themeColor="text1"/>
        </w:rPr>
      </w:pPr>
    </w:p>
    <w:p w14:paraId="0042C018" w14:textId="5040CFD3" w:rsidR="0017157E" w:rsidRPr="0017157E" w:rsidRDefault="00DA76BD" w:rsidP="5F884969">
      <w:pPr>
        <w:spacing w:after="0"/>
        <w:rPr>
          <w:sz w:val="20"/>
          <w:szCs w:val="20"/>
        </w:rPr>
      </w:pPr>
      <w:r>
        <w:rPr>
          <w:b/>
          <w:bCs/>
          <w:i/>
          <w:iCs/>
          <w:sz w:val="20"/>
          <w:szCs w:val="20"/>
        </w:rPr>
        <w:t>Table 12</w:t>
      </w:r>
      <w:r w:rsidR="5F884969" w:rsidRPr="5F884969">
        <w:rPr>
          <w:b/>
          <w:bCs/>
          <w:i/>
          <w:iCs/>
          <w:sz w:val="20"/>
          <w:szCs w:val="20"/>
        </w:rPr>
        <w:t>:</w:t>
      </w:r>
      <w:r w:rsidR="5F884969" w:rsidRPr="5F884969">
        <w:rPr>
          <w:sz w:val="20"/>
          <w:szCs w:val="20"/>
        </w:rPr>
        <w:t xml:space="preserve"> Demographic Trends overtime for Burlington-South Burlington Region. Source: Decennial Census 2010; ACS.</w:t>
      </w:r>
    </w:p>
    <w:tbl>
      <w:tblPr>
        <w:tblW w:w="5133" w:type="pct"/>
        <w:jc w:val="center"/>
        <w:tblLayout w:type="fixed"/>
        <w:tblLook w:val="04A0" w:firstRow="1" w:lastRow="0" w:firstColumn="1" w:lastColumn="0" w:noHBand="0" w:noVBand="1"/>
      </w:tblPr>
      <w:tblGrid>
        <w:gridCol w:w="1955"/>
        <w:gridCol w:w="991"/>
        <w:gridCol w:w="991"/>
        <w:gridCol w:w="989"/>
        <w:gridCol w:w="900"/>
        <w:gridCol w:w="991"/>
        <w:gridCol w:w="900"/>
        <w:gridCol w:w="991"/>
        <w:gridCol w:w="891"/>
      </w:tblGrid>
      <w:tr w:rsidR="0017157E" w:rsidRPr="00C106AC" w14:paraId="48AD4B66" w14:textId="77777777" w:rsidTr="5F884969">
        <w:trPr>
          <w:trHeight w:val="420"/>
          <w:jc w:val="center"/>
        </w:trPr>
        <w:tc>
          <w:tcPr>
            <w:tcW w:w="5000" w:type="pct"/>
            <w:gridSpan w:val="9"/>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3791F2A" w14:textId="5FA79FA3" w:rsidR="0017157E" w:rsidRPr="00C106AC"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Table 1</w:t>
            </w:r>
            <w:r w:rsidR="00DA76BD">
              <w:rPr>
                <w:rFonts w:ascii="Calibri" w:eastAsia="Times New Roman" w:hAnsi="Calibri" w:cs="Times New Roman"/>
                <w:b/>
                <w:bCs/>
                <w:color w:val="000000" w:themeColor="text1"/>
              </w:rPr>
              <w:t>2</w:t>
            </w:r>
          </w:p>
        </w:tc>
      </w:tr>
      <w:tr w:rsidR="0017157E" w:rsidRPr="00C106AC" w14:paraId="4452CE6E" w14:textId="77777777" w:rsidTr="5F884969">
        <w:trPr>
          <w:trHeight w:val="863"/>
          <w:jc w:val="center"/>
        </w:trPr>
        <w:tc>
          <w:tcPr>
            <w:tcW w:w="10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26A49" w14:textId="77777777" w:rsidR="0017157E" w:rsidRPr="00C106AC"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w:t>
            </w:r>
          </w:p>
        </w:tc>
        <w:tc>
          <w:tcPr>
            <w:tcW w:w="3981" w:type="pct"/>
            <w:gridSpan w:val="8"/>
            <w:tcBorders>
              <w:top w:val="single" w:sz="4" w:space="0" w:color="auto"/>
              <w:left w:val="nil"/>
              <w:bottom w:val="single" w:sz="4" w:space="0" w:color="auto"/>
              <w:right w:val="single" w:sz="4" w:space="0" w:color="auto"/>
            </w:tcBorders>
            <w:shd w:val="clear" w:color="auto" w:fill="auto"/>
            <w:vAlign w:val="bottom"/>
            <w:hideMark/>
          </w:tcPr>
          <w:p w14:paraId="18245162" w14:textId="27981D31"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Burlington-South Burlington, VT Region</w:t>
            </w:r>
          </w:p>
        </w:tc>
      </w:tr>
      <w:tr w:rsidR="0017157E" w:rsidRPr="00C106AC" w14:paraId="179516CE"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DCE6F1"/>
            <w:noWrap/>
            <w:vAlign w:val="bottom"/>
            <w:hideMark/>
          </w:tcPr>
          <w:p w14:paraId="37C623C9"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1032" w:type="pct"/>
            <w:gridSpan w:val="2"/>
            <w:tcBorders>
              <w:top w:val="single" w:sz="4" w:space="0" w:color="auto"/>
              <w:left w:val="nil"/>
              <w:bottom w:val="single" w:sz="4" w:space="0" w:color="auto"/>
              <w:right w:val="single" w:sz="4" w:space="0" w:color="auto"/>
            </w:tcBorders>
            <w:shd w:val="clear" w:color="auto" w:fill="DCE6F1"/>
            <w:noWrap/>
            <w:vAlign w:val="center"/>
            <w:hideMark/>
          </w:tcPr>
          <w:p w14:paraId="475796FB"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1990 Trend</w:t>
            </w:r>
          </w:p>
        </w:tc>
        <w:tc>
          <w:tcPr>
            <w:tcW w:w="984" w:type="pct"/>
            <w:gridSpan w:val="2"/>
            <w:tcBorders>
              <w:top w:val="single" w:sz="4" w:space="0" w:color="auto"/>
              <w:left w:val="nil"/>
              <w:bottom w:val="single" w:sz="4" w:space="0" w:color="auto"/>
              <w:right w:val="single" w:sz="4" w:space="0" w:color="auto"/>
            </w:tcBorders>
            <w:shd w:val="clear" w:color="auto" w:fill="DCE6F1"/>
            <w:noWrap/>
            <w:vAlign w:val="center"/>
            <w:hideMark/>
          </w:tcPr>
          <w:p w14:paraId="06480789"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2000 Trend</w:t>
            </w:r>
          </w:p>
        </w:tc>
        <w:tc>
          <w:tcPr>
            <w:tcW w:w="985" w:type="pct"/>
            <w:gridSpan w:val="2"/>
            <w:tcBorders>
              <w:top w:val="single" w:sz="4" w:space="0" w:color="auto"/>
              <w:left w:val="nil"/>
              <w:bottom w:val="single" w:sz="4" w:space="0" w:color="auto"/>
              <w:right w:val="single" w:sz="4" w:space="0" w:color="auto"/>
            </w:tcBorders>
            <w:shd w:val="clear" w:color="auto" w:fill="DCE6F1"/>
            <w:noWrap/>
            <w:vAlign w:val="center"/>
            <w:hideMark/>
          </w:tcPr>
          <w:p w14:paraId="1455B8E9"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2010 Trend</w:t>
            </w:r>
          </w:p>
        </w:tc>
        <w:tc>
          <w:tcPr>
            <w:tcW w:w="980" w:type="pct"/>
            <w:gridSpan w:val="2"/>
            <w:tcBorders>
              <w:top w:val="single" w:sz="4" w:space="0" w:color="auto"/>
              <w:left w:val="nil"/>
              <w:bottom w:val="single" w:sz="4" w:space="0" w:color="auto"/>
              <w:right w:val="single" w:sz="4" w:space="0" w:color="auto"/>
            </w:tcBorders>
            <w:shd w:val="clear" w:color="auto" w:fill="DCE6F1"/>
            <w:noWrap/>
            <w:vAlign w:val="center"/>
            <w:hideMark/>
          </w:tcPr>
          <w:p w14:paraId="37A38794"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Current</w:t>
            </w:r>
          </w:p>
        </w:tc>
      </w:tr>
      <w:tr w:rsidR="0017157E" w:rsidRPr="00C106AC" w14:paraId="41673100"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DCE6F1"/>
            <w:noWrap/>
            <w:vAlign w:val="bottom"/>
            <w:hideMark/>
          </w:tcPr>
          <w:p w14:paraId="4D988EBD" w14:textId="77777777" w:rsidR="0017157E" w:rsidRPr="00C106AC"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xml:space="preserve">Race/Ethnicity </w:t>
            </w:r>
          </w:p>
        </w:tc>
        <w:tc>
          <w:tcPr>
            <w:tcW w:w="516" w:type="pct"/>
            <w:tcBorders>
              <w:top w:val="nil"/>
              <w:left w:val="nil"/>
              <w:bottom w:val="single" w:sz="4" w:space="0" w:color="auto"/>
              <w:right w:val="single" w:sz="4" w:space="0" w:color="auto"/>
            </w:tcBorders>
            <w:shd w:val="clear" w:color="auto" w:fill="DCE6F1"/>
            <w:noWrap/>
            <w:vAlign w:val="bottom"/>
            <w:hideMark/>
          </w:tcPr>
          <w:p w14:paraId="70A8C173"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516" w:type="pct"/>
            <w:tcBorders>
              <w:top w:val="nil"/>
              <w:left w:val="nil"/>
              <w:bottom w:val="single" w:sz="4" w:space="0" w:color="auto"/>
              <w:right w:val="single" w:sz="4" w:space="0" w:color="auto"/>
            </w:tcBorders>
            <w:shd w:val="clear" w:color="auto" w:fill="DCE6F1"/>
            <w:noWrap/>
            <w:vAlign w:val="bottom"/>
            <w:hideMark/>
          </w:tcPr>
          <w:p w14:paraId="15123BFC"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515" w:type="pct"/>
            <w:tcBorders>
              <w:top w:val="nil"/>
              <w:left w:val="nil"/>
              <w:bottom w:val="single" w:sz="4" w:space="0" w:color="auto"/>
              <w:right w:val="single" w:sz="4" w:space="0" w:color="auto"/>
            </w:tcBorders>
            <w:shd w:val="clear" w:color="auto" w:fill="DCE6F1"/>
            <w:noWrap/>
            <w:vAlign w:val="bottom"/>
            <w:hideMark/>
          </w:tcPr>
          <w:p w14:paraId="7793F8E7"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469" w:type="pct"/>
            <w:tcBorders>
              <w:top w:val="nil"/>
              <w:left w:val="nil"/>
              <w:bottom w:val="single" w:sz="4" w:space="0" w:color="auto"/>
              <w:right w:val="single" w:sz="4" w:space="0" w:color="auto"/>
            </w:tcBorders>
            <w:shd w:val="clear" w:color="auto" w:fill="DCE6F1"/>
            <w:noWrap/>
            <w:vAlign w:val="bottom"/>
            <w:hideMark/>
          </w:tcPr>
          <w:p w14:paraId="02C0A544"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516" w:type="pct"/>
            <w:tcBorders>
              <w:top w:val="nil"/>
              <w:left w:val="nil"/>
              <w:bottom w:val="single" w:sz="4" w:space="0" w:color="auto"/>
              <w:right w:val="single" w:sz="4" w:space="0" w:color="auto"/>
            </w:tcBorders>
            <w:shd w:val="clear" w:color="auto" w:fill="DCE6F1"/>
            <w:noWrap/>
            <w:vAlign w:val="bottom"/>
            <w:hideMark/>
          </w:tcPr>
          <w:p w14:paraId="3390D22F"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469" w:type="pct"/>
            <w:tcBorders>
              <w:top w:val="nil"/>
              <w:left w:val="nil"/>
              <w:bottom w:val="single" w:sz="4" w:space="0" w:color="auto"/>
              <w:right w:val="single" w:sz="4" w:space="0" w:color="auto"/>
            </w:tcBorders>
            <w:shd w:val="clear" w:color="auto" w:fill="DCE6F1"/>
            <w:noWrap/>
            <w:vAlign w:val="bottom"/>
            <w:hideMark/>
          </w:tcPr>
          <w:p w14:paraId="55DC1C8F"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516" w:type="pct"/>
            <w:tcBorders>
              <w:top w:val="nil"/>
              <w:left w:val="nil"/>
              <w:bottom w:val="single" w:sz="4" w:space="0" w:color="auto"/>
              <w:right w:val="single" w:sz="4" w:space="0" w:color="auto"/>
            </w:tcBorders>
            <w:shd w:val="clear" w:color="auto" w:fill="DCE6F1"/>
            <w:noWrap/>
            <w:vAlign w:val="bottom"/>
            <w:hideMark/>
          </w:tcPr>
          <w:p w14:paraId="78406F5D"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464" w:type="pct"/>
            <w:tcBorders>
              <w:top w:val="nil"/>
              <w:left w:val="nil"/>
              <w:bottom w:val="single" w:sz="4" w:space="0" w:color="auto"/>
              <w:right w:val="single" w:sz="4" w:space="0" w:color="auto"/>
            </w:tcBorders>
            <w:shd w:val="clear" w:color="auto" w:fill="DCE6F1"/>
            <w:noWrap/>
            <w:vAlign w:val="bottom"/>
            <w:hideMark/>
          </w:tcPr>
          <w:p w14:paraId="5AFD45AF" w14:textId="77777777" w:rsidR="0017157E" w:rsidRPr="00C106AC"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r>
      <w:tr w:rsidR="0017157E" w:rsidRPr="00C106AC" w14:paraId="36272137"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2ECFB274"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White, Non-Hispanic</w:t>
            </w:r>
          </w:p>
        </w:tc>
        <w:tc>
          <w:tcPr>
            <w:tcW w:w="516" w:type="pct"/>
            <w:tcBorders>
              <w:top w:val="nil"/>
              <w:left w:val="nil"/>
              <w:bottom w:val="single" w:sz="4" w:space="0" w:color="auto"/>
              <w:right w:val="single" w:sz="4" w:space="0" w:color="auto"/>
            </w:tcBorders>
            <w:shd w:val="clear" w:color="auto" w:fill="auto"/>
            <w:noWrap/>
            <w:vAlign w:val="bottom"/>
            <w:hideMark/>
          </w:tcPr>
          <w:p w14:paraId="70FDE3BB"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172,306</w:t>
            </w:r>
          </w:p>
        </w:tc>
        <w:tc>
          <w:tcPr>
            <w:tcW w:w="516" w:type="pct"/>
            <w:tcBorders>
              <w:top w:val="nil"/>
              <w:left w:val="nil"/>
              <w:bottom w:val="single" w:sz="4" w:space="0" w:color="auto"/>
              <w:right w:val="single" w:sz="4" w:space="0" w:color="auto"/>
            </w:tcBorders>
            <w:shd w:val="clear" w:color="auto" w:fill="auto"/>
            <w:noWrap/>
            <w:vAlign w:val="bottom"/>
            <w:hideMark/>
          </w:tcPr>
          <w:p w14:paraId="571663BC"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97.31%</w:t>
            </w:r>
          </w:p>
        </w:tc>
        <w:tc>
          <w:tcPr>
            <w:tcW w:w="515" w:type="pct"/>
            <w:tcBorders>
              <w:top w:val="nil"/>
              <w:left w:val="nil"/>
              <w:bottom w:val="single" w:sz="4" w:space="0" w:color="auto"/>
              <w:right w:val="single" w:sz="4" w:space="0" w:color="auto"/>
            </w:tcBorders>
            <w:shd w:val="clear" w:color="auto" w:fill="auto"/>
            <w:noWrap/>
            <w:vAlign w:val="bottom"/>
            <w:hideMark/>
          </w:tcPr>
          <w:p w14:paraId="10FD053B"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188,533</w:t>
            </w:r>
          </w:p>
        </w:tc>
        <w:tc>
          <w:tcPr>
            <w:tcW w:w="469" w:type="pct"/>
            <w:tcBorders>
              <w:top w:val="nil"/>
              <w:left w:val="nil"/>
              <w:bottom w:val="single" w:sz="4" w:space="0" w:color="auto"/>
              <w:right w:val="single" w:sz="4" w:space="0" w:color="auto"/>
            </w:tcBorders>
            <w:shd w:val="clear" w:color="auto" w:fill="auto"/>
            <w:noWrap/>
            <w:vAlign w:val="bottom"/>
            <w:hideMark/>
          </w:tcPr>
          <w:p w14:paraId="55BE6B6B"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94.79%</w:t>
            </w:r>
          </w:p>
        </w:tc>
        <w:tc>
          <w:tcPr>
            <w:tcW w:w="516" w:type="pct"/>
            <w:tcBorders>
              <w:top w:val="nil"/>
              <w:left w:val="nil"/>
              <w:bottom w:val="single" w:sz="4" w:space="0" w:color="auto"/>
              <w:right w:val="single" w:sz="4" w:space="0" w:color="auto"/>
            </w:tcBorders>
            <w:shd w:val="clear" w:color="auto" w:fill="auto"/>
            <w:noWrap/>
            <w:vAlign w:val="bottom"/>
            <w:hideMark/>
          </w:tcPr>
          <w:p w14:paraId="052BD08D"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194,738</w:t>
            </w:r>
          </w:p>
        </w:tc>
        <w:tc>
          <w:tcPr>
            <w:tcW w:w="469" w:type="pct"/>
            <w:tcBorders>
              <w:top w:val="nil"/>
              <w:left w:val="nil"/>
              <w:bottom w:val="single" w:sz="4" w:space="0" w:color="auto"/>
              <w:right w:val="single" w:sz="4" w:space="0" w:color="auto"/>
            </w:tcBorders>
            <w:shd w:val="clear" w:color="auto" w:fill="auto"/>
            <w:noWrap/>
            <w:vAlign w:val="bottom"/>
            <w:hideMark/>
          </w:tcPr>
          <w:p w14:paraId="7CEC5B2E"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92.18%</w:t>
            </w:r>
          </w:p>
        </w:tc>
        <w:tc>
          <w:tcPr>
            <w:tcW w:w="516" w:type="pct"/>
            <w:tcBorders>
              <w:top w:val="nil"/>
              <w:left w:val="nil"/>
              <w:bottom w:val="single" w:sz="4" w:space="0" w:color="auto"/>
              <w:right w:val="single" w:sz="4" w:space="0" w:color="auto"/>
            </w:tcBorders>
            <w:shd w:val="clear" w:color="auto" w:fill="auto"/>
            <w:noWrap/>
            <w:vAlign w:val="bottom"/>
            <w:hideMark/>
          </w:tcPr>
          <w:p w14:paraId="1272E920"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194,738</w:t>
            </w:r>
          </w:p>
        </w:tc>
        <w:tc>
          <w:tcPr>
            <w:tcW w:w="464" w:type="pct"/>
            <w:tcBorders>
              <w:top w:val="nil"/>
              <w:left w:val="nil"/>
              <w:bottom w:val="single" w:sz="4" w:space="0" w:color="auto"/>
              <w:right w:val="single" w:sz="4" w:space="0" w:color="auto"/>
            </w:tcBorders>
            <w:shd w:val="clear" w:color="auto" w:fill="auto"/>
            <w:noWrap/>
            <w:vAlign w:val="bottom"/>
            <w:hideMark/>
          </w:tcPr>
          <w:p w14:paraId="5D663C60"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92.18%</w:t>
            </w:r>
          </w:p>
        </w:tc>
      </w:tr>
      <w:tr w:rsidR="0017157E" w:rsidRPr="00C106AC" w14:paraId="302A43E8"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16321BDE"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 xml:space="preserve">Black, Non-Hispanic </w:t>
            </w:r>
          </w:p>
        </w:tc>
        <w:tc>
          <w:tcPr>
            <w:tcW w:w="516" w:type="pct"/>
            <w:tcBorders>
              <w:top w:val="nil"/>
              <w:left w:val="nil"/>
              <w:bottom w:val="single" w:sz="4" w:space="0" w:color="auto"/>
              <w:right w:val="single" w:sz="4" w:space="0" w:color="auto"/>
            </w:tcBorders>
            <w:shd w:val="clear" w:color="auto" w:fill="auto"/>
            <w:noWrap/>
            <w:vAlign w:val="bottom"/>
            <w:hideMark/>
          </w:tcPr>
          <w:p w14:paraId="1B63C1CF"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832</w:t>
            </w:r>
          </w:p>
        </w:tc>
        <w:tc>
          <w:tcPr>
            <w:tcW w:w="516" w:type="pct"/>
            <w:tcBorders>
              <w:top w:val="nil"/>
              <w:left w:val="nil"/>
              <w:bottom w:val="single" w:sz="4" w:space="0" w:color="auto"/>
              <w:right w:val="single" w:sz="4" w:space="0" w:color="auto"/>
            </w:tcBorders>
            <w:shd w:val="clear" w:color="auto" w:fill="auto"/>
            <w:noWrap/>
            <w:vAlign w:val="bottom"/>
            <w:hideMark/>
          </w:tcPr>
          <w:p w14:paraId="5D0ED17A"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0.47%</w:t>
            </w:r>
          </w:p>
        </w:tc>
        <w:tc>
          <w:tcPr>
            <w:tcW w:w="515" w:type="pct"/>
            <w:tcBorders>
              <w:top w:val="nil"/>
              <w:left w:val="nil"/>
              <w:bottom w:val="single" w:sz="4" w:space="0" w:color="auto"/>
              <w:right w:val="single" w:sz="4" w:space="0" w:color="auto"/>
            </w:tcBorders>
            <w:shd w:val="clear" w:color="auto" w:fill="auto"/>
            <w:noWrap/>
            <w:vAlign w:val="bottom"/>
            <w:hideMark/>
          </w:tcPr>
          <w:p w14:paraId="1C8726C4"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1,958</w:t>
            </w:r>
          </w:p>
        </w:tc>
        <w:tc>
          <w:tcPr>
            <w:tcW w:w="469" w:type="pct"/>
            <w:tcBorders>
              <w:top w:val="nil"/>
              <w:left w:val="nil"/>
              <w:bottom w:val="single" w:sz="4" w:space="0" w:color="auto"/>
              <w:right w:val="single" w:sz="4" w:space="0" w:color="auto"/>
            </w:tcBorders>
            <w:shd w:val="clear" w:color="auto" w:fill="auto"/>
            <w:noWrap/>
            <w:vAlign w:val="bottom"/>
            <w:hideMark/>
          </w:tcPr>
          <w:p w14:paraId="07E6E0D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0.98%</w:t>
            </w:r>
          </w:p>
        </w:tc>
        <w:tc>
          <w:tcPr>
            <w:tcW w:w="516" w:type="pct"/>
            <w:tcBorders>
              <w:top w:val="nil"/>
              <w:left w:val="nil"/>
              <w:bottom w:val="single" w:sz="4" w:space="0" w:color="auto"/>
              <w:right w:val="single" w:sz="4" w:space="0" w:color="auto"/>
            </w:tcBorders>
            <w:shd w:val="clear" w:color="auto" w:fill="auto"/>
            <w:noWrap/>
            <w:vAlign w:val="bottom"/>
            <w:hideMark/>
          </w:tcPr>
          <w:p w14:paraId="3F4C04A0"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4,494</w:t>
            </w:r>
          </w:p>
        </w:tc>
        <w:tc>
          <w:tcPr>
            <w:tcW w:w="469" w:type="pct"/>
            <w:tcBorders>
              <w:top w:val="nil"/>
              <w:left w:val="nil"/>
              <w:bottom w:val="single" w:sz="4" w:space="0" w:color="auto"/>
              <w:right w:val="single" w:sz="4" w:space="0" w:color="auto"/>
            </w:tcBorders>
            <w:shd w:val="clear" w:color="auto" w:fill="auto"/>
            <w:noWrap/>
            <w:vAlign w:val="bottom"/>
            <w:hideMark/>
          </w:tcPr>
          <w:p w14:paraId="625A3F4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2.13%</w:t>
            </w:r>
          </w:p>
        </w:tc>
        <w:tc>
          <w:tcPr>
            <w:tcW w:w="516" w:type="pct"/>
            <w:tcBorders>
              <w:top w:val="nil"/>
              <w:left w:val="nil"/>
              <w:bottom w:val="single" w:sz="4" w:space="0" w:color="auto"/>
              <w:right w:val="single" w:sz="4" w:space="0" w:color="auto"/>
            </w:tcBorders>
            <w:shd w:val="clear" w:color="auto" w:fill="auto"/>
            <w:noWrap/>
            <w:vAlign w:val="bottom"/>
            <w:hideMark/>
          </w:tcPr>
          <w:p w14:paraId="3B3A2F68"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3,395</w:t>
            </w:r>
          </w:p>
        </w:tc>
        <w:tc>
          <w:tcPr>
            <w:tcW w:w="464" w:type="pct"/>
            <w:tcBorders>
              <w:top w:val="nil"/>
              <w:left w:val="nil"/>
              <w:bottom w:val="single" w:sz="4" w:space="0" w:color="auto"/>
              <w:right w:val="single" w:sz="4" w:space="0" w:color="auto"/>
            </w:tcBorders>
            <w:shd w:val="clear" w:color="auto" w:fill="auto"/>
            <w:noWrap/>
            <w:vAlign w:val="bottom"/>
            <w:hideMark/>
          </w:tcPr>
          <w:p w14:paraId="42396D7E"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1.61%</w:t>
            </w:r>
          </w:p>
        </w:tc>
      </w:tr>
      <w:tr w:rsidR="0017157E" w:rsidRPr="00C106AC" w14:paraId="1ECE7DDD"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607BD98C"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Hispanic</w:t>
            </w:r>
          </w:p>
        </w:tc>
        <w:tc>
          <w:tcPr>
            <w:tcW w:w="516" w:type="pct"/>
            <w:tcBorders>
              <w:top w:val="nil"/>
              <w:left w:val="nil"/>
              <w:bottom w:val="single" w:sz="4" w:space="0" w:color="auto"/>
              <w:right w:val="single" w:sz="4" w:space="0" w:color="auto"/>
            </w:tcBorders>
            <w:shd w:val="clear" w:color="auto" w:fill="auto"/>
            <w:noWrap/>
            <w:vAlign w:val="bottom"/>
            <w:hideMark/>
          </w:tcPr>
          <w:p w14:paraId="0A55A787"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1,308</w:t>
            </w:r>
          </w:p>
        </w:tc>
        <w:tc>
          <w:tcPr>
            <w:tcW w:w="516" w:type="pct"/>
            <w:tcBorders>
              <w:top w:val="nil"/>
              <w:left w:val="nil"/>
              <w:bottom w:val="single" w:sz="4" w:space="0" w:color="auto"/>
              <w:right w:val="single" w:sz="4" w:space="0" w:color="auto"/>
            </w:tcBorders>
            <w:shd w:val="clear" w:color="auto" w:fill="auto"/>
            <w:noWrap/>
            <w:vAlign w:val="bottom"/>
            <w:hideMark/>
          </w:tcPr>
          <w:p w14:paraId="1308AD74"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0.74%</w:t>
            </w:r>
          </w:p>
        </w:tc>
        <w:tc>
          <w:tcPr>
            <w:tcW w:w="515" w:type="pct"/>
            <w:tcBorders>
              <w:top w:val="nil"/>
              <w:left w:val="nil"/>
              <w:bottom w:val="single" w:sz="4" w:space="0" w:color="auto"/>
              <w:right w:val="single" w:sz="4" w:space="0" w:color="auto"/>
            </w:tcBorders>
            <w:shd w:val="clear" w:color="auto" w:fill="auto"/>
            <w:noWrap/>
            <w:vAlign w:val="bottom"/>
            <w:hideMark/>
          </w:tcPr>
          <w:p w14:paraId="4EF2F296"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1,841</w:t>
            </w:r>
          </w:p>
        </w:tc>
        <w:tc>
          <w:tcPr>
            <w:tcW w:w="469" w:type="pct"/>
            <w:tcBorders>
              <w:top w:val="nil"/>
              <w:left w:val="nil"/>
              <w:bottom w:val="single" w:sz="4" w:space="0" w:color="auto"/>
              <w:right w:val="single" w:sz="4" w:space="0" w:color="auto"/>
            </w:tcBorders>
            <w:shd w:val="clear" w:color="auto" w:fill="auto"/>
            <w:noWrap/>
            <w:vAlign w:val="bottom"/>
            <w:hideMark/>
          </w:tcPr>
          <w:p w14:paraId="59514E37"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0.93%</w:t>
            </w:r>
          </w:p>
        </w:tc>
        <w:tc>
          <w:tcPr>
            <w:tcW w:w="516" w:type="pct"/>
            <w:tcBorders>
              <w:top w:val="nil"/>
              <w:left w:val="nil"/>
              <w:bottom w:val="single" w:sz="4" w:space="0" w:color="auto"/>
              <w:right w:val="single" w:sz="4" w:space="0" w:color="auto"/>
            </w:tcBorders>
            <w:shd w:val="clear" w:color="auto" w:fill="auto"/>
            <w:noWrap/>
            <w:vAlign w:val="bottom"/>
            <w:hideMark/>
          </w:tcPr>
          <w:p w14:paraId="1F327923"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3,507</w:t>
            </w:r>
          </w:p>
        </w:tc>
        <w:tc>
          <w:tcPr>
            <w:tcW w:w="469" w:type="pct"/>
            <w:tcBorders>
              <w:top w:val="nil"/>
              <w:left w:val="nil"/>
              <w:bottom w:val="single" w:sz="4" w:space="0" w:color="auto"/>
              <w:right w:val="single" w:sz="4" w:space="0" w:color="auto"/>
            </w:tcBorders>
            <w:shd w:val="clear" w:color="auto" w:fill="auto"/>
            <w:noWrap/>
            <w:vAlign w:val="bottom"/>
            <w:hideMark/>
          </w:tcPr>
          <w:p w14:paraId="6E5DEF6E"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1.66%</w:t>
            </w:r>
          </w:p>
        </w:tc>
        <w:tc>
          <w:tcPr>
            <w:tcW w:w="516" w:type="pct"/>
            <w:tcBorders>
              <w:top w:val="nil"/>
              <w:left w:val="nil"/>
              <w:bottom w:val="single" w:sz="4" w:space="0" w:color="auto"/>
              <w:right w:val="single" w:sz="4" w:space="0" w:color="auto"/>
            </w:tcBorders>
            <w:shd w:val="clear" w:color="auto" w:fill="auto"/>
            <w:noWrap/>
            <w:vAlign w:val="bottom"/>
            <w:hideMark/>
          </w:tcPr>
          <w:p w14:paraId="24B74640"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3,507</w:t>
            </w:r>
          </w:p>
        </w:tc>
        <w:tc>
          <w:tcPr>
            <w:tcW w:w="464" w:type="pct"/>
            <w:tcBorders>
              <w:top w:val="nil"/>
              <w:left w:val="nil"/>
              <w:bottom w:val="single" w:sz="4" w:space="0" w:color="auto"/>
              <w:right w:val="single" w:sz="4" w:space="0" w:color="auto"/>
            </w:tcBorders>
            <w:shd w:val="clear" w:color="auto" w:fill="auto"/>
            <w:noWrap/>
            <w:vAlign w:val="bottom"/>
            <w:hideMark/>
          </w:tcPr>
          <w:p w14:paraId="260EBF52"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1.66%</w:t>
            </w:r>
          </w:p>
        </w:tc>
      </w:tr>
      <w:tr w:rsidR="0017157E" w:rsidRPr="00C106AC" w14:paraId="138A120C"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72BF4F4A"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Asian or Pacific Islander, Non-Hispanic</w:t>
            </w:r>
          </w:p>
        </w:tc>
        <w:tc>
          <w:tcPr>
            <w:tcW w:w="516" w:type="pct"/>
            <w:tcBorders>
              <w:top w:val="nil"/>
              <w:left w:val="nil"/>
              <w:bottom w:val="single" w:sz="4" w:space="0" w:color="auto"/>
              <w:right w:val="single" w:sz="4" w:space="0" w:color="auto"/>
            </w:tcBorders>
            <w:shd w:val="clear" w:color="auto" w:fill="auto"/>
            <w:noWrap/>
            <w:vAlign w:val="bottom"/>
            <w:hideMark/>
          </w:tcPr>
          <w:p w14:paraId="3051B914"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1,522</w:t>
            </w:r>
          </w:p>
        </w:tc>
        <w:tc>
          <w:tcPr>
            <w:tcW w:w="516" w:type="pct"/>
            <w:tcBorders>
              <w:top w:val="nil"/>
              <w:left w:val="nil"/>
              <w:bottom w:val="single" w:sz="4" w:space="0" w:color="auto"/>
              <w:right w:val="single" w:sz="4" w:space="0" w:color="auto"/>
            </w:tcBorders>
            <w:shd w:val="clear" w:color="auto" w:fill="auto"/>
            <w:noWrap/>
            <w:vAlign w:val="bottom"/>
            <w:hideMark/>
          </w:tcPr>
          <w:p w14:paraId="4A35FD0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0.86%</w:t>
            </w:r>
          </w:p>
        </w:tc>
        <w:tc>
          <w:tcPr>
            <w:tcW w:w="515" w:type="pct"/>
            <w:tcBorders>
              <w:top w:val="nil"/>
              <w:left w:val="nil"/>
              <w:bottom w:val="single" w:sz="4" w:space="0" w:color="auto"/>
              <w:right w:val="single" w:sz="4" w:space="0" w:color="auto"/>
            </w:tcBorders>
            <w:shd w:val="clear" w:color="auto" w:fill="auto"/>
            <w:noWrap/>
            <w:vAlign w:val="bottom"/>
            <w:hideMark/>
          </w:tcPr>
          <w:p w14:paraId="143890F8"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3,602</w:t>
            </w:r>
          </w:p>
        </w:tc>
        <w:tc>
          <w:tcPr>
            <w:tcW w:w="469" w:type="pct"/>
            <w:tcBorders>
              <w:top w:val="nil"/>
              <w:left w:val="nil"/>
              <w:bottom w:val="single" w:sz="4" w:space="0" w:color="auto"/>
              <w:right w:val="single" w:sz="4" w:space="0" w:color="auto"/>
            </w:tcBorders>
            <w:shd w:val="clear" w:color="auto" w:fill="auto"/>
            <w:noWrap/>
            <w:vAlign w:val="bottom"/>
            <w:hideMark/>
          </w:tcPr>
          <w:p w14:paraId="591E4000"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1.81%</w:t>
            </w:r>
          </w:p>
        </w:tc>
        <w:tc>
          <w:tcPr>
            <w:tcW w:w="516" w:type="pct"/>
            <w:tcBorders>
              <w:top w:val="nil"/>
              <w:left w:val="nil"/>
              <w:bottom w:val="single" w:sz="4" w:space="0" w:color="auto"/>
              <w:right w:val="single" w:sz="4" w:space="0" w:color="auto"/>
            </w:tcBorders>
            <w:shd w:val="clear" w:color="auto" w:fill="auto"/>
            <w:noWrap/>
            <w:vAlign w:val="bottom"/>
            <w:hideMark/>
          </w:tcPr>
          <w:p w14:paraId="788A2BE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5,760</w:t>
            </w:r>
          </w:p>
        </w:tc>
        <w:tc>
          <w:tcPr>
            <w:tcW w:w="469" w:type="pct"/>
            <w:tcBorders>
              <w:top w:val="nil"/>
              <w:left w:val="nil"/>
              <w:bottom w:val="single" w:sz="4" w:space="0" w:color="auto"/>
              <w:right w:val="single" w:sz="4" w:space="0" w:color="auto"/>
            </w:tcBorders>
            <w:shd w:val="clear" w:color="auto" w:fill="auto"/>
            <w:noWrap/>
            <w:vAlign w:val="bottom"/>
            <w:hideMark/>
          </w:tcPr>
          <w:p w14:paraId="67C2DF9C"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2.73%</w:t>
            </w:r>
          </w:p>
        </w:tc>
        <w:tc>
          <w:tcPr>
            <w:tcW w:w="516" w:type="pct"/>
            <w:tcBorders>
              <w:top w:val="nil"/>
              <w:left w:val="nil"/>
              <w:bottom w:val="single" w:sz="4" w:space="0" w:color="auto"/>
              <w:right w:val="single" w:sz="4" w:space="0" w:color="auto"/>
            </w:tcBorders>
            <w:shd w:val="clear" w:color="auto" w:fill="auto"/>
            <w:noWrap/>
            <w:vAlign w:val="bottom"/>
            <w:hideMark/>
          </w:tcPr>
          <w:p w14:paraId="3A094168"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4,668</w:t>
            </w:r>
          </w:p>
        </w:tc>
        <w:tc>
          <w:tcPr>
            <w:tcW w:w="464" w:type="pct"/>
            <w:tcBorders>
              <w:top w:val="nil"/>
              <w:left w:val="nil"/>
              <w:bottom w:val="single" w:sz="4" w:space="0" w:color="auto"/>
              <w:right w:val="single" w:sz="4" w:space="0" w:color="auto"/>
            </w:tcBorders>
            <w:shd w:val="clear" w:color="auto" w:fill="auto"/>
            <w:noWrap/>
            <w:vAlign w:val="bottom"/>
            <w:hideMark/>
          </w:tcPr>
          <w:p w14:paraId="101F158A"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2.21%</w:t>
            </w:r>
          </w:p>
        </w:tc>
      </w:tr>
      <w:tr w:rsidR="0017157E" w:rsidRPr="00C106AC" w14:paraId="6E3CCA2D"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32E311B4"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Native American, Non-Hispanic</w:t>
            </w:r>
          </w:p>
        </w:tc>
        <w:tc>
          <w:tcPr>
            <w:tcW w:w="516" w:type="pct"/>
            <w:tcBorders>
              <w:top w:val="nil"/>
              <w:left w:val="nil"/>
              <w:bottom w:val="single" w:sz="4" w:space="0" w:color="auto"/>
              <w:right w:val="single" w:sz="4" w:space="0" w:color="auto"/>
            </w:tcBorders>
            <w:shd w:val="clear" w:color="auto" w:fill="auto"/>
            <w:noWrap/>
            <w:vAlign w:val="bottom"/>
            <w:hideMark/>
          </w:tcPr>
          <w:p w14:paraId="4C2AFAD6"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862</w:t>
            </w:r>
          </w:p>
        </w:tc>
        <w:tc>
          <w:tcPr>
            <w:tcW w:w="516" w:type="pct"/>
            <w:tcBorders>
              <w:top w:val="nil"/>
              <w:left w:val="nil"/>
              <w:bottom w:val="single" w:sz="4" w:space="0" w:color="auto"/>
              <w:right w:val="single" w:sz="4" w:space="0" w:color="auto"/>
            </w:tcBorders>
            <w:shd w:val="clear" w:color="auto" w:fill="auto"/>
            <w:noWrap/>
            <w:vAlign w:val="bottom"/>
            <w:hideMark/>
          </w:tcPr>
          <w:p w14:paraId="27E5B26B"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0.49%</w:t>
            </w:r>
          </w:p>
        </w:tc>
        <w:tc>
          <w:tcPr>
            <w:tcW w:w="515" w:type="pct"/>
            <w:tcBorders>
              <w:top w:val="nil"/>
              <w:left w:val="nil"/>
              <w:bottom w:val="single" w:sz="4" w:space="0" w:color="auto"/>
              <w:right w:val="single" w:sz="4" w:space="0" w:color="auto"/>
            </w:tcBorders>
            <w:shd w:val="clear" w:color="auto" w:fill="auto"/>
            <w:noWrap/>
            <w:vAlign w:val="bottom"/>
            <w:hideMark/>
          </w:tcPr>
          <w:p w14:paraId="31FA8212"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2,312</w:t>
            </w:r>
          </w:p>
        </w:tc>
        <w:tc>
          <w:tcPr>
            <w:tcW w:w="469" w:type="pct"/>
            <w:tcBorders>
              <w:top w:val="nil"/>
              <w:left w:val="nil"/>
              <w:bottom w:val="single" w:sz="4" w:space="0" w:color="auto"/>
              <w:right w:val="single" w:sz="4" w:space="0" w:color="auto"/>
            </w:tcBorders>
            <w:shd w:val="clear" w:color="auto" w:fill="auto"/>
            <w:noWrap/>
            <w:vAlign w:val="bottom"/>
            <w:hideMark/>
          </w:tcPr>
          <w:p w14:paraId="725CC627"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1.16%</w:t>
            </w:r>
          </w:p>
        </w:tc>
        <w:tc>
          <w:tcPr>
            <w:tcW w:w="516" w:type="pct"/>
            <w:tcBorders>
              <w:top w:val="nil"/>
              <w:left w:val="nil"/>
              <w:bottom w:val="single" w:sz="4" w:space="0" w:color="auto"/>
              <w:right w:val="single" w:sz="4" w:space="0" w:color="auto"/>
            </w:tcBorders>
            <w:shd w:val="clear" w:color="auto" w:fill="auto"/>
            <w:noWrap/>
            <w:vAlign w:val="bottom"/>
            <w:hideMark/>
          </w:tcPr>
          <w:p w14:paraId="6C2AA94C"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2,495</w:t>
            </w:r>
          </w:p>
        </w:tc>
        <w:tc>
          <w:tcPr>
            <w:tcW w:w="469" w:type="pct"/>
            <w:tcBorders>
              <w:top w:val="nil"/>
              <w:left w:val="nil"/>
              <w:bottom w:val="single" w:sz="4" w:space="0" w:color="auto"/>
              <w:right w:val="single" w:sz="4" w:space="0" w:color="auto"/>
            </w:tcBorders>
            <w:shd w:val="clear" w:color="auto" w:fill="auto"/>
            <w:noWrap/>
            <w:vAlign w:val="bottom"/>
            <w:hideMark/>
          </w:tcPr>
          <w:p w14:paraId="3BADAE70"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1.18%</w:t>
            </w:r>
          </w:p>
        </w:tc>
        <w:tc>
          <w:tcPr>
            <w:tcW w:w="516" w:type="pct"/>
            <w:tcBorders>
              <w:top w:val="nil"/>
              <w:left w:val="nil"/>
              <w:bottom w:val="single" w:sz="4" w:space="0" w:color="auto"/>
              <w:right w:val="single" w:sz="4" w:space="0" w:color="auto"/>
            </w:tcBorders>
            <w:shd w:val="clear" w:color="auto" w:fill="auto"/>
            <w:noWrap/>
            <w:vAlign w:val="bottom"/>
            <w:hideMark/>
          </w:tcPr>
          <w:p w14:paraId="1109D2D6"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923</w:t>
            </w:r>
          </w:p>
        </w:tc>
        <w:tc>
          <w:tcPr>
            <w:tcW w:w="464" w:type="pct"/>
            <w:tcBorders>
              <w:top w:val="nil"/>
              <w:left w:val="nil"/>
              <w:bottom w:val="single" w:sz="4" w:space="0" w:color="auto"/>
              <w:right w:val="single" w:sz="4" w:space="0" w:color="auto"/>
            </w:tcBorders>
            <w:shd w:val="clear" w:color="auto" w:fill="auto"/>
            <w:noWrap/>
            <w:vAlign w:val="bottom"/>
            <w:hideMark/>
          </w:tcPr>
          <w:p w14:paraId="40EA0E8B"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0.44%</w:t>
            </w:r>
          </w:p>
        </w:tc>
      </w:tr>
      <w:tr w:rsidR="0017157E" w:rsidRPr="00C106AC" w14:paraId="40A57276"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DCE6F1"/>
            <w:noWrap/>
            <w:vAlign w:val="bottom"/>
            <w:hideMark/>
          </w:tcPr>
          <w:p w14:paraId="2D251ED4" w14:textId="77777777" w:rsidR="0017157E" w:rsidRPr="00C106AC"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National Origin</w:t>
            </w:r>
          </w:p>
        </w:tc>
        <w:tc>
          <w:tcPr>
            <w:tcW w:w="516" w:type="pct"/>
            <w:tcBorders>
              <w:top w:val="nil"/>
              <w:left w:val="nil"/>
              <w:bottom w:val="single" w:sz="4" w:space="0" w:color="auto"/>
              <w:right w:val="single" w:sz="4" w:space="0" w:color="auto"/>
            </w:tcBorders>
            <w:shd w:val="clear" w:color="auto" w:fill="DCE6F1"/>
            <w:noWrap/>
            <w:vAlign w:val="bottom"/>
            <w:hideMark/>
          </w:tcPr>
          <w:p w14:paraId="041C75DF"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52E2B118"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5" w:type="pct"/>
            <w:tcBorders>
              <w:top w:val="nil"/>
              <w:left w:val="nil"/>
              <w:bottom w:val="single" w:sz="4" w:space="0" w:color="auto"/>
              <w:right w:val="single" w:sz="4" w:space="0" w:color="auto"/>
            </w:tcBorders>
            <w:shd w:val="clear" w:color="auto" w:fill="DCE6F1"/>
            <w:noWrap/>
            <w:vAlign w:val="bottom"/>
            <w:hideMark/>
          </w:tcPr>
          <w:p w14:paraId="5DB0D1B0"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63694353"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5848A0B1"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75498276"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201ED2BE"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4" w:type="pct"/>
            <w:tcBorders>
              <w:top w:val="nil"/>
              <w:left w:val="nil"/>
              <w:bottom w:val="single" w:sz="4" w:space="0" w:color="auto"/>
              <w:right w:val="single" w:sz="4" w:space="0" w:color="auto"/>
            </w:tcBorders>
            <w:shd w:val="clear" w:color="auto" w:fill="DCE6F1"/>
            <w:noWrap/>
            <w:vAlign w:val="bottom"/>
            <w:hideMark/>
          </w:tcPr>
          <w:p w14:paraId="59878FD3"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r>
      <w:tr w:rsidR="0017157E" w:rsidRPr="00C106AC" w14:paraId="0311113F"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2624E66B"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Foreign-born</w:t>
            </w:r>
          </w:p>
        </w:tc>
        <w:tc>
          <w:tcPr>
            <w:tcW w:w="516" w:type="pct"/>
            <w:tcBorders>
              <w:top w:val="nil"/>
              <w:left w:val="nil"/>
              <w:bottom w:val="single" w:sz="4" w:space="0" w:color="auto"/>
              <w:right w:val="single" w:sz="4" w:space="0" w:color="auto"/>
            </w:tcBorders>
            <w:shd w:val="clear" w:color="auto" w:fill="auto"/>
            <w:noWrap/>
            <w:vAlign w:val="bottom"/>
            <w:hideMark/>
          </w:tcPr>
          <w:p w14:paraId="70A870A2"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6,845</w:t>
            </w:r>
          </w:p>
        </w:tc>
        <w:tc>
          <w:tcPr>
            <w:tcW w:w="516" w:type="pct"/>
            <w:tcBorders>
              <w:top w:val="nil"/>
              <w:left w:val="nil"/>
              <w:bottom w:val="single" w:sz="4" w:space="0" w:color="auto"/>
              <w:right w:val="single" w:sz="4" w:space="0" w:color="auto"/>
            </w:tcBorders>
            <w:shd w:val="clear" w:color="auto" w:fill="auto"/>
            <w:noWrap/>
            <w:vAlign w:val="bottom"/>
            <w:hideMark/>
          </w:tcPr>
          <w:p w14:paraId="08F5E7EC"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3.87%</w:t>
            </w:r>
          </w:p>
        </w:tc>
        <w:tc>
          <w:tcPr>
            <w:tcW w:w="515" w:type="pct"/>
            <w:tcBorders>
              <w:top w:val="nil"/>
              <w:left w:val="nil"/>
              <w:bottom w:val="single" w:sz="4" w:space="0" w:color="auto"/>
              <w:right w:val="single" w:sz="4" w:space="0" w:color="auto"/>
            </w:tcBorders>
            <w:shd w:val="clear" w:color="auto" w:fill="auto"/>
            <w:noWrap/>
            <w:vAlign w:val="bottom"/>
            <w:hideMark/>
          </w:tcPr>
          <w:p w14:paraId="5CCEFFF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10,648</w:t>
            </w:r>
          </w:p>
        </w:tc>
        <w:tc>
          <w:tcPr>
            <w:tcW w:w="469" w:type="pct"/>
            <w:tcBorders>
              <w:top w:val="nil"/>
              <w:left w:val="nil"/>
              <w:bottom w:val="single" w:sz="4" w:space="0" w:color="auto"/>
              <w:right w:val="single" w:sz="4" w:space="0" w:color="auto"/>
            </w:tcBorders>
            <w:shd w:val="clear" w:color="auto" w:fill="auto"/>
            <w:noWrap/>
            <w:vAlign w:val="bottom"/>
            <w:hideMark/>
          </w:tcPr>
          <w:p w14:paraId="0C3E2ED4"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5.35%</w:t>
            </w:r>
          </w:p>
        </w:tc>
        <w:tc>
          <w:tcPr>
            <w:tcW w:w="516" w:type="pct"/>
            <w:tcBorders>
              <w:top w:val="nil"/>
              <w:left w:val="nil"/>
              <w:bottom w:val="single" w:sz="4" w:space="0" w:color="auto"/>
              <w:right w:val="single" w:sz="4" w:space="0" w:color="auto"/>
            </w:tcBorders>
            <w:shd w:val="clear" w:color="auto" w:fill="auto"/>
            <w:noWrap/>
            <w:vAlign w:val="bottom"/>
            <w:hideMark/>
          </w:tcPr>
          <w:p w14:paraId="48971FCE"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12,255</w:t>
            </w:r>
          </w:p>
        </w:tc>
        <w:tc>
          <w:tcPr>
            <w:tcW w:w="469" w:type="pct"/>
            <w:tcBorders>
              <w:top w:val="nil"/>
              <w:left w:val="nil"/>
              <w:bottom w:val="single" w:sz="4" w:space="0" w:color="auto"/>
              <w:right w:val="single" w:sz="4" w:space="0" w:color="auto"/>
            </w:tcBorders>
            <w:shd w:val="clear" w:color="auto" w:fill="auto"/>
            <w:noWrap/>
            <w:vAlign w:val="bottom"/>
            <w:hideMark/>
          </w:tcPr>
          <w:p w14:paraId="68AC02CA"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5.80%</w:t>
            </w:r>
          </w:p>
        </w:tc>
        <w:tc>
          <w:tcPr>
            <w:tcW w:w="516" w:type="pct"/>
            <w:tcBorders>
              <w:top w:val="nil"/>
              <w:left w:val="nil"/>
              <w:bottom w:val="single" w:sz="4" w:space="0" w:color="auto"/>
              <w:right w:val="single" w:sz="4" w:space="0" w:color="auto"/>
            </w:tcBorders>
            <w:shd w:val="clear" w:color="auto" w:fill="auto"/>
            <w:noWrap/>
            <w:vAlign w:val="bottom"/>
            <w:hideMark/>
          </w:tcPr>
          <w:p w14:paraId="29F4013C"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12,920</w:t>
            </w:r>
          </w:p>
        </w:tc>
        <w:tc>
          <w:tcPr>
            <w:tcW w:w="464" w:type="pct"/>
            <w:tcBorders>
              <w:top w:val="nil"/>
              <w:left w:val="nil"/>
              <w:bottom w:val="single" w:sz="4" w:space="0" w:color="auto"/>
              <w:right w:val="single" w:sz="4" w:space="0" w:color="auto"/>
            </w:tcBorders>
            <w:shd w:val="clear" w:color="auto" w:fill="auto"/>
            <w:noWrap/>
            <w:vAlign w:val="bottom"/>
            <w:hideMark/>
          </w:tcPr>
          <w:p w14:paraId="10E02C52"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6.12%</w:t>
            </w:r>
          </w:p>
        </w:tc>
      </w:tr>
      <w:tr w:rsidR="0017157E" w:rsidRPr="00C106AC" w14:paraId="63E723FA"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DCE6F1"/>
            <w:noWrap/>
            <w:vAlign w:val="bottom"/>
            <w:hideMark/>
          </w:tcPr>
          <w:p w14:paraId="40CF4DFE" w14:textId="77777777" w:rsidR="0017157E" w:rsidRPr="00C106AC"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xml:space="preserve">LEP </w:t>
            </w:r>
          </w:p>
        </w:tc>
        <w:tc>
          <w:tcPr>
            <w:tcW w:w="516" w:type="pct"/>
            <w:tcBorders>
              <w:top w:val="nil"/>
              <w:left w:val="nil"/>
              <w:bottom w:val="single" w:sz="4" w:space="0" w:color="auto"/>
              <w:right w:val="single" w:sz="4" w:space="0" w:color="auto"/>
            </w:tcBorders>
            <w:shd w:val="clear" w:color="auto" w:fill="DCE6F1"/>
            <w:noWrap/>
            <w:vAlign w:val="bottom"/>
            <w:hideMark/>
          </w:tcPr>
          <w:p w14:paraId="6BEFD447"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6AAF91D0"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5" w:type="pct"/>
            <w:tcBorders>
              <w:top w:val="nil"/>
              <w:left w:val="nil"/>
              <w:bottom w:val="single" w:sz="4" w:space="0" w:color="auto"/>
              <w:right w:val="single" w:sz="4" w:space="0" w:color="auto"/>
            </w:tcBorders>
            <w:shd w:val="clear" w:color="auto" w:fill="DCE6F1"/>
            <w:noWrap/>
            <w:vAlign w:val="bottom"/>
            <w:hideMark/>
          </w:tcPr>
          <w:p w14:paraId="6C79D9A9"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19A02753"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3011699B"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270D199B"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3C9C0EEC"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4" w:type="pct"/>
            <w:tcBorders>
              <w:top w:val="nil"/>
              <w:left w:val="nil"/>
              <w:bottom w:val="single" w:sz="4" w:space="0" w:color="auto"/>
              <w:right w:val="single" w:sz="4" w:space="0" w:color="auto"/>
            </w:tcBorders>
            <w:shd w:val="clear" w:color="auto" w:fill="DCE6F1"/>
            <w:noWrap/>
            <w:vAlign w:val="bottom"/>
            <w:hideMark/>
          </w:tcPr>
          <w:p w14:paraId="49F555BE"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r>
      <w:tr w:rsidR="0017157E" w:rsidRPr="00C106AC" w14:paraId="1C64A255"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355C1260"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Limited English Proficiency</w:t>
            </w:r>
          </w:p>
        </w:tc>
        <w:tc>
          <w:tcPr>
            <w:tcW w:w="516" w:type="pct"/>
            <w:tcBorders>
              <w:top w:val="nil"/>
              <w:left w:val="nil"/>
              <w:bottom w:val="single" w:sz="4" w:space="0" w:color="auto"/>
              <w:right w:val="single" w:sz="4" w:space="0" w:color="auto"/>
            </w:tcBorders>
            <w:shd w:val="clear" w:color="auto" w:fill="auto"/>
            <w:noWrap/>
            <w:vAlign w:val="bottom"/>
            <w:hideMark/>
          </w:tcPr>
          <w:p w14:paraId="2839BD93"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2,517</w:t>
            </w:r>
          </w:p>
        </w:tc>
        <w:tc>
          <w:tcPr>
            <w:tcW w:w="516" w:type="pct"/>
            <w:tcBorders>
              <w:top w:val="nil"/>
              <w:left w:val="nil"/>
              <w:bottom w:val="single" w:sz="4" w:space="0" w:color="auto"/>
              <w:right w:val="single" w:sz="4" w:space="0" w:color="auto"/>
            </w:tcBorders>
            <w:shd w:val="clear" w:color="auto" w:fill="auto"/>
            <w:noWrap/>
            <w:vAlign w:val="bottom"/>
            <w:hideMark/>
          </w:tcPr>
          <w:p w14:paraId="4A2A7BEE"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1.42%</w:t>
            </w:r>
          </w:p>
        </w:tc>
        <w:tc>
          <w:tcPr>
            <w:tcW w:w="515" w:type="pct"/>
            <w:tcBorders>
              <w:top w:val="nil"/>
              <w:left w:val="nil"/>
              <w:bottom w:val="single" w:sz="4" w:space="0" w:color="auto"/>
              <w:right w:val="single" w:sz="4" w:space="0" w:color="auto"/>
            </w:tcBorders>
            <w:shd w:val="clear" w:color="auto" w:fill="auto"/>
            <w:noWrap/>
            <w:vAlign w:val="bottom"/>
            <w:hideMark/>
          </w:tcPr>
          <w:p w14:paraId="5AE136E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4,199</w:t>
            </w:r>
          </w:p>
        </w:tc>
        <w:tc>
          <w:tcPr>
            <w:tcW w:w="469" w:type="pct"/>
            <w:tcBorders>
              <w:top w:val="nil"/>
              <w:left w:val="nil"/>
              <w:bottom w:val="single" w:sz="4" w:space="0" w:color="auto"/>
              <w:right w:val="single" w:sz="4" w:space="0" w:color="auto"/>
            </w:tcBorders>
            <w:shd w:val="clear" w:color="auto" w:fill="auto"/>
            <w:noWrap/>
            <w:vAlign w:val="bottom"/>
            <w:hideMark/>
          </w:tcPr>
          <w:p w14:paraId="0D03DC71"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2.11%</w:t>
            </w:r>
          </w:p>
        </w:tc>
        <w:tc>
          <w:tcPr>
            <w:tcW w:w="516" w:type="pct"/>
            <w:tcBorders>
              <w:top w:val="nil"/>
              <w:left w:val="nil"/>
              <w:bottom w:val="single" w:sz="4" w:space="0" w:color="auto"/>
              <w:right w:val="single" w:sz="4" w:space="0" w:color="auto"/>
            </w:tcBorders>
            <w:shd w:val="clear" w:color="auto" w:fill="auto"/>
            <w:noWrap/>
            <w:vAlign w:val="bottom"/>
            <w:hideMark/>
          </w:tcPr>
          <w:p w14:paraId="682C881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5,266</w:t>
            </w:r>
          </w:p>
        </w:tc>
        <w:tc>
          <w:tcPr>
            <w:tcW w:w="469" w:type="pct"/>
            <w:tcBorders>
              <w:top w:val="nil"/>
              <w:left w:val="nil"/>
              <w:bottom w:val="single" w:sz="4" w:space="0" w:color="auto"/>
              <w:right w:val="single" w:sz="4" w:space="0" w:color="auto"/>
            </w:tcBorders>
            <w:shd w:val="clear" w:color="auto" w:fill="auto"/>
            <w:noWrap/>
            <w:vAlign w:val="bottom"/>
            <w:hideMark/>
          </w:tcPr>
          <w:p w14:paraId="0F6D6DD7"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2.49%</w:t>
            </w:r>
          </w:p>
        </w:tc>
        <w:tc>
          <w:tcPr>
            <w:tcW w:w="516" w:type="pct"/>
            <w:tcBorders>
              <w:top w:val="nil"/>
              <w:left w:val="nil"/>
              <w:bottom w:val="single" w:sz="4" w:space="0" w:color="auto"/>
              <w:right w:val="single" w:sz="4" w:space="0" w:color="auto"/>
            </w:tcBorders>
            <w:shd w:val="clear" w:color="auto" w:fill="auto"/>
            <w:noWrap/>
            <w:vAlign w:val="bottom"/>
            <w:hideMark/>
          </w:tcPr>
          <w:p w14:paraId="741B8D4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5,092</w:t>
            </w:r>
          </w:p>
        </w:tc>
        <w:tc>
          <w:tcPr>
            <w:tcW w:w="464" w:type="pct"/>
            <w:tcBorders>
              <w:top w:val="nil"/>
              <w:left w:val="nil"/>
              <w:bottom w:val="single" w:sz="4" w:space="0" w:color="auto"/>
              <w:right w:val="single" w:sz="4" w:space="0" w:color="auto"/>
            </w:tcBorders>
            <w:shd w:val="clear" w:color="auto" w:fill="auto"/>
            <w:noWrap/>
            <w:vAlign w:val="bottom"/>
            <w:hideMark/>
          </w:tcPr>
          <w:p w14:paraId="60078ACC"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2.41%</w:t>
            </w:r>
          </w:p>
        </w:tc>
      </w:tr>
      <w:tr w:rsidR="0017157E" w:rsidRPr="00C106AC" w14:paraId="1875BE2E"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DCE6F1"/>
            <w:noWrap/>
            <w:vAlign w:val="bottom"/>
            <w:hideMark/>
          </w:tcPr>
          <w:p w14:paraId="5BB451C5" w14:textId="77777777" w:rsidR="0017157E" w:rsidRPr="00C106AC"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Sex</w:t>
            </w:r>
          </w:p>
        </w:tc>
        <w:tc>
          <w:tcPr>
            <w:tcW w:w="516" w:type="pct"/>
            <w:tcBorders>
              <w:top w:val="nil"/>
              <w:left w:val="nil"/>
              <w:bottom w:val="single" w:sz="4" w:space="0" w:color="auto"/>
              <w:right w:val="single" w:sz="4" w:space="0" w:color="auto"/>
            </w:tcBorders>
            <w:shd w:val="clear" w:color="auto" w:fill="DCE6F1"/>
            <w:noWrap/>
            <w:vAlign w:val="bottom"/>
            <w:hideMark/>
          </w:tcPr>
          <w:p w14:paraId="2FB1E9EE"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5768107F"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5" w:type="pct"/>
            <w:tcBorders>
              <w:top w:val="nil"/>
              <w:left w:val="nil"/>
              <w:bottom w:val="single" w:sz="4" w:space="0" w:color="auto"/>
              <w:right w:val="single" w:sz="4" w:space="0" w:color="auto"/>
            </w:tcBorders>
            <w:shd w:val="clear" w:color="auto" w:fill="DCE6F1"/>
            <w:noWrap/>
            <w:vAlign w:val="bottom"/>
            <w:hideMark/>
          </w:tcPr>
          <w:p w14:paraId="4E4DCB73"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1982E986"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4E457EFD"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5B258A6C"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4A3C3B42"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4" w:type="pct"/>
            <w:tcBorders>
              <w:top w:val="nil"/>
              <w:left w:val="nil"/>
              <w:bottom w:val="single" w:sz="4" w:space="0" w:color="auto"/>
              <w:right w:val="single" w:sz="4" w:space="0" w:color="auto"/>
            </w:tcBorders>
            <w:shd w:val="clear" w:color="auto" w:fill="DCE6F1"/>
            <w:noWrap/>
            <w:vAlign w:val="bottom"/>
            <w:hideMark/>
          </w:tcPr>
          <w:p w14:paraId="03BA2DA5"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r>
      <w:tr w:rsidR="0017157E" w:rsidRPr="00C106AC" w14:paraId="009D31DD"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vAlign w:val="bottom"/>
            <w:hideMark/>
          </w:tcPr>
          <w:p w14:paraId="780D96C4"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Male</w:t>
            </w:r>
          </w:p>
        </w:tc>
        <w:tc>
          <w:tcPr>
            <w:tcW w:w="516" w:type="pct"/>
            <w:tcBorders>
              <w:top w:val="nil"/>
              <w:left w:val="nil"/>
              <w:bottom w:val="single" w:sz="4" w:space="0" w:color="auto"/>
              <w:right w:val="single" w:sz="4" w:space="0" w:color="auto"/>
            </w:tcBorders>
            <w:shd w:val="clear" w:color="auto" w:fill="auto"/>
            <w:noWrap/>
            <w:vAlign w:val="bottom"/>
            <w:hideMark/>
          </w:tcPr>
          <w:p w14:paraId="3C5DD5EA"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86,194</w:t>
            </w:r>
          </w:p>
        </w:tc>
        <w:tc>
          <w:tcPr>
            <w:tcW w:w="516" w:type="pct"/>
            <w:tcBorders>
              <w:top w:val="nil"/>
              <w:left w:val="nil"/>
              <w:bottom w:val="single" w:sz="4" w:space="0" w:color="auto"/>
              <w:right w:val="single" w:sz="4" w:space="0" w:color="auto"/>
            </w:tcBorders>
            <w:shd w:val="clear" w:color="auto" w:fill="auto"/>
            <w:noWrap/>
            <w:vAlign w:val="bottom"/>
            <w:hideMark/>
          </w:tcPr>
          <w:p w14:paraId="76E43D7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48.68%</w:t>
            </w:r>
          </w:p>
        </w:tc>
        <w:tc>
          <w:tcPr>
            <w:tcW w:w="515" w:type="pct"/>
            <w:tcBorders>
              <w:top w:val="nil"/>
              <w:left w:val="nil"/>
              <w:bottom w:val="single" w:sz="4" w:space="0" w:color="auto"/>
              <w:right w:val="single" w:sz="4" w:space="0" w:color="auto"/>
            </w:tcBorders>
            <w:shd w:val="clear" w:color="auto" w:fill="auto"/>
            <w:noWrap/>
            <w:vAlign w:val="bottom"/>
            <w:hideMark/>
          </w:tcPr>
          <w:p w14:paraId="2D16AE56"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97,158</w:t>
            </w:r>
          </w:p>
        </w:tc>
        <w:tc>
          <w:tcPr>
            <w:tcW w:w="469" w:type="pct"/>
            <w:tcBorders>
              <w:top w:val="nil"/>
              <w:left w:val="nil"/>
              <w:bottom w:val="single" w:sz="4" w:space="0" w:color="auto"/>
              <w:right w:val="single" w:sz="4" w:space="0" w:color="auto"/>
            </w:tcBorders>
            <w:shd w:val="clear" w:color="auto" w:fill="auto"/>
            <w:noWrap/>
            <w:vAlign w:val="bottom"/>
            <w:hideMark/>
          </w:tcPr>
          <w:p w14:paraId="5A2AE46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48.85%</w:t>
            </w:r>
          </w:p>
        </w:tc>
        <w:tc>
          <w:tcPr>
            <w:tcW w:w="516" w:type="pct"/>
            <w:tcBorders>
              <w:top w:val="nil"/>
              <w:left w:val="nil"/>
              <w:bottom w:val="single" w:sz="4" w:space="0" w:color="auto"/>
              <w:right w:val="single" w:sz="4" w:space="0" w:color="auto"/>
            </w:tcBorders>
            <w:shd w:val="clear" w:color="auto" w:fill="auto"/>
            <w:noWrap/>
            <w:vAlign w:val="bottom"/>
            <w:hideMark/>
          </w:tcPr>
          <w:p w14:paraId="3A88D7A6"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103,475</w:t>
            </w:r>
          </w:p>
        </w:tc>
        <w:tc>
          <w:tcPr>
            <w:tcW w:w="469" w:type="pct"/>
            <w:tcBorders>
              <w:top w:val="nil"/>
              <w:left w:val="nil"/>
              <w:bottom w:val="single" w:sz="4" w:space="0" w:color="auto"/>
              <w:right w:val="single" w:sz="4" w:space="0" w:color="auto"/>
            </w:tcBorders>
            <w:shd w:val="clear" w:color="auto" w:fill="auto"/>
            <w:noWrap/>
            <w:vAlign w:val="bottom"/>
            <w:hideMark/>
          </w:tcPr>
          <w:p w14:paraId="2EC5D6CB"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48.98%</w:t>
            </w:r>
          </w:p>
        </w:tc>
        <w:tc>
          <w:tcPr>
            <w:tcW w:w="516" w:type="pct"/>
            <w:tcBorders>
              <w:top w:val="nil"/>
              <w:left w:val="nil"/>
              <w:bottom w:val="single" w:sz="4" w:space="0" w:color="auto"/>
              <w:right w:val="single" w:sz="4" w:space="0" w:color="auto"/>
            </w:tcBorders>
            <w:shd w:val="clear" w:color="auto" w:fill="auto"/>
            <w:noWrap/>
            <w:vAlign w:val="bottom"/>
            <w:hideMark/>
          </w:tcPr>
          <w:p w14:paraId="76CDFB44"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103,475</w:t>
            </w:r>
          </w:p>
        </w:tc>
        <w:tc>
          <w:tcPr>
            <w:tcW w:w="464" w:type="pct"/>
            <w:tcBorders>
              <w:top w:val="nil"/>
              <w:left w:val="nil"/>
              <w:bottom w:val="single" w:sz="4" w:space="0" w:color="auto"/>
              <w:right w:val="single" w:sz="4" w:space="0" w:color="auto"/>
            </w:tcBorders>
            <w:shd w:val="clear" w:color="auto" w:fill="auto"/>
            <w:noWrap/>
            <w:vAlign w:val="bottom"/>
            <w:hideMark/>
          </w:tcPr>
          <w:p w14:paraId="572D518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48.98%</w:t>
            </w:r>
          </w:p>
        </w:tc>
      </w:tr>
      <w:tr w:rsidR="0017157E" w:rsidRPr="00C106AC" w14:paraId="45DB93AB"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vAlign w:val="bottom"/>
            <w:hideMark/>
          </w:tcPr>
          <w:p w14:paraId="298E96E5"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Female</w:t>
            </w:r>
          </w:p>
        </w:tc>
        <w:tc>
          <w:tcPr>
            <w:tcW w:w="516" w:type="pct"/>
            <w:tcBorders>
              <w:top w:val="nil"/>
              <w:left w:val="nil"/>
              <w:bottom w:val="single" w:sz="4" w:space="0" w:color="auto"/>
              <w:right w:val="single" w:sz="4" w:space="0" w:color="auto"/>
            </w:tcBorders>
            <w:shd w:val="clear" w:color="auto" w:fill="auto"/>
            <w:noWrap/>
            <w:vAlign w:val="bottom"/>
            <w:hideMark/>
          </w:tcPr>
          <w:p w14:paraId="5E3F9E17"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90,859</w:t>
            </w:r>
          </w:p>
        </w:tc>
        <w:tc>
          <w:tcPr>
            <w:tcW w:w="516" w:type="pct"/>
            <w:tcBorders>
              <w:top w:val="nil"/>
              <w:left w:val="nil"/>
              <w:bottom w:val="single" w:sz="4" w:space="0" w:color="auto"/>
              <w:right w:val="single" w:sz="4" w:space="0" w:color="auto"/>
            </w:tcBorders>
            <w:shd w:val="clear" w:color="auto" w:fill="auto"/>
            <w:noWrap/>
            <w:vAlign w:val="bottom"/>
            <w:hideMark/>
          </w:tcPr>
          <w:p w14:paraId="49A0C7F6"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51.32%</w:t>
            </w:r>
          </w:p>
        </w:tc>
        <w:tc>
          <w:tcPr>
            <w:tcW w:w="515" w:type="pct"/>
            <w:tcBorders>
              <w:top w:val="nil"/>
              <w:left w:val="nil"/>
              <w:bottom w:val="single" w:sz="4" w:space="0" w:color="auto"/>
              <w:right w:val="single" w:sz="4" w:space="0" w:color="auto"/>
            </w:tcBorders>
            <w:shd w:val="clear" w:color="auto" w:fill="auto"/>
            <w:noWrap/>
            <w:vAlign w:val="bottom"/>
            <w:hideMark/>
          </w:tcPr>
          <w:p w14:paraId="3824043B"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101,727</w:t>
            </w:r>
          </w:p>
        </w:tc>
        <w:tc>
          <w:tcPr>
            <w:tcW w:w="469" w:type="pct"/>
            <w:tcBorders>
              <w:top w:val="nil"/>
              <w:left w:val="nil"/>
              <w:bottom w:val="single" w:sz="4" w:space="0" w:color="auto"/>
              <w:right w:val="single" w:sz="4" w:space="0" w:color="auto"/>
            </w:tcBorders>
            <w:shd w:val="clear" w:color="auto" w:fill="auto"/>
            <w:noWrap/>
            <w:vAlign w:val="bottom"/>
            <w:hideMark/>
          </w:tcPr>
          <w:p w14:paraId="58C3196F"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51.15%</w:t>
            </w:r>
          </w:p>
        </w:tc>
        <w:tc>
          <w:tcPr>
            <w:tcW w:w="516" w:type="pct"/>
            <w:tcBorders>
              <w:top w:val="nil"/>
              <w:left w:val="nil"/>
              <w:bottom w:val="single" w:sz="4" w:space="0" w:color="auto"/>
              <w:right w:val="single" w:sz="4" w:space="0" w:color="auto"/>
            </w:tcBorders>
            <w:shd w:val="clear" w:color="auto" w:fill="auto"/>
            <w:noWrap/>
            <w:vAlign w:val="bottom"/>
            <w:hideMark/>
          </w:tcPr>
          <w:p w14:paraId="4FB39489"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107,786</w:t>
            </w:r>
          </w:p>
        </w:tc>
        <w:tc>
          <w:tcPr>
            <w:tcW w:w="469" w:type="pct"/>
            <w:tcBorders>
              <w:top w:val="nil"/>
              <w:left w:val="nil"/>
              <w:bottom w:val="single" w:sz="4" w:space="0" w:color="auto"/>
              <w:right w:val="single" w:sz="4" w:space="0" w:color="auto"/>
            </w:tcBorders>
            <w:shd w:val="clear" w:color="auto" w:fill="auto"/>
            <w:noWrap/>
            <w:vAlign w:val="bottom"/>
            <w:hideMark/>
          </w:tcPr>
          <w:p w14:paraId="3756241C"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51.02%</w:t>
            </w:r>
          </w:p>
        </w:tc>
        <w:tc>
          <w:tcPr>
            <w:tcW w:w="516" w:type="pct"/>
            <w:tcBorders>
              <w:top w:val="nil"/>
              <w:left w:val="nil"/>
              <w:bottom w:val="single" w:sz="4" w:space="0" w:color="auto"/>
              <w:right w:val="single" w:sz="4" w:space="0" w:color="auto"/>
            </w:tcBorders>
            <w:shd w:val="clear" w:color="auto" w:fill="auto"/>
            <w:noWrap/>
            <w:vAlign w:val="bottom"/>
            <w:hideMark/>
          </w:tcPr>
          <w:p w14:paraId="7EB425ED"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107,786</w:t>
            </w:r>
          </w:p>
        </w:tc>
        <w:tc>
          <w:tcPr>
            <w:tcW w:w="464" w:type="pct"/>
            <w:tcBorders>
              <w:top w:val="nil"/>
              <w:left w:val="nil"/>
              <w:bottom w:val="single" w:sz="4" w:space="0" w:color="auto"/>
              <w:right w:val="single" w:sz="4" w:space="0" w:color="auto"/>
            </w:tcBorders>
            <w:shd w:val="clear" w:color="auto" w:fill="auto"/>
            <w:noWrap/>
            <w:vAlign w:val="bottom"/>
            <w:hideMark/>
          </w:tcPr>
          <w:p w14:paraId="601FFA8B"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51.02%</w:t>
            </w:r>
          </w:p>
        </w:tc>
      </w:tr>
      <w:tr w:rsidR="0017157E" w:rsidRPr="00C106AC" w14:paraId="0D4C43B3"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DCE6F1"/>
            <w:noWrap/>
            <w:vAlign w:val="bottom"/>
            <w:hideMark/>
          </w:tcPr>
          <w:p w14:paraId="13BCD38D" w14:textId="77777777" w:rsidR="0017157E" w:rsidRPr="00C106AC"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Age</w:t>
            </w:r>
          </w:p>
        </w:tc>
        <w:tc>
          <w:tcPr>
            <w:tcW w:w="516" w:type="pct"/>
            <w:tcBorders>
              <w:top w:val="nil"/>
              <w:left w:val="nil"/>
              <w:bottom w:val="single" w:sz="4" w:space="0" w:color="auto"/>
              <w:right w:val="single" w:sz="4" w:space="0" w:color="auto"/>
            </w:tcBorders>
            <w:shd w:val="clear" w:color="auto" w:fill="DCE6F1"/>
            <w:noWrap/>
            <w:vAlign w:val="bottom"/>
            <w:hideMark/>
          </w:tcPr>
          <w:p w14:paraId="4E0C8630"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5184C198"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5" w:type="pct"/>
            <w:tcBorders>
              <w:top w:val="nil"/>
              <w:left w:val="nil"/>
              <w:bottom w:val="single" w:sz="4" w:space="0" w:color="auto"/>
              <w:right w:val="single" w:sz="4" w:space="0" w:color="auto"/>
            </w:tcBorders>
            <w:shd w:val="clear" w:color="auto" w:fill="DCE6F1"/>
            <w:noWrap/>
            <w:vAlign w:val="bottom"/>
            <w:hideMark/>
          </w:tcPr>
          <w:p w14:paraId="6D03BC1B"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43545A7C"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1620187F"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6858849E"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26E4A25A"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4" w:type="pct"/>
            <w:tcBorders>
              <w:top w:val="nil"/>
              <w:left w:val="nil"/>
              <w:bottom w:val="single" w:sz="4" w:space="0" w:color="auto"/>
              <w:right w:val="single" w:sz="4" w:space="0" w:color="auto"/>
            </w:tcBorders>
            <w:shd w:val="clear" w:color="auto" w:fill="DCE6F1"/>
            <w:noWrap/>
            <w:vAlign w:val="bottom"/>
            <w:hideMark/>
          </w:tcPr>
          <w:p w14:paraId="2C352153"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r>
      <w:tr w:rsidR="0017157E" w:rsidRPr="00C106AC" w14:paraId="379886F3"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vAlign w:val="bottom"/>
            <w:hideMark/>
          </w:tcPr>
          <w:p w14:paraId="41CDD5A3"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Under 18</w:t>
            </w:r>
          </w:p>
        </w:tc>
        <w:tc>
          <w:tcPr>
            <w:tcW w:w="516" w:type="pct"/>
            <w:tcBorders>
              <w:top w:val="nil"/>
              <w:left w:val="nil"/>
              <w:bottom w:val="single" w:sz="4" w:space="0" w:color="auto"/>
              <w:right w:val="single" w:sz="4" w:space="0" w:color="auto"/>
            </w:tcBorders>
            <w:shd w:val="clear" w:color="auto" w:fill="auto"/>
            <w:noWrap/>
            <w:vAlign w:val="bottom"/>
            <w:hideMark/>
          </w:tcPr>
          <w:p w14:paraId="10899D1E"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44,281</w:t>
            </w:r>
          </w:p>
        </w:tc>
        <w:tc>
          <w:tcPr>
            <w:tcW w:w="516" w:type="pct"/>
            <w:tcBorders>
              <w:top w:val="nil"/>
              <w:left w:val="nil"/>
              <w:bottom w:val="single" w:sz="4" w:space="0" w:color="auto"/>
              <w:right w:val="single" w:sz="4" w:space="0" w:color="auto"/>
            </w:tcBorders>
            <w:shd w:val="clear" w:color="auto" w:fill="auto"/>
            <w:noWrap/>
            <w:vAlign w:val="bottom"/>
            <w:hideMark/>
          </w:tcPr>
          <w:p w14:paraId="0A5D45A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25.01%</w:t>
            </w:r>
          </w:p>
        </w:tc>
        <w:tc>
          <w:tcPr>
            <w:tcW w:w="515" w:type="pct"/>
            <w:tcBorders>
              <w:top w:val="nil"/>
              <w:left w:val="nil"/>
              <w:bottom w:val="single" w:sz="4" w:space="0" w:color="auto"/>
              <w:right w:val="single" w:sz="4" w:space="0" w:color="auto"/>
            </w:tcBorders>
            <w:shd w:val="clear" w:color="auto" w:fill="auto"/>
            <w:noWrap/>
            <w:vAlign w:val="bottom"/>
            <w:hideMark/>
          </w:tcPr>
          <w:p w14:paraId="374571D4"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50,364</w:t>
            </w:r>
          </w:p>
        </w:tc>
        <w:tc>
          <w:tcPr>
            <w:tcW w:w="469" w:type="pct"/>
            <w:tcBorders>
              <w:top w:val="nil"/>
              <w:left w:val="nil"/>
              <w:bottom w:val="single" w:sz="4" w:space="0" w:color="auto"/>
              <w:right w:val="single" w:sz="4" w:space="0" w:color="auto"/>
            </w:tcBorders>
            <w:shd w:val="clear" w:color="auto" w:fill="auto"/>
            <w:noWrap/>
            <w:vAlign w:val="bottom"/>
            <w:hideMark/>
          </w:tcPr>
          <w:p w14:paraId="7E2CB644"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25.32%</w:t>
            </w:r>
          </w:p>
        </w:tc>
        <w:tc>
          <w:tcPr>
            <w:tcW w:w="516" w:type="pct"/>
            <w:tcBorders>
              <w:top w:val="nil"/>
              <w:left w:val="nil"/>
              <w:bottom w:val="single" w:sz="4" w:space="0" w:color="auto"/>
              <w:right w:val="single" w:sz="4" w:space="0" w:color="auto"/>
            </w:tcBorders>
            <w:shd w:val="clear" w:color="auto" w:fill="auto"/>
            <w:noWrap/>
            <w:vAlign w:val="bottom"/>
            <w:hideMark/>
          </w:tcPr>
          <w:p w14:paraId="14595042"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44,537</w:t>
            </w:r>
          </w:p>
        </w:tc>
        <w:tc>
          <w:tcPr>
            <w:tcW w:w="469" w:type="pct"/>
            <w:tcBorders>
              <w:top w:val="nil"/>
              <w:left w:val="nil"/>
              <w:bottom w:val="single" w:sz="4" w:space="0" w:color="auto"/>
              <w:right w:val="single" w:sz="4" w:space="0" w:color="auto"/>
            </w:tcBorders>
            <w:shd w:val="clear" w:color="auto" w:fill="auto"/>
            <w:noWrap/>
            <w:vAlign w:val="bottom"/>
            <w:hideMark/>
          </w:tcPr>
          <w:p w14:paraId="4168A9B3"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21.08%</w:t>
            </w:r>
          </w:p>
        </w:tc>
        <w:tc>
          <w:tcPr>
            <w:tcW w:w="516" w:type="pct"/>
            <w:tcBorders>
              <w:top w:val="nil"/>
              <w:left w:val="nil"/>
              <w:bottom w:val="single" w:sz="4" w:space="0" w:color="auto"/>
              <w:right w:val="single" w:sz="4" w:space="0" w:color="auto"/>
            </w:tcBorders>
            <w:shd w:val="clear" w:color="auto" w:fill="auto"/>
            <w:noWrap/>
            <w:vAlign w:val="bottom"/>
            <w:hideMark/>
          </w:tcPr>
          <w:p w14:paraId="67431AEE"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44,537</w:t>
            </w:r>
          </w:p>
        </w:tc>
        <w:tc>
          <w:tcPr>
            <w:tcW w:w="464" w:type="pct"/>
            <w:tcBorders>
              <w:top w:val="nil"/>
              <w:left w:val="nil"/>
              <w:bottom w:val="single" w:sz="4" w:space="0" w:color="auto"/>
              <w:right w:val="single" w:sz="4" w:space="0" w:color="auto"/>
            </w:tcBorders>
            <w:shd w:val="clear" w:color="auto" w:fill="auto"/>
            <w:noWrap/>
            <w:vAlign w:val="bottom"/>
            <w:hideMark/>
          </w:tcPr>
          <w:p w14:paraId="146D13AD"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21.08%</w:t>
            </w:r>
          </w:p>
        </w:tc>
      </w:tr>
      <w:tr w:rsidR="0017157E" w:rsidRPr="00C106AC" w14:paraId="7452FE10"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vAlign w:val="bottom"/>
            <w:hideMark/>
          </w:tcPr>
          <w:p w14:paraId="717DED78"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18-64</w:t>
            </w:r>
          </w:p>
        </w:tc>
        <w:tc>
          <w:tcPr>
            <w:tcW w:w="516" w:type="pct"/>
            <w:tcBorders>
              <w:top w:val="nil"/>
              <w:left w:val="nil"/>
              <w:bottom w:val="single" w:sz="4" w:space="0" w:color="auto"/>
              <w:right w:val="single" w:sz="4" w:space="0" w:color="auto"/>
            </w:tcBorders>
            <w:shd w:val="clear" w:color="auto" w:fill="auto"/>
            <w:noWrap/>
            <w:vAlign w:val="bottom"/>
            <w:hideMark/>
          </w:tcPr>
          <w:p w14:paraId="070C0298"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117,235</w:t>
            </w:r>
          </w:p>
        </w:tc>
        <w:tc>
          <w:tcPr>
            <w:tcW w:w="516" w:type="pct"/>
            <w:tcBorders>
              <w:top w:val="nil"/>
              <w:left w:val="nil"/>
              <w:bottom w:val="single" w:sz="4" w:space="0" w:color="auto"/>
              <w:right w:val="single" w:sz="4" w:space="0" w:color="auto"/>
            </w:tcBorders>
            <w:shd w:val="clear" w:color="auto" w:fill="auto"/>
            <w:noWrap/>
            <w:vAlign w:val="bottom"/>
            <w:hideMark/>
          </w:tcPr>
          <w:p w14:paraId="72CC2734"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66.21%</w:t>
            </w:r>
          </w:p>
        </w:tc>
        <w:tc>
          <w:tcPr>
            <w:tcW w:w="515" w:type="pct"/>
            <w:tcBorders>
              <w:top w:val="nil"/>
              <w:left w:val="nil"/>
              <w:bottom w:val="single" w:sz="4" w:space="0" w:color="auto"/>
              <w:right w:val="single" w:sz="4" w:space="0" w:color="auto"/>
            </w:tcBorders>
            <w:shd w:val="clear" w:color="auto" w:fill="auto"/>
            <w:noWrap/>
            <w:vAlign w:val="bottom"/>
            <w:hideMark/>
          </w:tcPr>
          <w:p w14:paraId="1D08F99E"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128,990</w:t>
            </w:r>
          </w:p>
        </w:tc>
        <w:tc>
          <w:tcPr>
            <w:tcW w:w="469" w:type="pct"/>
            <w:tcBorders>
              <w:top w:val="nil"/>
              <w:left w:val="nil"/>
              <w:bottom w:val="single" w:sz="4" w:space="0" w:color="auto"/>
              <w:right w:val="single" w:sz="4" w:space="0" w:color="auto"/>
            </w:tcBorders>
            <w:shd w:val="clear" w:color="auto" w:fill="auto"/>
            <w:noWrap/>
            <w:vAlign w:val="bottom"/>
            <w:hideMark/>
          </w:tcPr>
          <w:p w14:paraId="7C5CE275"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64.86%</w:t>
            </w:r>
          </w:p>
        </w:tc>
        <w:tc>
          <w:tcPr>
            <w:tcW w:w="516" w:type="pct"/>
            <w:tcBorders>
              <w:top w:val="nil"/>
              <w:left w:val="nil"/>
              <w:bottom w:val="single" w:sz="4" w:space="0" w:color="auto"/>
              <w:right w:val="single" w:sz="4" w:space="0" w:color="auto"/>
            </w:tcBorders>
            <w:shd w:val="clear" w:color="auto" w:fill="auto"/>
            <w:noWrap/>
            <w:vAlign w:val="bottom"/>
            <w:hideMark/>
          </w:tcPr>
          <w:p w14:paraId="1268AE53"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142,252</w:t>
            </w:r>
          </w:p>
        </w:tc>
        <w:tc>
          <w:tcPr>
            <w:tcW w:w="469" w:type="pct"/>
            <w:tcBorders>
              <w:top w:val="nil"/>
              <w:left w:val="nil"/>
              <w:bottom w:val="single" w:sz="4" w:space="0" w:color="auto"/>
              <w:right w:val="single" w:sz="4" w:space="0" w:color="auto"/>
            </w:tcBorders>
            <w:shd w:val="clear" w:color="auto" w:fill="auto"/>
            <w:noWrap/>
            <w:vAlign w:val="bottom"/>
            <w:hideMark/>
          </w:tcPr>
          <w:p w14:paraId="54F45787"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67.33%</w:t>
            </w:r>
          </w:p>
        </w:tc>
        <w:tc>
          <w:tcPr>
            <w:tcW w:w="516" w:type="pct"/>
            <w:tcBorders>
              <w:top w:val="nil"/>
              <w:left w:val="nil"/>
              <w:bottom w:val="single" w:sz="4" w:space="0" w:color="auto"/>
              <w:right w:val="single" w:sz="4" w:space="0" w:color="auto"/>
            </w:tcBorders>
            <w:shd w:val="clear" w:color="auto" w:fill="auto"/>
            <w:noWrap/>
            <w:vAlign w:val="bottom"/>
            <w:hideMark/>
          </w:tcPr>
          <w:p w14:paraId="3CCECAC8"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142,252</w:t>
            </w:r>
          </w:p>
        </w:tc>
        <w:tc>
          <w:tcPr>
            <w:tcW w:w="464" w:type="pct"/>
            <w:tcBorders>
              <w:top w:val="nil"/>
              <w:left w:val="nil"/>
              <w:bottom w:val="single" w:sz="4" w:space="0" w:color="auto"/>
              <w:right w:val="single" w:sz="4" w:space="0" w:color="auto"/>
            </w:tcBorders>
            <w:shd w:val="clear" w:color="auto" w:fill="auto"/>
            <w:noWrap/>
            <w:vAlign w:val="bottom"/>
            <w:hideMark/>
          </w:tcPr>
          <w:p w14:paraId="64463458"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67.33%</w:t>
            </w:r>
          </w:p>
        </w:tc>
      </w:tr>
      <w:tr w:rsidR="0017157E" w:rsidRPr="00C106AC" w14:paraId="493089D1"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vAlign w:val="bottom"/>
            <w:hideMark/>
          </w:tcPr>
          <w:p w14:paraId="2EE9B3CF"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65+</w:t>
            </w:r>
          </w:p>
        </w:tc>
        <w:tc>
          <w:tcPr>
            <w:tcW w:w="516" w:type="pct"/>
            <w:tcBorders>
              <w:top w:val="nil"/>
              <w:left w:val="nil"/>
              <w:bottom w:val="single" w:sz="4" w:space="0" w:color="auto"/>
              <w:right w:val="single" w:sz="4" w:space="0" w:color="auto"/>
            </w:tcBorders>
            <w:shd w:val="clear" w:color="auto" w:fill="auto"/>
            <w:noWrap/>
            <w:vAlign w:val="bottom"/>
            <w:hideMark/>
          </w:tcPr>
          <w:p w14:paraId="56A3D9C0"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15,537</w:t>
            </w:r>
          </w:p>
        </w:tc>
        <w:tc>
          <w:tcPr>
            <w:tcW w:w="516" w:type="pct"/>
            <w:tcBorders>
              <w:top w:val="nil"/>
              <w:left w:val="nil"/>
              <w:bottom w:val="single" w:sz="4" w:space="0" w:color="auto"/>
              <w:right w:val="single" w:sz="4" w:space="0" w:color="auto"/>
            </w:tcBorders>
            <w:shd w:val="clear" w:color="auto" w:fill="auto"/>
            <w:noWrap/>
            <w:vAlign w:val="bottom"/>
            <w:hideMark/>
          </w:tcPr>
          <w:p w14:paraId="66E57483"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8.78%</w:t>
            </w:r>
          </w:p>
        </w:tc>
        <w:tc>
          <w:tcPr>
            <w:tcW w:w="515" w:type="pct"/>
            <w:tcBorders>
              <w:top w:val="nil"/>
              <w:left w:val="nil"/>
              <w:bottom w:val="single" w:sz="4" w:space="0" w:color="auto"/>
              <w:right w:val="single" w:sz="4" w:space="0" w:color="auto"/>
            </w:tcBorders>
            <w:shd w:val="clear" w:color="auto" w:fill="auto"/>
            <w:noWrap/>
            <w:vAlign w:val="bottom"/>
            <w:hideMark/>
          </w:tcPr>
          <w:p w14:paraId="0BB3B6A9"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19,531</w:t>
            </w:r>
          </w:p>
        </w:tc>
        <w:tc>
          <w:tcPr>
            <w:tcW w:w="469" w:type="pct"/>
            <w:tcBorders>
              <w:top w:val="nil"/>
              <w:left w:val="nil"/>
              <w:bottom w:val="single" w:sz="4" w:space="0" w:color="auto"/>
              <w:right w:val="single" w:sz="4" w:space="0" w:color="auto"/>
            </w:tcBorders>
            <w:shd w:val="clear" w:color="auto" w:fill="auto"/>
            <w:noWrap/>
            <w:vAlign w:val="bottom"/>
            <w:hideMark/>
          </w:tcPr>
          <w:p w14:paraId="0873288C"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9.82%</w:t>
            </w:r>
          </w:p>
        </w:tc>
        <w:tc>
          <w:tcPr>
            <w:tcW w:w="516" w:type="pct"/>
            <w:tcBorders>
              <w:top w:val="nil"/>
              <w:left w:val="nil"/>
              <w:bottom w:val="single" w:sz="4" w:space="0" w:color="auto"/>
              <w:right w:val="single" w:sz="4" w:space="0" w:color="auto"/>
            </w:tcBorders>
            <w:shd w:val="clear" w:color="auto" w:fill="auto"/>
            <w:noWrap/>
            <w:vAlign w:val="bottom"/>
            <w:hideMark/>
          </w:tcPr>
          <w:p w14:paraId="44E72A59"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24,472</w:t>
            </w:r>
          </w:p>
        </w:tc>
        <w:tc>
          <w:tcPr>
            <w:tcW w:w="469" w:type="pct"/>
            <w:tcBorders>
              <w:top w:val="nil"/>
              <w:left w:val="nil"/>
              <w:bottom w:val="single" w:sz="4" w:space="0" w:color="auto"/>
              <w:right w:val="single" w:sz="4" w:space="0" w:color="auto"/>
            </w:tcBorders>
            <w:shd w:val="clear" w:color="auto" w:fill="auto"/>
            <w:noWrap/>
            <w:vAlign w:val="bottom"/>
            <w:hideMark/>
          </w:tcPr>
          <w:p w14:paraId="7350679A"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11.58%</w:t>
            </w:r>
          </w:p>
        </w:tc>
        <w:tc>
          <w:tcPr>
            <w:tcW w:w="516" w:type="pct"/>
            <w:tcBorders>
              <w:top w:val="nil"/>
              <w:left w:val="nil"/>
              <w:bottom w:val="single" w:sz="4" w:space="0" w:color="auto"/>
              <w:right w:val="single" w:sz="4" w:space="0" w:color="auto"/>
            </w:tcBorders>
            <w:shd w:val="clear" w:color="auto" w:fill="auto"/>
            <w:noWrap/>
            <w:vAlign w:val="bottom"/>
            <w:hideMark/>
          </w:tcPr>
          <w:p w14:paraId="6EA385E3"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24,472</w:t>
            </w:r>
          </w:p>
        </w:tc>
        <w:tc>
          <w:tcPr>
            <w:tcW w:w="464" w:type="pct"/>
            <w:tcBorders>
              <w:top w:val="nil"/>
              <w:left w:val="nil"/>
              <w:bottom w:val="single" w:sz="4" w:space="0" w:color="auto"/>
              <w:right w:val="single" w:sz="4" w:space="0" w:color="auto"/>
            </w:tcBorders>
            <w:shd w:val="clear" w:color="auto" w:fill="auto"/>
            <w:noWrap/>
            <w:vAlign w:val="bottom"/>
            <w:hideMark/>
          </w:tcPr>
          <w:p w14:paraId="12545AEA"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11.58%</w:t>
            </w:r>
          </w:p>
        </w:tc>
      </w:tr>
      <w:tr w:rsidR="0017157E" w:rsidRPr="00C106AC" w14:paraId="29C74DEE"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DCE6F1"/>
            <w:noWrap/>
            <w:vAlign w:val="bottom"/>
            <w:hideMark/>
          </w:tcPr>
          <w:p w14:paraId="6623E35A" w14:textId="77777777" w:rsidR="0017157E" w:rsidRPr="00C106AC"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Family Type</w:t>
            </w:r>
          </w:p>
        </w:tc>
        <w:tc>
          <w:tcPr>
            <w:tcW w:w="516" w:type="pct"/>
            <w:tcBorders>
              <w:top w:val="nil"/>
              <w:left w:val="nil"/>
              <w:bottom w:val="single" w:sz="4" w:space="0" w:color="auto"/>
              <w:right w:val="single" w:sz="4" w:space="0" w:color="auto"/>
            </w:tcBorders>
            <w:shd w:val="clear" w:color="auto" w:fill="DCE6F1"/>
            <w:noWrap/>
            <w:vAlign w:val="bottom"/>
            <w:hideMark/>
          </w:tcPr>
          <w:p w14:paraId="09D5D807"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6BCD4055"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5" w:type="pct"/>
            <w:tcBorders>
              <w:top w:val="nil"/>
              <w:left w:val="nil"/>
              <w:bottom w:val="single" w:sz="4" w:space="0" w:color="auto"/>
              <w:right w:val="single" w:sz="4" w:space="0" w:color="auto"/>
            </w:tcBorders>
            <w:shd w:val="clear" w:color="auto" w:fill="DCE6F1"/>
            <w:noWrap/>
            <w:vAlign w:val="bottom"/>
            <w:hideMark/>
          </w:tcPr>
          <w:p w14:paraId="3C29FB22"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319423BD"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1B2BE214"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9" w:type="pct"/>
            <w:tcBorders>
              <w:top w:val="nil"/>
              <w:left w:val="nil"/>
              <w:bottom w:val="single" w:sz="4" w:space="0" w:color="auto"/>
              <w:right w:val="single" w:sz="4" w:space="0" w:color="auto"/>
            </w:tcBorders>
            <w:shd w:val="clear" w:color="auto" w:fill="DCE6F1"/>
            <w:noWrap/>
            <w:vAlign w:val="bottom"/>
            <w:hideMark/>
          </w:tcPr>
          <w:p w14:paraId="7D8CD9A0"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516" w:type="pct"/>
            <w:tcBorders>
              <w:top w:val="nil"/>
              <w:left w:val="nil"/>
              <w:bottom w:val="single" w:sz="4" w:space="0" w:color="auto"/>
              <w:right w:val="single" w:sz="4" w:space="0" w:color="auto"/>
            </w:tcBorders>
            <w:shd w:val="clear" w:color="auto" w:fill="DCE6F1"/>
            <w:noWrap/>
            <w:vAlign w:val="bottom"/>
            <w:hideMark/>
          </w:tcPr>
          <w:p w14:paraId="1F85D074"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464" w:type="pct"/>
            <w:tcBorders>
              <w:top w:val="nil"/>
              <w:left w:val="nil"/>
              <w:bottom w:val="single" w:sz="4" w:space="0" w:color="auto"/>
              <w:right w:val="single" w:sz="4" w:space="0" w:color="auto"/>
            </w:tcBorders>
            <w:shd w:val="clear" w:color="auto" w:fill="DCE6F1"/>
            <w:noWrap/>
            <w:vAlign w:val="bottom"/>
            <w:hideMark/>
          </w:tcPr>
          <w:p w14:paraId="6B9AB965" w14:textId="77777777" w:rsidR="0017157E" w:rsidRPr="00C106AC" w:rsidRDefault="5F884969" w:rsidP="5F884969">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r>
      <w:tr w:rsidR="0017157E" w:rsidRPr="00C106AC" w14:paraId="6804BD0B" w14:textId="77777777" w:rsidTr="5F884969">
        <w:trPr>
          <w:trHeight w:val="420"/>
          <w:jc w:val="center"/>
        </w:trPr>
        <w:tc>
          <w:tcPr>
            <w:tcW w:w="1019" w:type="pct"/>
            <w:tcBorders>
              <w:top w:val="nil"/>
              <w:left w:val="single" w:sz="4" w:space="0" w:color="auto"/>
              <w:bottom w:val="single" w:sz="4" w:space="0" w:color="auto"/>
              <w:right w:val="single" w:sz="4" w:space="0" w:color="auto"/>
            </w:tcBorders>
            <w:shd w:val="clear" w:color="auto" w:fill="auto"/>
            <w:noWrap/>
            <w:vAlign w:val="bottom"/>
            <w:hideMark/>
          </w:tcPr>
          <w:p w14:paraId="5E056F36" w14:textId="77777777" w:rsidR="0017157E" w:rsidRPr="00C106AC"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Families with children</w:t>
            </w:r>
          </w:p>
        </w:tc>
        <w:tc>
          <w:tcPr>
            <w:tcW w:w="516" w:type="pct"/>
            <w:tcBorders>
              <w:top w:val="nil"/>
              <w:left w:val="nil"/>
              <w:bottom w:val="single" w:sz="4" w:space="0" w:color="auto"/>
              <w:right w:val="single" w:sz="4" w:space="0" w:color="auto"/>
            </w:tcBorders>
            <w:shd w:val="clear" w:color="auto" w:fill="auto"/>
            <w:noWrap/>
            <w:vAlign w:val="bottom"/>
            <w:hideMark/>
          </w:tcPr>
          <w:p w14:paraId="11885CF6"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23,376</w:t>
            </w:r>
          </w:p>
        </w:tc>
        <w:tc>
          <w:tcPr>
            <w:tcW w:w="516" w:type="pct"/>
            <w:tcBorders>
              <w:top w:val="nil"/>
              <w:left w:val="nil"/>
              <w:bottom w:val="single" w:sz="4" w:space="0" w:color="auto"/>
              <w:right w:val="single" w:sz="4" w:space="0" w:color="auto"/>
            </w:tcBorders>
            <w:shd w:val="clear" w:color="auto" w:fill="auto"/>
            <w:noWrap/>
            <w:vAlign w:val="bottom"/>
            <w:hideMark/>
          </w:tcPr>
          <w:p w14:paraId="376303E3"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53.27%</w:t>
            </w:r>
          </w:p>
        </w:tc>
        <w:tc>
          <w:tcPr>
            <w:tcW w:w="515" w:type="pct"/>
            <w:tcBorders>
              <w:top w:val="nil"/>
              <w:left w:val="nil"/>
              <w:bottom w:val="single" w:sz="4" w:space="0" w:color="auto"/>
              <w:right w:val="single" w:sz="4" w:space="0" w:color="auto"/>
            </w:tcBorders>
            <w:shd w:val="clear" w:color="auto" w:fill="auto"/>
            <w:noWrap/>
            <w:vAlign w:val="bottom"/>
            <w:hideMark/>
          </w:tcPr>
          <w:p w14:paraId="6C98EFFB"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14,814</w:t>
            </w:r>
          </w:p>
        </w:tc>
        <w:tc>
          <w:tcPr>
            <w:tcW w:w="469" w:type="pct"/>
            <w:tcBorders>
              <w:top w:val="nil"/>
              <w:left w:val="nil"/>
              <w:bottom w:val="single" w:sz="4" w:space="0" w:color="auto"/>
              <w:right w:val="single" w:sz="4" w:space="0" w:color="auto"/>
            </w:tcBorders>
            <w:shd w:val="clear" w:color="auto" w:fill="auto"/>
            <w:noWrap/>
            <w:vAlign w:val="bottom"/>
            <w:hideMark/>
          </w:tcPr>
          <w:p w14:paraId="423B6C31"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51.34%</w:t>
            </w:r>
          </w:p>
        </w:tc>
        <w:tc>
          <w:tcPr>
            <w:tcW w:w="516" w:type="pct"/>
            <w:tcBorders>
              <w:top w:val="nil"/>
              <w:left w:val="nil"/>
              <w:bottom w:val="single" w:sz="4" w:space="0" w:color="auto"/>
              <w:right w:val="single" w:sz="4" w:space="0" w:color="auto"/>
            </w:tcBorders>
            <w:shd w:val="clear" w:color="auto" w:fill="auto"/>
            <w:noWrap/>
            <w:vAlign w:val="bottom"/>
            <w:hideMark/>
          </w:tcPr>
          <w:p w14:paraId="7CB25EF3"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23,440</w:t>
            </w:r>
          </w:p>
        </w:tc>
        <w:tc>
          <w:tcPr>
            <w:tcW w:w="469" w:type="pct"/>
            <w:tcBorders>
              <w:top w:val="nil"/>
              <w:left w:val="nil"/>
              <w:bottom w:val="single" w:sz="4" w:space="0" w:color="auto"/>
              <w:right w:val="single" w:sz="4" w:space="0" w:color="auto"/>
            </w:tcBorders>
            <w:shd w:val="clear" w:color="auto" w:fill="auto"/>
            <w:noWrap/>
            <w:vAlign w:val="bottom"/>
            <w:hideMark/>
          </w:tcPr>
          <w:p w14:paraId="61F19799"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45.47%</w:t>
            </w:r>
          </w:p>
        </w:tc>
        <w:tc>
          <w:tcPr>
            <w:tcW w:w="516" w:type="pct"/>
            <w:tcBorders>
              <w:top w:val="nil"/>
              <w:left w:val="nil"/>
              <w:bottom w:val="single" w:sz="4" w:space="0" w:color="auto"/>
              <w:right w:val="single" w:sz="4" w:space="0" w:color="auto"/>
            </w:tcBorders>
            <w:shd w:val="clear" w:color="auto" w:fill="auto"/>
            <w:noWrap/>
            <w:vAlign w:val="bottom"/>
            <w:hideMark/>
          </w:tcPr>
          <w:p w14:paraId="0C51A439"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23,440</w:t>
            </w:r>
          </w:p>
        </w:tc>
        <w:tc>
          <w:tcPr>
            <w:tcW w:w="464" w:type="pct"/>
            <w:tcBorders>
              <w:top w:val="nil"/>
              <w:left w:val="nil"/>
              <w:bottom w:val="single" w:sz="4" w:space="0" w:color="auto"/>
              <w:right w:val="single" w:sz="4" w:space="0" w:color="auto"/>
            </w:tcBorders>
            <w:shd w:val="clear" w:color="auto" w:fill="auto"/>
            <w:noWrap/>
            <w:vAlign w:val="bottom"/>
            <w:hideMark/>
          </w:tcPr>
          <w:p w14:paraId="3315D7CE" w14:textId="77777777" w:rsidR="0017157E" w:rsidRPr="00C106AC"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45.47%</w:t>
            </w:r>
          </w:p>
        </w:tc>
      </w:tr>
    </w:tbl>
    <w:p w14:paraId="1BD846AB" w14:textId="77777777" w:rsidR="0017157E" w:rsidRDefault="0017157E" w:rsidP="006A7CE2">
      <w:pPr>
        <w:spacing w:after="0"/>
      </w:pPr>
    </w:p>
    <w:p w14:paraId="4B14031D" w14:textId="77777777" w:rsidR="002B24EC" w:rsidRPr="00CB2A98" w:rsidRDefault="5F884969" w:rsidP="002F7C2E">
      <w:pPr>
        <w:pStyle w:val="Heading1"/>
        <w:spacing w:before="0" w:after="120"/>
        <w:ind w:left="360"/>
        <w:rPr>
          <w:rFonts w:ascii="Calibri" w:hAnsi="Calibri"/>
          <w:b/>
          <w:bCs/>
          <w:color w:val="000000" w:themeColor="text1"/>
          <w:sz w:val="24"/>
          <w:szCs w:val="24"/>
        </w:rPr>
      </w:pPr>
      <w:r w:rsidRPr="5F884969">
        <w:rPr>
          <w:rFonts w:ascii="Calibri" w:hAnsi="Calibri"/>
          <w:b/>
          <w:bCs/>
          <w:color w:val="000000" w:themeColor="text1"/>
          <w:sz w:val="24"/>
          <w:szCs w:val="24"/>
        </w:rPr>
        <w:lastRenderedPageBreak/>
        <w:t>Burlington-South Burlington Economic Demographics</w:t>
      </w:r>
    </w:p>
    <w:p w14:paraId="59C8513E" w14:textId="77777777" w:rsidR="002B24EC" w:rsidRPr="00CB2A98" w:rsidRDefault="5F884969" w:rsidP="5F884969">
      <w:pPr>
        <w:ind w:left="360"/>
        <w:rPr>
          <w:rFonts w:ascii="Calibri" w:hAnsi="Calibri"/>
        </w:rPr>
      </w:pPr>
      <w:r w:rsidRPr="5F884969">
        <w:rPr>
          <w:rFonts w:ascii="Calibri" w:hAnsi="Calibri"/>
        </w:rPr>
        <w:t xml:space="preserve">Based on the 2011-2015 American Community Survey, 66.7% of the Region’s population over 16 is employed in the civilian labor force with approximately 5.8% unemployed. Women represent almost 52% of the labor force.  The top three occupations in the Region are Management, Business and Science (40.6%), Sales and Office Occupations (23.16%) Service Occupations (15.36%).  The top three industries are Educational Services and Health 26.36%), Manufacturing (12.83%) and Retail (11.76%)   </w:t>
      </w:r>
    </w:p>
    <w:p w14:paraId="74E1A2F8" w14:textId="77777777" w:rsidR="002B24EC" w:rsidRDefault="5F884969" w:rsidP="5F884969">
      <w:pPr>
        <w:ind w:left="360"/>
        <w:rPr>
          <w:rFonts w:ascii="Calibri" w:hAnsi="Calibri"/>
        </w:rPr>
      </w:pPr>
      <w:r w:rsidRPr="5F884969">
        <w:rPr>
          <w:rFonts w:ascii="Calibri" w:hAnsi="Calibri"/>
        </w:rPr>
        <w:t xml:space="preserve">Over 78% of the workforce are private wage or salary employees with the remaining 14.9% government workers and almost 8% self-employed. The median income of a Burlington-South Burlington Region household is $61,387 with the highest income in Chittenden County ($65,350), Grand Isle County ($62,423) and Franklin County ($58,199). The median family income ($77,441) is considerably higher than the median nonfamily income ($35,017) by over double which accounts for dual income households. In addition median income for full-time males ($51,332) exceeds those of full-time females ($40,991) by 25%. </w:t>
      </w:r>
    </w:p>
    <w:p w14:paraId="0F35F012" w14:textId="77777777" w:rsidR="002B24EC" w:rsidRPr="002B24EC" w:rsidRDefault="5F884969" w:rsidP="002F7C2E">
      <w:pPr>
        <w:pStyle w:val="Heading1"/>
        <w:spacing w:before="0" w:after="120"/>
        <w:ind w:firstLine="360"/>
        <w:rPr>
          <w:rFonts w:ascii="Calibri" w:hAnsi="Calibri"/>
          <w:b/>
          <w:bCs/>
          <w:color w:val="000000" w:themeColor="text1"/>
          <w:sz w:val="24"/>
          <w:szCs w:val="24"/>
        </w:rPr>
      </w:pPr>
      <w:r w:rsidRPr="5F884969">
        <w:rPr>
          <w:rFonts w:ascii="Calibri" w:hAnsi="Calibri"/>
          <w:b/>
          <w:bCs/>
          <w:color w:val="000000" w:themeColor="text1"/>
          <w:sz w:val="24"/>
          <w:szCs w:val="24"/>
        </w:rPr>
        <w:t>Burlington-South Burlington Housing Demographics</w:t>
      </w:r>
    </w:p>
    <w:p w14:paraId="23478C47" w14:textId="02E25BEA" w:rsidR="002B24EC" w:rsidRPr="00343801" w:rsidRDefault="5F884969" w:rsidP="002B24EC">
      <w:pPr>
        <w:ind w:left="360"/>
      </w:pPr>
      <w:r>
        <w:t>The number of units that make up the Burlington- South Burlington Region housing inventory include renter and owner-occupied units. According to the 2010 Census, there are 92,358 units in the Region with 90% (83,242) of the units occupied. The vacancy rate in the Region is significantly higher than Burlington. There is also a higher rate of owner-occupied units at 68% and renter occupied at 32% almost the exact opposite of the housing make up in Burlington. Housing units in the Regi</w:t>
      </w:r>
      <w:r w:rsidR="00BB3EBD">
        <w:t xml:space="preserve">on demonstrates a 4% increase, </w:t>
      </w:r>
      <w:r>
        <w:t>from 88,796 units (2005-2009</w:t>
      </w:r>
      <w:proofErr w:type="gramStart"/>
      <w:r>
        <w:t>)  to</w:t>
      </w:r>
      <w:proofErr w:type="gramEnd"/>
      <w:r>
        <w:t xml:space="preserve"> the 2010 figure; the vacancy rate in the Region increased during this timeframe as well.</w:t>
      </w:r>
    </w:p>
    <w:p w14:paraId="7FF405FE" w14:textId="3BFA5483" w:rsidR="003259B2" w:rsidRDefault="003259B2" w:rsidP="00325380">
      <w:pPr>
        <w:ind w:left="360"/>
        <w:rPr>
          <w:b/>
        </w:rPr>
      </w:pPr>
    </w:p>
    <w:p w14:paraId="0D88F1CC" w14:textId="5399C97E" w:rsidR="00470E91" w:rsidRDefault="00470E91" w:rsidP="00325380">
      <w:pPr>
        <w:ind w:left="360"/>
        <w:rPr>
          <w:b/>
        </w:rPr>
      </w:pPr>
    </w:p>
    <w:p w14:paraId="4DD3D4EB" w14:textId="2D42A568" w:rsidR="00470E91" w:rsidRDefault="00470E91" w:rsidP="00325380">
      <w:pPr>
        <w:ind w:left="360"/>
        <w:rPr>
          <w:b/>
        </w:rPr>
      </w:pPr>
    </w:p>
    <w:p w14:paraId="70D062F1" w14:textId="5F3AE77E" w:rsidR="00470E91" w:rsidRDefault="00470E91" w:rsidP="00325380">
      <w:pPr>
        <w:ind w:left="360"/>
        <w:rPr>
          <w:b/>
        </w:rPr>
      </w:pPr>
    </w:p>
    <w:p w14:paraId="71CFB7EB" w14:textId="4F7CF519" w:rsidR="00470E91" w:rsidRDefault="00470E91" w:rsidP="00325380">
      <w:pPr>
        <w:ind w:left="360"/>
        <w:rPr>
          <w:b/>
        </w:rPr>
      </w:pPr>
    </w:p>
    <w:p w14:paraId="07D38F0F" w14:textId="77777777" w:rsidR="00470E91" w:rsidRDefault="00470E91" w:rsidP="00325380">
      <w:pPr>
        <w:ind w:left="360"/>
        <w:rPr>
          <w:b/>
        </w:rPr>
      </w:pPr>
    </w:p>
    <w:p w14:paraId="4F96CCDF" w14:textId="77777777" w:rsidR="003259B2" w:rsidRDefault="003259B2" w:rsidP="00325380">
      <w:pPr>
        <w:ind w:left="360"/>
        <w:rPr>
          <w:b/>
        </w:rPr>
      </w:pPr>
    </w:p>
    <w:p w14:paraId="5E24E7BB" w14:textId="22C941CF" w:rsidR="006158E2" w:rsidRDefault="006158E2" w:rsidP="003F0394">
      <w:pPr>
        <w:rPr>
          <w:b/>
        </w:rPr>
      </w:pPr>
    </w:p>
    <w:p w14:paraId="7DA53F39" w14:textId="77777777" w:rsidR="003B294F" w:rsidRDefault="003B294F" w:rsidP="003F0394">
      <w:pPr>
        <w:rPr>
          <w:b/>
        </w:rPr>
      </w:pPr>
    </w:p>
    <w:p w14:paraId="477764EB" w14:textId="77777777" w:rsidR="003B294F" w:rsidRDefault="003B294F" w:rsidP="003F0394">
      <w:pPr>
        <w:rPr>
          <w:b/>
        </w:rPr>
      </w:pPr>
    </w:p>
    <w:p w14:paraId="4A6764E9" w14:textId="77777777" w:rsidR="003B294F" w:rsidRDefault="003B294F" w:rsidP="003F0394">
      <w:pPr>
        <w:rPr>
          <w:b/>
        </w:rPr>
      </w:pPr>
    </w:p>
    <w:p w14:paraId="3A7AE57A" w14:textId="77777777" w:rsidR="006A7CE2" w:rsidRDefault="006A7CE2" w:rsidP="003F0394">
      <w:pPr>
        <w:rPr>
          <w:b/>
        </w:rPr>
      </w:pPr>
    </w:p>
    <w:p w14:paraId="05FB17D8" w14:textId="77777777" w:rsidR="00616B98" w:rsidRDefault="00616B98" w:rsidP="003F0394">
      <w:pPr>
        <w:rPr>
          <w:b/>
        </w:rPr>
      </w:pPr>
    </w:p>
    <w:p w14:paraId="1DEE6530" w14:textId="069C47A2" w:rsidR="003F0394" w:rsidRPr="00095FB4" w:rsidRDefault="003F0394" w:rsidP="003F0394">
      <w:pPr>
        <w:rPr>
          <w:b/>
          <w:color w:val="FF0000"/>
        </w:rPr>
      </w:pPr>
    </w:p>
    <w:p w14:paraId="48DACB39" w14:textId="77777777" w:rsidR="00135AD9" w:rsidRPr="00135AD9" w:rsidRDefault="5F884969" w:rsidP="002F7C2E">
      <w:pPr>
        <w:pStyle w:val="Heading1"/>
        <w:numPr>
          <w:ilvl w:val="0"/>
          <w:numId w:val="2"/>
        </w:numPr>
        <w:rPr>
          <w:rFonts w:ascii="Garamond" w:hAnsi="Garamond"/>
          <w:b/>
          <w:bCs/>
          <w:sz w:val="26"/>
          <w:szCs w:val="26"/>
        </w:rPr>
      </w:pPr>
      <w:bookmarkStart w:id="28" w:name="GeneralIssues"/>
      <w:r w:rsidRPr="5F884969">
        <w:rPr>
          <w:rFonts w:ascii="Garamond" w:hAnsi="Garamond"/>
          <w:b/>
          <w:bCs/>
          <w:sz w:val="26"/>
          <w:szCs w:val="26"/>
        </w:rPr>
        <w:lastRenderedPageBreak/>
        <w:t>General Issues</w:t>
      </w:r>
    </w:p>
    <w:p w14:paraId="0CB31ED4" w14:textId="77777777" w:rsidR="008C107F" w:rsidRPr="008C107F" w:rsidRDefault="5F884969" w:rsidP="5F884969">
      <w:pPr>
        <w:pStyle w:val="ListParagraph"/>
        <w:numPr>
          <w:ilvl w:val="1"/>
          <w:numId w:val="2"/>
        </w:numPr>
        <w:ind w:left="547" w:hanging="360"/>
        <w:contextualSpacing w:val="0"/>
        <w:rPr>
          <w:rFonts w:ascii="Garamond" w:hAnsi="Garamond"/>
          <w:b/>
          <w:bCs/>
          <w:sz w:val="24"/>
          <w:szCs w:val="24"/>
        </w:rPr>
      </w:pPr>
      <w:bookmarkStart w:id="29" w:name="SegregationIntegration"/>
      <w:bookmarkEnd w:id="28"/>
      <w:r w:rsidRPr="5F884969">
        <w:rPr>
          <w:rFonts w:ascii="Garamond" w:hAnsi="Garamond"/>
          <w:b/>
          <w:bCs/>
          <w:sz w:val="24"/>
          <w:szCs w:val="24"/>
        </w:rPr>
        <w:t>Segregation/Integration</w:t>
      </w:r>
    </w:p>
    <w:bookmarkEnd w:id="29"/>
    <w:p w14:paraId="4EB26BAE" w14:textId="77777777" w:rsidR="00B326AB" w:rsidRPr="00684669" w:rsidRDefault="5F884969" w:rsidP="002F7C2E">
      <w:pPr>
        <w:pStyle w:val="ListParagraph"/>
        <w:ind w:left="540"/>
        <w:outlineLvl w:val="0"/>
        <w:rPr>
          <w:b/>
          <w:bCs/>
          <w:u w:val="single"/>
        </w:rPr>
      </w:pPr>
      <w:r w:rsidRPr="5F884969">
        <w:rPr>
          <w:b/>
          <w:bCs/>
          <w:u w:val="single"/>
        </w:rPr>
        <w:t>Key Findings</w:t>
      </w:r>
    </w:p>
    <w:p w14:paraId="2DD9C2AF" w14:textId="77777777" w:rsidR="008C107F" w:rsidRDefault="5F884969" w:rsidP="00943EE1">
      <w:pPr>
        <w:pStyle w:val="ListParagraph"/>
        <w:numPr>
          <w:ilvl w:val="0"/>
          <w:numId w:val="6"/>
        </w:numPr>
        <w:spacing w:after="0" w:line="240" w:lineRule="auto"/>
        <w:ind w:left="900"/>
      </w:pPr>
      <w:r>
        <w:t>Segregation between White and Nonwhite populations remain low for both within Burlington and throughout the Burlington-South Burlington Region.</w:t>
      </w:r>
    </w:p>
    <w:p w14:paraId="160E9090" w14:textId="77777777" w:rsidR="008C107F" w:rsidRDefault="5F884969" w:rsidP="00943EE1">
      <w:pPr>
        <w:pStyle w:val="ListParagraph"/>
        <w:numPr>
          <w:ilvl w:val="0"/>
          <w:numId w:val="6"/>
        </w:numPr>
        <w:spacing w:after="0" w:line="240" w:lineRule="auto"/>
        <w:ind w:left="900"/>
      </w:pPr>
      <w:r>
        <w:t>Segregation between White and Nonwhite populations have been steadily increasing since 1990 both within Burlington and throughout the greater region.</w:t>
      </w:r>
    </w:p>
    <w:p w14:paraId="47CCA7BF" w14:textId="77777777" w:rsidR="008C107F" w:rsidRDefault="5F884969" w:rsidP="00943EE1">
      <w:pPr>
        <w:pStyle w:val="ListParagraph"/>
        <w:numPr>
          <w:ilvl w:val="0"/>
          <w:numId w:val="6"/>
        </w:numPr>
        <w:spacing w:after="0" w:line="240" w:lineRule="auto"/>
        <w:ind w:left="900"/>
      </w:pPr>
      <w:r>
        <w:t>Within Burlington, the overall spatial distribution of segregation between populations has not changed significantly since 1990.</w:t>
      </w:r>
    </w:p>
    <w:p w14:paraId="11A4A344" w14:textId="74181F99" w:rsidR="008B027E" w:rsidRDefault="5F884969" w:rsidP="00943EE1">
      <w:pPr>
        <w:pStyle w:val="ListParagraph"/>
        <w:numPr>
          <w:ilvl w:val="0"/>
          <w:numId w:val="6"/>
        </w:numPr>
        <w:spacing w:after="0" w:line="240" w:lineRule="auto"/>
        <w:ind w:left="900"/>
      </w:pPr>
      <w:r>
        <w:t>Population density maps based on National origin and Limited English Proficiency (LEP) show evidence of segregation in Burlington, VT.</w:t>
      </w:r>
    </w:p>
    <w:p w14:paraId="114C3683" w14:textId="04FC103B" w:rsidR="008C107F" w:rsidRDefault="5F884969" w:rsidP="00943EE1">
      <w:pPr>
        <w:pStyle w:val="ListParagraph"/>
        <w:numPr>
          <w:ilvl w:val="0"/>
          <w:numId w:val="6"/>
        </w:numPr>
        <w:spacing w:after="0" w:line="240" w:lineRule="auto"/>
        <w:ind w:left="900"/>
      </w:pPr>
      <w:r>
        <w:t>Areas in Burlington that show the highest density of non-white populations also have the highest percentage of renter-occupied housing.</w:t>
      </w:r>
    </w:p>
    <w:p w14:paraId="55075510" w14:textId="77777777" w:rsidR="00245756" w:rsidRDefault="00245756" w:rsidP="00684669">
      <w:pPr>
        <w:pStyle w:val="ListParagraph"/>
        <w:spacing w:after="0" w:line="240" w:lineRule="auto"/>
        <w:ind w:left="900"/>
      </w:pPr>
    </w:p>
    <w:p w14:paraId="33D3F730" w14:textId="0D19B36C" w:rsidR="008C107F" w:rsidRPr="00245756" w:rsidRDefault="5F884969" w:rsidP="002F7C2E">
      <w:pPr>
        <w:pStyle w:val="ListParagraph"/>
        <w:ind w:left="540"/>
        <w:outlineLvl w:val="0"/>
        <w:rPr>
          <w:b/>
          <w:bCs/>
          <w:u w:val="single"/>
        </w:rPr>
      </w:pPr>
      <w:r w:rsidRPr="5F884969">
        <w:rPr>
          <w:b/>
          <w:bCs/>
          <w:u w:val="single"/>
        </w:rPr>
        <w:t>Analysis</w:t>
      </w:r>
    </w:p>
    <w:p w14:paraId="65BEBDBC" w14:textId="49CD9706" w:rsidR="006158E2" w:rsidRPr="002F0F91" w:rsidRDefault="5F884969" w:rsidP="5F884969">
      <w:pPr>
        <w:pStyle w:val="ListParagraph"/>
        <w:spacing w:after="0"/>
        <w:ind w:left="547"/>
        <w:rPr>
          <w:b/>
          <w:bCs/>
          <w:i/>
        </w:rPr>
      </w:pPr>
      <w:r w:rsidRPr="002F0F91">
        <w:rPr>
          <w:b/>
          <w:bCs/>
          <w:i/>
        </w:rPr>
        <w:t xml:space="preserve"> Describe and compare segregation levels in the jurisdiction and region.  Identify the racial/ethnic groups that experience the highest levels of segregation. </w:t>
      </w:r>
    </w:p>
    <w:p w14:paraId="6181B235" w14:textId="5D822FFE" w:rsidR="008C107F" w:rsidRDefault="5F884969" w:rsidP="5F884969">
      <w:pPr>
        <w:ind w:left="540"/>
        <w:rPr>
          <w:rFonts w:ascii="Calibri" w:hAnsi="Calibri"/>
        </w:rPr>
      </w:pPr>
      <w:r w:rsidRPr="5F884969">
        <w:rPr>
          <w:rFonts w:ascii="Calibri" w:hAnsi="Calibri"/>
        </w:rPr>
        <w:t>To analyze segregation levels within Burlington and the surrounding region, we use racial/ethnic dissimilarity trend data provided by HUD. The dissimilarity index measures the degree to which two groups are evenly distributed across a ge</w:t>
      </w:r>
      <w:r w:rsidR="003877D2">
        <w:rPr>
          <w:rFonts w:ascii="Calibri" w:hAnsi="Calibri"/>
        </w:rPr>
        <w:t>ographic area (shown in Table 13</w:t>
      </w:r>
      <w:r w:rsidRPr="5F884969">
        <w:rPr>
          <w:rFonts w:ascii="Calibri" w:hAnsi="Calibri"/>
        </w:rPr>
        <w:t xml:space="preserve">). Values range from 0 to 100, where higher values denote a larger degree of segregation. Segregation is considered “low” when dissimilarity values are between 0 and 39, “moderate” when values are between 40 and 54, and “high” when values are 55 or above. </w:t>
      </w:r>
    </w:p>
    <w:p w14:paraId="479E7E16" w14:textId="77777777" w:rsidR="008C107F" w:rsidRPr="00B41296" w:rsidRDefault="5F884969" w:rsidP="002F7C2E">
      <w:pPr>
        <w:spacing w:after="0"/>
        <w:ind w:left="540"/>
        <w:outlineLvl w:val="0"/>
        <w:rPr>
          <w:rFonts w:ascii="Calibri" w:hAnsi="Calibri"/>
          <w:b/>
          <w:bCs/>
          <w:i/>
          <w:iCs/>
        </w:rPr>
      </w:pPr>
      <w:r w:rsidRPr="5F884969">
        <w:rPr>
          <w:rFonts w:ascii="Calibri" w:hAnsi="Calibri"/>
          <w:b/>
          <w:bCs/>
          <w:i/>
          <w:iCs/>
        </w:rPr>
        <w:t xml:space="preserve">Burlington </w:t>
      </w:r>
    </w:p>
    <w:p w14:paraId="2657DBE0" w14:textId="476E25A5" w:rsidR="008C107F" w:rsidRDefault="5F884969" w:rsidP="5F884969">
      <w:pPr>
        <w:ind w:left="540"/>
        <w:rPr>
          <w:rFonts w:ascii="Calibri" w:hAnsi="Calibri"/>
        </w:rPr>
      </w:pPr>
      <w:r w:rsidRPr="5F884969">
        <w:rPr>
          <w:rFonts w:ascii="Calibri" w:hAnsi="Calibri"/>
        </w:rPr>
        <w:t>As of 2010, segregation in Burlington is considered low between all measured racial/ethnic groups. Integration is the highest between Hispanic and White population, while segregation is the highest between Black and White Populations. Dissimilarity is generally lower within Burlington than the greater Burlington-South Burlington region.</w:t>
      </w:r>
    </w:p>
    <w:p w14:paraId="383BC548" w14:textId="26D9ABD2" w:rsidR="0017157E" w:rsidRDefault="003877D2" w:rsidP="5F884969">
      <w:pPr>
        <w:spacing w:after="0"/>
        <w:ind w:left="540"/>
        <w:rPr>
          <w:rFonts w:ascii="Calibri" w:eastAsia="Times New Roman" w:hAnsi="Calibri"/>
          <w:color w:val="000000" w:themeColor="text1"/>
          <w:sz w:val="20"/>
          <w:szCs w:val="20"/>
        </w:rPr>
      </w:pPr>
      <w:r>
        <w:rPr>
          <w:rFonts w:ascii="Calibri" w:hAnsi="Calibri"/>
          <w:b/>
          <w:bCs/>
          <w:i/>
          <w:iCs/>
          <w:sz w:val="20"/>
          <w:szCs w:val="20"/>
        </w:rPr>
        <w:t>Table 13</w:t>
      </w:r>
      <w:r w:rsidR="5F884969" w:rsidRPr="5F884969">
        <w:rPr>
          <w:rFonts w:ascii="Calibri" w:hAnsi="Calibri"/>
          <w:b/>
          <w:bCs/>
          <w:i/>
          <w:iCs/>
          <w:sz w:val="20"/>
          <w:szCs w:val="20"/>
        </w:rPr>
        <w:t>:</w:t>
      </w:r>
      <w:r w:rsidR="5F884969" w:rsidRPr="5F884969">
        <w:rPr>
          <w:rFonts w:ascii="Calibri" w:hAnsi="Calibri"/>
          <w:sz w:val="20"/>
          <w:szCs w:val="20"/>
        </w:rPr>
        <w:t xml:space="preserve"> Racial/Ethnic Dissimilarity Trends in Burlington, VT and the Burlington-South Burlington Region. Source: </w:t>
      </w:r>
      <w:r w:rsidR="5F884969" w:rsidRPr="5F884969">
        <w:rPr>
          <w:rFonts w:ascii="Calibri" w:eastAsia="Times New Roman" w:hAnsi="Calibri"/>
          <w:color w:val="000000" w:themeColor="text1"/>
          <w:sz w:val="20"/>
          <w:szCs w:val="20"/>
        </w:rPr>
        <w:t xml:space="preserve">and Brown Longitudinal Survey using Decennial Census data for years 1990, 2000 and 2010. </w:t>
      </w:r>
    </w:p>
    <w:tbl>
      <w:tblPr>
        <w:tblW w:w="8822" w:type="dxa"/>
        <w:jc w:val="center"/>
        <w:tblLayout w:type="fixed"/>
        <w:tblLook w:val="04A0" w:firstRow="1" w:lastRow="0" w:firstColumn="1" w:lastColumn="0" w:noHBand="0" w:noVBand="1"/>
      </w:tblPr>
      <w:tblGrid>
        <w:gridCol w:w="2480"/>
        <w:gridCol w:w="984"/>
        <w:gridCol w:w="1038"/>
        <w:gridCol w:w="990"/>
        <w:gridCol w:w="1080"/>
        <w:gridCol w:w="1170"/>
        <w:gridCol w:w="1080"/>
      </w:tblGrid>
      <w:tr w:rsidR="0017157E" w:rsidRPr="002177D3" w14:paraId="6619321F" w14:textId="77777777" w:rsidTr="5F884969">
        <w:trPr>
          <w:trHeight w:val="350"/>
          <w:jc w:val="center"/>
        </w:trPr>
        <w:tc>
          <w:tcPr>
            <w:tcW w:w="8822" w:type="dxa"/>
            <w:gridSpan w:val="7"/>
            <w:tcBorders>
              <w:top w:val="single" w:sz="4" w:space="0" w:color="auto"/>
              <w:left w:val="single" w:sz="4" w:space="0" w:color="auto"/>
              <w:bottom w:val="single" w:sz="4" w:space="0" w:color="auto"/>
              <w:right w:val="single" w:sz="4" w:space="0" w:color="000000" w:themeColor="text1"/>
            </w:tcBorders>
            <w:shd w:val="clear" w:color="auto" w:fill="FFFFFF" w:themeFill="background1"/>
            <w:noWrap/>
            <w:hideMark/>
          </w:tcPr>
          <w:p w14:paraId="0044AFCE" w14:textId="54A97140" w:rsidR="0017157E" w:rsidRPr="002177D3" w:rsidRDefault="003877D2" w:rsidP="5F884969">
            <w:pPr>
              <w:spacing w:after="0"/>
              <w:rPr>
                <w:rFonts w:ascii="Calibri" w:eastAsia="Times New Roman" w:hAnsi="Calibri"/>
                <w:b/>
                <w:bCs/>
                <w:color w:val="000000" w:themeColor="text1"/>
              </w:rPr>
            </w:pPr>
            <w:r>
              <w:rPr>
                <w:rFonts w:ascii="Calibri" w:eastAsia="Times New Roman" w:hAnsi="Calibri"/>
                <w:b/>
                <w:bCs/>
                <w:color w:val="000000" w:themeColor="text1"/>
              </w:rPr>
              <w:t>Table 13</w:t>
            </w:r>
            <w:r w:rsidR="5F884969" w:rsidRPr="5F884969">
              <w:rPr>
                <w:rFonts w:ascii="Calibri" w:eastAsia="Times New Roman" w:hAnsi="Calibri"/>
                <w:b/>
                <w:bCs/>
                <w:color w:val="000000" w:themeColor="text1"/>
              </w:rPr>
              <w:t>: Racial/Ethnic Dissimilarity Trends</w:t>
            </w:r>
          </w:p>
        </w:tc>
      </w:tr>
      <w:tr w:rsidR="0017157E" w:rsidRPr="002177D3" w14:paraId="0D1E3C1F" w14:textId="77777777" w:rsidTr="5F884969">
        <w:trPr>
          <w:trHeight w:val="593"/>
          <w:jc w:val="center"/>
        </w:trPr>
        <w:tc>
          <w:tcPr>
            <w:tcW w:w="2480" w:type="dxa"/>
            <w:vMerge w:val="restart"/>
            <w:tcBorders>
              <w:top w:val="nil"/>
              <w:left w:val="single" w:sz="4" w:space="0" w:color="auto"/>
              <w:bottom w:val="single" w:sz="4" w:space="0" w:color="000000" w:themeColor="text1"/>
              <w:right w:val="single" w:sz="4" w:space="0" w:color="auto"/>
            </w:tcBorders>
            <w:shd w:val="clear" w:color="auto" w:fill="D9D9D9" w:themeFill="background1" w:themeFillShade="D9"/>
            <w:noWrap/>
            <w:hideMark/>
          </w:tcPr>
          <w:p w14:paraId="6FA4C99E" w14:textId="77777777" w:rsidR="0017157E" w:rsidRPr="002177D3" w:rsidRDefault="0017157E" w:rsidP="0025019A">
            <w:pPr>
              <w:spacing w:after="0"/>
              <w:jc w:val="center"/>
              <w:rPr>
                <w:rFonts w:ascii="Calibri" w:eastAsia="Times New Roman" w:hAnsi="Calibri"/>
                <w:b/>
                <w:bCs/>
                <w:color w:val="000000"/>
              </w:rPr>
            </w:pPr>
          </w:p>
        </w:tc>
        <w:tc>
          <w:tcPr>
            <w:tcW w:w="3012" w:type="dxa"/>
            <w:gridSpan w:val="3"/>
            <w:tcBorders>
              <w:top w:val="single" w:sz="4" w:space="0" w:color="auto"/>
              <w:left w:val="nil"/>
              <w:bottom w:val="single" w:sz="4" w:space="0" w:color="auto"/>
              <w:right w:val="single" w:sz="4" w:space="0" w:color="000000" w:themeColor="text1"/>
            </w:tcBorders>
            <w:shd w:val="clear" w:color="auto" w:fill="D9D9D9" w:themeFill="background1" w:themeFillShade="D9"/>
            <w:hideMark/>
          </w:tcPr>
          <w:p w14:paraId="1FD7B261" w14:textId="77777777" w:rsidR="0017157E" w:rsidRPr="002177D3"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Burlington</w:t>
            </w:r>
          </w:p>
        </w:tc>
        <w:tc>
          <w:tcPr>
            <w:tcW w:w="3330" w:type="dxa"/>
            <w:gridSpan w:val="3"/>
            <w:tcBorders>
              <w:top w:val="single" w:sz="4" w:space="0" w:color="auto"/>
              <w:left w:val="nil"/>
              <w:bottom w:val="single" w:sz="4" w:space="0" w:color="auto"/>
              <w:right w:val="single" w:sz="4" w:space="0" w:color="000000" w:themeColor="text1"/>
            </w:tcBorders>
            <w:shd w:val="clear" w:color="auto" w:fill="D9D9D9" w:themeFill="background1" w:themeFillShade="D9"/>
            <w:hideMark/>
          </w:tcPr>
          <w:p w14:paraId="30E2F002" w14:textId="77777777" w:rsidR="0017157E" w:rsidRPr="002177D3"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Burlington-South Burlington Region</w:t>
            </w:r>
          </w:p>
        </w:tc>
      </w:tr>
      <w:tr w:rsidR="0017157E" w:rsidRPr="002177D3" w14:paraId="5679AEFB" w14:textId="77777777" w:rsidTr="5F884969">
        <w:trPr>
          <w:trHeight w:val="420"/>
          <w:jc w:val="center"/>
        </w:trPr>
        <w:tc>
          <w:tcPr>
            <w:tcW w:w="2480" w:type="dxa"/>
            <w:vMerge/>
            <w:tcBorders>
              <w:top w:val="nil"/>
              <w:left w:val="single" w:sz="4" w:space="0" w:color="auto"/>
              <w:bottom w:val="single" w:sz="4" w:space="0" w:color="000000"/>
              <w:right w:val="single" w:sz="4" w:space="0" w:color="auto"/>
            </w:tcBorders>
            <w:hideMark/>
          </w:tcPr>
          <w:p w14:paraId="5BF51800" w14:textId="77777777" w:rsidR="0017157E" w:rsidRPr="002177D3" w:rsidRDefault="0017157E" w:rsidP="0025019A">
            <w:pPr>
              <w:spacing w:after="0"/>
              <w:jc w:val="center"/>
              <w:rPr>
                <w:rFonts w:ascii="Calibri" w:eastAsia="Times New Roman" w:hAnsi="Calibri"/>
                <w:b/>
                <w:bCs/>
                <w:color w:val="000000"/>
              </w:rPr>
            </w:pPr>
          </w:p>
        </w:tc>
        <w:tc>
          <w:tcPr>
            <w:tcW w:w="984" w:type="dxa"/>
            <w:tcBorders>
              <w:top w:val="nil"/>
              <w:left w:val="nil"/>
              <w:bottom w:val="single" w:sz="4" w:space="0" w:color="auto"/>
              <w:right w:val="single" w:sz="4" w:space="0" w:color="auto"/>
            </w:tcBorders>
            <w:shd w:val="clear" w:color="auto" w:fill="D9D9D9" w:themeFill="background1" w:themeFillShade="D9"/>
            <w:noWrap/>
            <w:hideMark/>
          </w:tcPr>
          <w:p w14:paraId="64A68E51" w14:textId="77777777" w:rsidR="0017157E" w:rsidRPr="002177D3"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1990</w:t>
            </w:r>
          </w:p>
        </w:tc>
        <w:tc>
          <w:tcPr>
            <w:tcW w:w="1038" w:type="dxa"/>
            <w:tcBorders>
              <w:top w:val="nil"/>
              <w:left w:val="nil"/>
              <w:bottom w:val="single" w:sz="4" w:space="0" w:color="auto"/>
              <w:right w:val="single" w:sz="4" w:space="0" w:color="auto"/>
            </w:tcBorders>
            <w:shd w:val="clear" w:color="auto" w:fill="D9D9D9" w:themeFill="background1" w:themeFillShade="D9"/>
            <w:noWrap/>
            <w:hideMark/>
          </w:tcPr>
          <w:p w14:paraId="64AE9CDB" w14:textId="77777777" w:rsidR="0017157E" w:rsidRPr="002177D3"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2000</w:t>
            </w:r>
          </w:p>
        </w:tc>
        <w:tc>
          <w:tcPr>
            <w:tcW w:w="990" w:type="dxa"/>
            <w:tcBorders>
              <w:top w:val="nil"/>
              <w:left w:val="nil"/>
              <w:bottom w:val="single" w:sz="4" w:space="0" w:color="auto"/>
              <w:right w:val="single" w:sz="4" w:space="0" w:color="auto"/>
            </w:tcBorders>
            <w:shd w:val="clear" w:color="auto" w:fill="D9D9D9" w:themeFill="background1" w:themeFillShade="D9"/>
            <w:noWrap/>
            <w:hideMark/>
          </w:tcPr>
          <w:p w14:paraId="19C458D3" w14:textId="77777777" w:rsidR="0017157E" w:rsidRPr="002177D3"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2010</w:t>
            </w:r>
          </w:p>
        </w:tc>
        <w:tc>
          <w:tcPr>
            <w:tcW w:w="1080" w:type="dxa"/>
            <w:tcBorders>
              <w:top w:val="nil"/>
              <w:left w:val="nil"/>
              <w:bottom w:val="single" w:sz="4" w:space="0" w:color="auto"/>
              <w:right w:val="single" w:sz="4" w:space="0" w:color="auto"/>
            </w:tcBorders>
            <w:shd w:val="clear" w:color="auto" w:fill="D9D9D9" w:themeFill="background1" w:themeFillShade="D9"/>
            <w:noWrap/>
            <w:hideMark/>
          </w:tcPr>
          <w:p w14:paraId="1C905346" w14:textId="77777777" w:rsidR="0017157E" w:rsidRPr="002177D3"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1990</w:t>
            </w:r>
          </w:p>
        </w:tc>
        <w:tc>
          <w:tcPr>
            <w:tcW w:w="1170" w:type="dxa"/>
            <w:tcBorders>
              <w:top w:val="nil"/>
              <w:left w:val="nil"/>
              <w:bottom w:val="single" w:sz="4" w:space="0" w:color="auto"/>
              <w:right w:val="single" w:sz="4" w:space="0" w:color="auto"/>
            </w:tcBorders>
            <w:shd w:val="clear" w:color="auto" w:fill="D9D9D9" w:themeFill="background1" w:themeFillShade="D9"/>
            <w:noWrap/>
            <w:hideMark/>
          </w:tcPr>
          <w:p w14:paraId="67D755E1" w14:textId="77777777" w:rsidR="0017157E" w:rsidRPr="002177D3"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2000</w:t>
            </w:r>
          </w:p>
        </w:tc>
        <w:tc>
          <w:tcPr>
            <w:tcW w:w="1080" w:type="dxa"/>
            <w:tcBorders>
              <w:top w:val="nil"/>
              <w:left w:val="nil"/>
              <w:bottom w:val="single" w:sz="4" w:space="0" w:color="auto"/>
              <w:right w:val="single" w:sz="4" w:space="0" w:color="auto"/>
            </w:tcBorders>
            <w:shd w:val="clear" w:color="auto" w:fill="D9D9D9" w:themeFill="background1" w:themeFillShade="D9"/>
            <w:noWrap/>
            <w:hideMark/>
          </w:tcPr>
          <w:p w14:paraId="4B069472" w14:textId="77777777" w:rsidR="0017157E" w:rsidRPr="002177D3"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2010</w:t>
            </w:r>
          </w:p>
        </w:tc>
      </w:tr>
      <w:tr w:rsidR="0017157E" w:rsidRPr="002177D3" w14:paraId="43BD2DD4" w14:textId="77777777" w:rsidTr="5F884969">
        <w:trPr>
          <w:trHeight w:val="620"/>
          <w:jc w:val="center"/>
        </w:trPr>
        <w:tc>
          <w:tcPr>
            <w:tcW w:w="2480" w:type="dxa"/>
            <w:tcBorders>
              <w:top w:val="nil"/>
              <w:left w:val="single" w:sz="4" w:space="0" w:color="auto"/>
              <w:bottom w:val="single" w:sz="4" w:space="0" w:color="auto"/>
              <w:right w:val="single" w:sz="4" w:space="0" w:color="auto"/>
            </w:tcBorders>
            <w:shd w:val="clear" w:color="auto" w:fill="auto"/>
            <w:hideMark/>
          </w:tcPr>
          <w:p w14:paraId="153ABDA9" w14:textId="77777777" w:rsidR="0017157E" w:rsidRPr="002177D3"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Non-White/White</w:t>
            </w:r>
          </w:p>
        </w:tc>
        <w:tc>
          <w:tcPr>
            <w:tcW w:w="984" w:type="dxa"/>
            <w:tcBorders>
              <w:top w:val="nil"/>
              <w:left w:val="nil"/>
              <w:bottom w:val="single" w:sz="4" w:space="0" w:color="auto"/>
              <w:right w:val="single" w:sz="4" w:space="0" w:color="auto"/>
            </w:tcBorders>
            <w:shd w:val="clear" w:color="auto" w:fill="auto"/>
            <w:noWrap/>
            <w:hideMark/>
          </w:tcPr>
          <w:p w14:paraId="098AB425"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12.37</w:t>
            </w:r>
          </w:p>
        </w:tc>
        <w:tc>
          <w:tcPr>
            <w:tcW w:w="1038" w:type="dxa"/>
            <w:tcBorders>
              <w:top w:val="nil"/>
              <w:left w:val="nil"/>
              <w:bottom w:val="single" w:sz="4" w:space="0" w:color="auto"/>
              <w:right w:val="single" w:sz="4" w:space="0" w:color="auto"/>
            </w:tcBorders>
            <w:shd w:val="clear" w:color="auto" w:fill="auto"/>
            <w:noWrap/>
            <w:hideMark/>
          </w:tcPr>
          <w:p w14:paraId="292DA850"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17.17</w:t>
            </w:r>
          </w:p>
        </w:tc>
        <w:tc>
          <w:tcPr>
            <w:tcW w:w="990" w:type="dxa"/>
            <w:tcBorders>
              <w:top w:val="nil"/>
              <w:left w:val="nil"/>
              <w:bottom w:val="single" w:sz="4" w:space="0" w:color="auto"/>
              <w:right w:val="single" w:sz="4" w:space="0" w:color="auto"/>
            </w:tcBorders>
            <w:shd w:val="clear" w:color="auto" w:fill="auto"/>
            <w:noWrap/>
            <w:hideMark/>
          </w:tcPr>
          <w:p w14:paraId="579ED9BB"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18.85</w:t>
            </w:r>
          </w:p>
        </w:tc>
        <w:tc>
          <w:tcPr>
            <w:tcW w:w="1080" w:type="dxa"/>
            <w:tcBorders>
              <w:top w:val="nil"/>
              <w:left w:val="nil"/>
              <w:bottom w:val="single" w:sz="4" w:space="0" w:color="auto"/>
              <w:right w:val="single" w:sz="4" w:space="0" w:color="auto"/>
            </w:tcBorders>
            <w:shd w:val="clear" w:color="auto" w:fill="auto"/>
            <w:noWrap/>
            <w:hideMark/>
          </w:tcPr>
          <w:p w14:paraId="0413BE84"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21.69</w:t>
            </w:r>
          </w:p>
        </w:tc>
        <w:tc>
          <w:tcPr>
            <w:tcW w:w="1170" w:type="dxa"/>
            <w:tcBorders>
              <w:top w:val="nil"/>
              <w:left w:val="nil"/>
              <w:bottom w:val="single" w:sz="4" w:space="0" w:color="auto"/>
              <w:right w:val="single" w:sz="4" w:space="0" w:color="auto"/>
            </w:tcBorders>
            <w:shd w:val="clear" w:color="auto" w:fill="auto"/>
            <w:noWrap/>
            <w:hideMark/>
          </w:tcPr>
          <w:p w14:paraId="048090CB"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22.48</w:t>
            </w:r>
          </w:p>
        </w:tc>
        <w:tc>
          <w:tcPr>
            <w:tcW w:w="1080" w:type="dxa"/>
            <w:tcBorders>
              <w:top w:val="nil"/>
              <w:left w:val="nil"/>
              <w:bottom w:val="single" w:sz="4" w:space="0" w:color="auto"/>
              <w:right w:val="single" w:sz="4" w:space="0" w:color="auto"/>
            </w:tcBorders>
            <w:shd w:val="clear" w:color="auto" w:fill="auto"/>
            <w:noWrap/>
            <w:hideMark/>
          </w:tcPr>
          <w:p w14:paraId="533F701F"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24.30</w:t>
            </w:r>
          </w:p>
        </w:tc>
      </w:tr>
      <w:tr w:rsidR="0017157E" w:rsidRPr="002177D3" w14:paraId="7DE87B1A" w14:textId="77777777" w:rsidTr="5F884969">
        <w:trPr>
          <w:trHeight w:val="512"/>
          <w:jc w:val="center"/>
        </w:trPr>
        <w:tc>
          <w:tcPr>
            <w:tcW w:w="2480" w:type="dxa"/>
            <w:tcBorders>
              <w:top w:val="nil"/>
              <w:left w:val="single" w:sz="4" w:space="0" w:color="auto"/>
              <w:bottom w:val="single" w:sz="4" w:space="0" w:color="auto"/>
              <w:right w:val="single" w:sz="4" w:space="0" w:color="auto"/>
            </w:tcBorders>
            <w:shd w:val="clear" w:color="auto" w:fill="auto"/>
            <w:hideMark/>
          </w:tcPr>
          <w:p w14:paraId="4B93EC51" w14:textId="77777777" w:rsidR="0017157E" w:rsidRPr="002177D3"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Black/White</w:t>
            </w:r>
          </w:p>
        </w:tc>
        <w:tc>
          <w:tcPr>
            <w:tcW w:w="984" w:type="dxa"/>
            <w:tcBorders>
              <w:top w:val="nil"/>
              <w:left w:val="nil"/>
              <w:bottom w:val="single" w:sz="4" w:space="0" w:color="auto"/>
              <w:right w:val="single" w:sz="4" w:space="0" w:color="auto"/>
            </w:tcBorders>
            <w:shd w:val="clear" w:color="auto" w:fill="auto"/>
            <w:noWrap/>
            <w:hideMark/>
          </w:tcPr>
          <w:p w14:paraId="04DDB227"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9.48</w:t>
            </w:r>
          </w:p>
        </w:tc>
        <w:tc>
          <w:tcPr>
            <w:tcW w:w="1038" w:type="dxa"/>
            <w:tcBorders>
              <w:top w:val="nil"/>
              <w:left w:val="nil"/>
              <w:bottom w:val="single" w:sz="4" w:space="0" w:color="auto"/>
              <w:right w:val="single" w:sz="4" w:space="0" w:color="auto"/>
            </w:tcBorders>
            <w:shd w:val="clear" w:color="auto" w:fill="auto"/>
            <w:noWrap/>
            <w:hideMark/>
          </w:tcPr>
          <w:p w14:paraId="480823A9"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21.38</w:t>
            </w:r>
          </w:p>
        </w:tc>
        <w:tc>
          <w:tcPr>
            <w:tcW w:w="990" w:type="dxa"/>
            <w:tcBorders>
              <w:top w:val="nil"/>
              <w:left w:val="nil"/>
              <w:bottom w:val="single" w:sz="4" w:space="0" w:color="auto"/>
              <w:right w:val="single" w:sz="4" w:space="0" w:color="auto"/>
            </w:tcBorders>
            <w:shd w:val="clear" w:color="auto" w:fill="auto"/>
            <w:noWrap/>
            <w:hideMark/>
          </w:tcPr>
          <w:p w14:paraId="7B4CEBA6"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27.46</w:t>
            </w:r>
          </w:p>
        </w:tc>
        <w:tc>
          <w:tcPr>
            <w:tcW w:w="1080" w:type="dxa"/>
            <w:tcBorders>
              <w:top w:val="nil"/>
              <w:left w:val="nil"/>
              <w:bottom w:val="single" w:sz="4" w:space="0" w:color="auto"/>
              <w:right w:val="single" w:sz="4" w:space="0" w:color="auto"/>
            </w:tcBorders>
            <w:shd w:val="clear" w:color="auto" w:fill="auto"/>
            <w:noWrap/>
            <w:hideMark/>
          </w:tcPr>
          <w:p w14:paraId="50F936AA"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31.96</w:t>
            </w:r>
          </w:p>
        </w:tc>
        <w:tc>
          <w:tcPr>
            <w:tcW w:w="1170" w:type="dxa"/>
            <w:tcBorders>
              <w:top w:val="nil"/>
              <w:left w:val="nil"/>
              <w:bottom w:val="single" w:sz="4" w:space="0" w:color="auto"/>
              <w:right w:val="single" w:sz="4" w:space="0" w:color="auto"/>
            </w:tcBorders>
            <w:shd w:val="clear" w:color="auto" w:fill="auto"/>
            <w:noWrap/>
            <w:hideMark/>
          </w:tcPr>
          <w:p w14:paraId="03B2FF3D"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33.01</w:t>
            </w:r>
          </w:p>
        </w:tc>
        <w:tc>
          <w:tcPr>
            <w:tcW w:w="1080" w:type="dxa"/>
            <w:tcBorders>
              <w:top w:val="nil"/>
              <w:left w:val="nil"/>
              <w:bottom w:val="single" w:sz="4" w:space="0" w:color="auto"/>
              <w:right w:val="single" w:sz="4" w:space="0" w:color="auto"/>
            </w:tcBorders>
            <w:shd w:val="clear" w:color="auto" w:fill="auto"/>
            <w:noWrap/>
            <w:hideMark/>
          </w:tcPr>
          <w:p w14:paraId="04F674B8"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36.14</w:t>
            </w:r>
          </w:p>
        </w:tc>
      </w:tr>
      <w:tr w:rsidR="0017157E" w:rsidRPr="002177D3" w14:paraId="62DF6504" w14:textId="77777777" w:rsidTr="5F884969">
        <w:trPr>
          <w:trHeight w:val="485"/>
          <w:jc w:val="center"/>
        </w:trPr>
        <w:tc>
          <w:tcPr>
            <w:tcW w:w="2480" w:type="dxa"/>
            <w:tcBorders>
              <w:top w:val="nil"/>
              <w:left w:val="single" w:sz="4" w:space="0" w:color="auto"/>
              <w:bottom w:val="single" w:sz="4" w:space="0" w:color="auto"/>
              <w:right w:val="single" w:sz="4" w:space="0" w:color="auto"/>
            </w:tcBorders>
            <w:shd w:val="clear" w:color="auto" w:fill="auto"/>
            <w:hideMark/>
          </w:tcPr>
          <w:p w14:paraId="5AC7807E" w14:textId="77777777" w:rsidR="0017157E" w:rsidRPr="002177D3"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Hispanic/White</w:t>
            </w:r>
          </w:p>
        </w:tc>
        <w:tc>
          <w:tcPr>
            <w:tcW w:w="984" w:type="dxa"/>
            <w:tcBorders>
              <w:top w:val="nil"/>
              <w:left w:val="nil"/>
              <w:bottom w:val="single" w:sz="4" w:space="0" w:color="auto"/>
              <w:right w:val="single" w:sz="4" w:space="0" w:color="auto"/>
            </w:tcBorders>
            <w:shd w:val="clear" w:color="auto" w:fill="auto"/>
            <w:noWrap/>
            <w:hideMark/>
          </w:tcPr>
          <w:p w14:paraId="329938EB"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17.72</w:t>
            </w:r>
          </w:p>
        </w:tc>
        <w:tc>
          <w:tcPr>
            <w:tcW w:w="1038" w:type="dxa"/>
            <w:tcBorders>
              <w:top w:val="nil"/>
              <w:left w:val="nil"/>
              <w:bottom w:val="single" w:sz="4" w:space="0" w:color="auto"/>
              <w:right w:val="single" w:sz="4" w:space="0" w:color="auto"/>
            </w:tcBorders>
            <w:shd w:val="clear" w:color="auto" w:fill="auto"/>
            <w:noWrap/>
            <w:hideMark/>
          </w:tcPr>
          <w:p w14:paraId="3B294C5D"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11.45</w:t>
            </w:r>
          </w:p>
        </w:tc>
        <w:tc>
          <w:tcPr>
            <w:tcW w:w="990" w:type="dxa"/>
            <w:tcBorders>
              <w:top w:val="nil"/>
              <w:left w:val="nil"/>
              <w:bottom w:val="single" w:sz="4" w:space="0" w:color="auto"/>
              <w:right w:val="single" w:sz="4" w:space="0" w:color="auto"/>
            </w:tcBorders>
            <w:shd w:val="clear" w:color="auto" w:fill="auto"/>
            <w:noWrap/>
            <w:hideMark/>
          </w:tcPr>
          <w:p w14:paraId="3A636015"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11.23</w:t>
            </w:r>
          </w:p>
        </w:tc>
        <w:tc>
          <w:tcPr>
            <w:tcW w:w="1080" w:type="dxa"/>
            <w:tcBorders>
              <w:top w:val="nil"/>
              <w:left w:val="nil"/>
              <w:bottom w:val="single" w:sz="4" w:space="0" w:color="auto"/>
              <w:right w:val="single" w:sz="4" w:space="0" w:color="auto"/>
            </w:tcBorders>
            <w:shd w:val="clear" w:color="auto" w:fill="auto"/>
            <w:noWrap/>
            <w:hideMark/>
          </w:tcPr>
          <w:p w14:paraId="1169C65F"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23.39</w:t>
            </w:r>
          </w:p>
        </w:tc>
        <w:tc>
          <w:tcPr>
            <w:tcW w:w="1170" w:type="dxa"/>
            <w:tcBorders>
              <w:top w:val="nil"/>
              <w:left w:val="nil"/>
              <w:bottom w:val="single" w:sz="4" w:space="0" w:color="auto"/>
              <w:right w:val="single" w:sz="4" w:space="0" w:color="auto"/>
            </w:tcBorders>
            <w:shd w:val="clear" w:color="auto" w:fill="auto"/>
            <w:noWrap/>
            <w:hideMark/>
          </w:tcPr>
          <w:p w14:paraId="21EBDB98"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18.14</w:t>
            </w:r>
          </w:p>
        </w:tc>
        <w:tc>
          <w:tcPr>
            <w:tcW w:w="1080" w:type="dxa"/>
            <w:tcBorders>
              <w:top w:val="nil"/>
              <w:left w:val="nil"/>
              <w:bottom w:val="single" w:sz="4" w:space="0" w:color="auto"/>
              <w:right w:val="single" w:sz="4" w:space="0" w:color="auto"/>
            </w:tcBorders>
            <w:shd w:val="clear" w:color="auto" w:fill="auto"/>
            <w:noWrap/>
            <w:hideMark/>
          </w:tcPr>
          <w:p w14:paraId="705408B8"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18.70</w:t>
            </w:r>
          </w:p>
        </w:tc>
      </w:tr>
      <w:tr w:rsidR="0017157E" w:rsidRPr="002177D3" w14:paraId="3E8DABBD" w14:textId="77777777" w:rsidTr="5F884969">
        <w:trPr>
          <w:trHeight w:val="719"/>
          <w:jc w:val="center"/>
        </w:trPr>
        <w:tc>
          <w:tcPr>
            <w:tcW w:w="2480" w:type="dxa"/>
            <w:tcBorders>
              <w:top w:val="nil"/>
              <w:left w:val="single" w:sz="4" w:space="0" w:color="auto"/>
              <w:bottom w:val="single" w:sz="4" w:space="0" w:color="auto"/>
              <w:right w:val="single" w:sz="4" w:space="0" w:color="auto"/>
            </w:tcBorders>
            <w:shd w:val="clear" w:color="auto" w:fill="auto"/>
            <w:hideMark/>
          </w:tcPr>
          <w:p w14:paraId="2F333321" w14:textId="77777777" w:rsidR="0017157E" w:rsidRPr="002177D3"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Asian or Pacific Islander/White</w:t>
            </w:r>
          </w:p>
        </w:tc>
        <w:tc>
          <w:tcPr>
            <w:tcW w:w="984" w:type="dxa"/>
            <w:tcBorders>
              <w:top w:val="nil"/>
              <w:left w:val="nil"/>
              <w:bottom w:val="single" w:sz="4" w:space="0" w:color="auto"/>
              <w:right w:val="single" w:sz="4" w:space="0" w:color="auto"/>
            </w:tcBorders>
            <w:shd w:val="clear" w:color="auto" w:fill="auto"/>
            <w:noWrap/>
            <w:hideMark/>
          </w:tcPr>
          <w:p w14:paraId="5A3D494F"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15.87</w:t>
            </w:r>
          </w:p>
        </w:tc>
        <w:tc>
          <w:tcPr>
            <w:tcW w:w="1038" w:type="dxa"/>
            <w:tcBorders>
              <w:top w:val="nil"/>
              <w:left w:val="nil"/>
              <w:bottom w:val="single" w:sz="4" w:space="0" w:color="auto"/>
              <w:right w:val="single" w:sz="4" w:space="0" w:color="auto"/>
            </w:tcBorders>
            <w:shd w:val="clear" w:color="auto" w:fill="auto"/>
            <w:noWrap/>
            <w:hideMark/>
          </w:tcPr>
          <w:p w14:paraId="7C32511C"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19.16</w:t>
            </w:r>
          </w:p>
        </w:tc>
        <w:tc>
          <w:tcPr>
            <w:tcW w:w="990" w:type="dxa"/>
            <w:tcBorders>
              <w:top w:val="nil"/>
              <w:left w:val="nil"/>
              <w:bottom w:val="single" w:sz="4" w:space="0" w:color="auto"/>
              <w:right w:val="single" w:sz="4" w:space="0" w:color="auto"/>
            </w:tcBorders>
            <w:shd w:val="clear" w:color="auto" w:fill="auto"/>
            <w:noWrap/>
            <w:hideMark/>
          </w:tcPr>
          <w:p w14:paraId="315E9137"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20.74</w:t>
            </w:r>
          </w:p>
        </w:tc>
        <w:tc>
          <w:tcPr>
            <w:tcW w:w="1080" w:type="dxa"/>
            <w:tcBorders>
              <w:top w:val="nil"/>
              <w:left w:val="nil"/>
              <w:bottom w:val="single" w:sz="4" w:space="0" w:color="auto"/>
              <w:right w:val="single" w:sz="4" w:space="0" w:color="auto"/>
            </w:tcBorders>
            <w:shd w:val="clear" w:color="auto" w:fill="auto"/>
            <w:noWrap/>
            <w:hideMark/>
          </w:tcPr>
          <w:p w14:paraId="13F5B024"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33.94</w:t>
            </w:r>
          </w:p>
        </w:tc>
        <w:tc>
          <w:tcPr>
            <w:tcW w:w="1170" w:type="dxa"/>
            <w:tcBorders>
              <w:top w:val="nil"/>
              <w:left w:val="nil"/>
              <w:bottom w:val="single" w:sz="4" w:space="0" w:color="auto"/>
              <w:right w:val="single" w:sz="4" w:space="0" w:color="auto"/>
            </w:tcBorders>
            <w:shd w:val="clear" w:color="auto" w:fill="auto"/>
            <w:noWrap/>
            <w:hideMark/>
          </w:tcPr>
          <w:p w14:paraId="537321A7"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37.17</w:t>
            </w:r>
          </w:p>
        </w:tc>
        <w:tc>
          <w:tcPr>
            <w:tcW w:w="1080" w:type="dxa"/>
            <w:tcBorders>
              <w:top w:val="nil"/>
              <w:left w:val="nil"/>
              <w:bottom w:val="single" w:sz="4" w:space="0" w:color="auto"/>
              <w:right w:val="single" w:sz="4" w:space="0" w:color="auto"/>
            </w:tcBorders>
            <w:shd w:val="clear" w:color="auto" w:fill="auto"/>
            <w:noWrap/>
            <w:hideMark/>
          </w:tcPr>
          <w:p w14:paraId="02DEF5F0" w14:textId="77777777" w:rsidR="0017157E" w:rsidRPr="002177D3"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36.34</w:t>
            </w:r>
          </w:p>
        </w:tc>
      </w:tr>
    </w:tbl>
    <w:p w14:paraId="34626042" w14:textId="77777777" w:rsidR="008C107F" w:rsidRPr="00B41296" w:rsidRDefault="5F884969" w:rsidP="00D62795">
      <w:pPr>
        <w:spacing w:after="0"/>
        <w:ind w:firstLine="540"/>
        <w:rPr>
          <w:rFonts w:ascii="Calibri" w:hAnsi="Calibri"/>
          <w:i/>
          <w:iCs/>
        </w:rPr>
      </w:pPr>
      <w:r w:rsidRPr="5F884969">
        <w:rPr>
          <w:rFonts w:ascii="Calibri" w:hAnsi="Calibri"/>
          <w:b/>
          <w:bCs/>
          <w:i/>
          <w:iCs/>
        </w:rPr>
        <w:lastRenderedPageBreak/>
        <w:t>Burlington-South Burlington Region</w:t>
      </w:r>
    </w:p>
    <w:p w14:paraId="3D139A72" w14:textId="0160C121" w:rsidR="008C107F" w:rsidRDefault="5F884969" w:rsidP="5F884969">
      <w:pPr>
        <w:ind w:left="540"/>
        <w:rPr>
          <w:rFonts w:ascii="Calibri" w:hAnsi="Calibri"/>
        </w:rPr>
      </w:pPr>
      <w:r w:rsidRPr="5F884969">
        <w:rPr>
          <w:rFonts w:ascii="Calibri" w:hAnsi="Calibri"/>
        </w:rPr>
        <w:t xml:space="preserve">In the greater Burlington-South Burlington region, racial/ethnic dissimilarity between Non-White and White populations, as well as Hispanic and White populations show low levels of segregation. </w:t>
      </w:r>
    </w:p>
    <w:p w14:paraId="3418D26B" w14:textId="6E28E2F8" w:rsidR="00B326AB" w:rsidRDefault="5F884969" w:rsidP="5F884969">
      <w:pPr>
        <w:ind w:left="540"/>
        <w:rPr>
          <w:rFonts w:ascii="Calibri" w:hAnsi="Calibri"/>
        </w:rPr>
      </w:pPr>
      <w:r w:rsidRPr="5F884969">
        <w:rPr>
          <w:rFonts w:ascii="Calibri" w:hAnsi="Calibri"/>
        </w:rPr>
        <w:t>As we see within Burlington, the greater region also shows the highest level of segregation between Asian or Pacific Islander and White populations, and the lowest segregation levels between Hispanic and White Populations. Dissimilarity is higher overall in the Burlington-South Burlington region when compared to the Burlington jurisdiction.</w:t>
      </w:r>
    </w:p>
    <w:p w14:paraId="374D25E4" w14:textId="0B3353A8" w:rsidR="006158E2" w:rsidRPr="002F0F91" w:rsidRDefault="5F884969" w:rsidP="5F884969">
      <w:pPr>
        <w:pStyle w:val="ListParagraph"/>
        <w:ind w:left="540"/>
        <w:rPr>
          <w:b/>
          <w:bCs/>
          <w:i/>
        </w:rPr>
      </w:pPr>
      <w:r w:rsidRPr="002F0F91">
        <w:rPr>
          <w:b/>
          <w:bCs/>
          <w:i/>
        </w:rPr>
        <w:t>Identify areas with relatively high segregation and integration by race/ethnicity, national origin, or LEP group, and indicate the predominant groups living in each area.</w:t>
      </w:r>
    </w:p>
    <w:p w14:paraId="4269899D" w14:textId="10C3F101" w:rsidR="00CE5257" w:rsidRPr="0017157E" w:rsidRDefault="5F884969" w:rsidP="005D4EF7">
      <w:pPr>
        <w:ind w:left="540"/>
        <w:rPr>
          <w:rFonts w:ascii="Calibri" w:eastAsia="Times New Roman" w:hAnsi="Calibri"/>
        </w:rPr>
      </w:pPr>
      <w:r w:rsidRPr="5F884969">
        <w:rPr>
          <w:rFonts w:ascii="Calibri" w:eastAsia="Times New Roman" w:hAnsi="Calibri"/>
        </w:rPr>
        <w:t xml:space="preserve">Using the AFH mapping tool, it is difficult to see the geographic distribution of segregation and integration within Burlington. This is due to the overall population being primarily white, to the point that white population density visually crowds out non-white population densities (see </w:t>
      </w:r>
      <w:r w:rsidRPr="006E23A5">
        <w:rPr>
          <w:rFonts w:ascii="Calibri" w:eastAsia="Times New Roman" w:hAnsi="Calibri"/>
        </w:rPr>
        <w:t>Map 1</w:t>
      </w:r>
      <w:r w:rsidRPr="5F884969">
        <w:rPr>
          <w:rFonts w:ascii="Calibri" w:eastAsia="Times New Roman" w:hAnsi="Calibri"/>
        </w:rPr>
        <w:t>).</w:t>
      </w:r>
    </w:p>
    <w:p w14:paraId="181C3764" w14:textId="77777777" w:rsidR="00FD0864" w:rsidRPr="00FD0864" w:rsidRDefault="5F884969" w:rsidP="5F884969">
      <w:pPr>
        <w:spacing w:after="0"/>
        <w:ind w:left="540"/>
        <w:rPr>
          <w:sz w:val="20"/>
          <w:szCs w:val="20"/>
        </w:rPr>
      </w:pPr>
      <w:r w:rsidRPr="5F884969">
        <w:rPr>
          <w:b/>
          <w:bCs/>
          <w:i/>
          <w:iCs/>
          <w:sz w:val="20"/>
          <w:szCs w:val="20"/>
        </w:rPr>
        <w:t>Map 1:</w:t>
      </w:r>
      <w:r w:rsidRPr="5F884969">
        <w:rPr>
          <w:sz w:val="20"/>
          <w:szCs w:val="20"/>
        </w:rPr>
        <w:t xml:space="preserve"> Map of 2010 Racial/Ethnic Group population density in Burlington-South Burlington Region. </w:t>
      </w:r>
    </w:p>
    <w:p w14:paraId="0D85C841" w14:textId="77777777" w:rsidR="00FD0864" w:rsidRPr="00FD0864" w:rsidRDefault="5F884969" w:rsidP="5F884969">
      <w:pPr>
        <w:spacing w:after="0"/>
        <w:ind w:left="540"/>
        <w:rPr>
          <w:sz w:val="20"/>
          <w:szCs w:val="20"/>
        </w:rPr>
      </w:pPr>
      <w:r w:rsidRPr="5F884969">
        <w:rPr>
          <w:sz w:val="20"/>
          <w:szCs w:val="20"/>
        </w:rPr>
        <w:t>Including the White, Non-Hispanic population density makes it difficult to see population densities of non-white populations. Source: Decennial Census.</w:t>
      </w:r>
    </w:p>
    <w:p w14:paraId="62AC4DA5" w14:textId="55AD3915" w:rsidR="00FD0864" w:rsidRDefault="00FD0864" w:rsidP="00FD0864">
      <w:pPr>
        <w:spacing w:after="0"/>
        <w:ind w:left="540"/>
      </w:pPr>
      <w:r>
        <w:rPr>
          <w:noProof/>
          <w:lang w:eastAsia="en-US"/>
        </w:rPr>
        <w:drawing>
          <wp:inline distT="0" distB="0" distL="0" distR="0" wp14:anchorId="072BA151" wp14:editId="190C6CE6">
            <wp:extent cx="5357483" cy="3012440"/>
            <wp:effectExtent l="25400" t="25400" r="27940" b="35560"/>
            <wp:docPr id="9" name="Picture 9" descr="../Desktop/New%20HUD%20Maps/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New%20HUD%20Maps/Map1.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419603" cy="3047369"/>
                    </a:xfrm>
                    <a:prstGeom prst="rect">
                      <a:avLst/>
                    </a:prstGeom>
                    <a:noFill/>
                    <a:ln>
                      <a:solidFill>
                        <a:schemeClr val="tx1"/>
                      </a:solidFill>
                    </a:ln>
                  </pic:spPr>
                </pic:pic>
              </a:graphicData>
            </a:graphic>
          </wp:inline>
        </w:drawing>
      </w:r>
    </w:p>
    <w:p w14:paraId="7173C699" w14:textId="77777777" w:rsidR="00FD0864" w:rsidRDefault="00FD0864" w:rsidP="005D4EF7">
      <w:pPr>
        <w:spacing w:after="0"/>
      </w:pPr>
    </w:p>
    <w:p w14:paraId="1B4D03E1" w14:textId="3B866861" w:rsidR="008F5E82" w:rsidRDefault="5F884969" w:rsidP="5F884969">
      <w:pPr>
        <w:ind w:left="540"/>
        <w:rPr>
          <w:rFonts w:ascii="Calibri" w:eastAsia="Times New Roman" w:hAnsi="Calibri"/>
        </w:rPr>
      </w:pPr>
      <w:r w:rsidRPr="5F884969">
        <w:rPr>
          <w:rFonts w:ascii="Calibri" w:eastAsia="Times New Roman" w:hAnsi="Calibri"/>
        </w:rPr>
        <w:t xml:space="preserve">To compensate for this, we removed the white population density to allow us to see how non-white population densities are distributed throughout the Burlington-South Burlington region. This is shown in </w:t>
      </w:r>
      <w:r w:rsidRPr="006E23A5">
        <w:rPr>
          <w:rFonts w:ascii="Calibri" w:eastAsia="Times New Roman" w:hAnsi="Calibri"/>
        </w:rPr>
        <w:t xml:space="preserve">maps 2-4 </w:t>
      </w:r>
      <w:r w:rsidRPr="5F884969">
        <w:rPr>
          <w:rFonts w:ascii="Calibri" w:eastAsia="Times New Roman" w:hAnsi="Calibri"/>
        </w:rPr>
        <w:t xml:space="preserve">shown below. These maps tell us that population densities have slightly increased over time, but the geographic distribution of different populations has not changed significantly between 1990 and 2010, with concentrations of non-white populations higher in Burlington’s Old North End (census tracts 3, 4 and 5),  the New North End (census tract 1), and Winooski (census tracts 24 and 25). White Populations densities are also higher in these areas, but seem to be more distributed throughout the region than non-white populations. </w:t>
      </w:r>
      <w:r w:rsidRPr="006E23A5">
        <w:rPr>
          <w:rFonts w:ascii="Calibri" w:eastAsia="Times New Roman" w:hAnsi="Calibri"/>
        </w:rPr>
        <w:t>See map 7</w:t>
      </w:r>
      <w:r w:rsidRPr="5F884969">
        <w:rPr>
          <w:rFonts w:ascii="Calibri" w:eastAsia="Times New Roman" w:hAnsi="Calibri"/>
        </w:rPr>
        <w:t xml:space="preserve"> for detail regarding Burlington census tracts.</w:t>
      </w:r>
    </w:p>
    <w:p w14:paraId="67BE7B6D" w14:textId="72912786" w:rsidR="008F5E82" w:rsidRDefault="5F884969" w:rsidP="5F884969">
      <w:pPr>
        <w:ind w:left="540"/>
        <w:rPr>
          <w:rFonts w:ascii="Calibri" w:eastAsia="Times New Roman" w:hAnsi="Calibri"/>
        </w:rPr>
      </w:pPr>
      <w:r w:rsidRPr="5F884969">
        <w:rPr>
          <w:rFonts w:ascii="Calibri" w:eastAsia="Times New Roman" w:hAnsi="Calibri"/>
        </w:rPr>
        <w:lastRenderedPageBreak/>
        <w:t>While we can see the overall distribution of different racial/ethnic populations, it is difficult to say how overall segregation/integration has changed overtime in these areas based solely on the mapping tool provided by HUD, since doing so would require us to better visual detail how density distributions of non-white populations compare to non-white populations.</w:t>
      </w:r>
    </w:p>
    <w:p w14:paraId="305DFB3C" w14:textId="62FD47C6" w:rsidR="008804AD" w:rsidRDefault="5F884969" w:rsidP="008804AD">
      <w:pPr>
        <w:ind w:left="540"/>
        <w:rPr>
          <w:rFonts w:ascii="Calibri" w:eastAsia="Times New Roman" w:hAnsi="Calibri"/>
        </w:rPr>
      </w:pPr>
      <w:r w:rsidRPr="5F884969">
        <w:rPr>
          <w:rFonts w:ascii="Calibri" w:eastAsia="Times New Roman" w:hAnsi="Calibri"/>
        </w:rPr>
        <w:t>It should also be noted that there are mapping errors present in this data, resulting in many density dots being placed in the middle of Lake Champlain, further muddling the story that these maps are designed to tell. However, this only effects the analysis for census tract</w:t>
      </w:r>
      <w:r w:rsidR="00F10EBB">
        <w:rPr>
          <w:rFonts w:ascii="Calibri" w:eastAsia="Times New Roman" w:hAnsi="Calibri"/>
        </w:rPr>
        <w:t xml:space="preserve"> 2, since it is that tract </w:t>
      </w:r>
      <w:r w:rsidRPr="5F884969">
        <w:rPr>
          <w:rFonts w:ascii="Calibri" w:eastAsia="Times New Roman" w:hAnsi="Calibri"/>
        </w:rPr>
        <w:t>which has a boundary encompassing Lake Champlain. Therefore, for all future maps, dots that appear in Lake Champlain are actually representing people within the land portion of census tract 2.</w:t>
      </w:r>
    </w:p>
    <w:p w14:paraId="0CBA72A6" w14:textId="77777777" w:rsidR="008804AD" w:rsidRDefault="008804AD" w:rsidP="008804AD">
      <w:pPr>
        <w:ind w:left="540"/>
        <w:rPr>
          <w:rFonts w:ascii="Calibri" w:eastAsia="Times New Roman" w:hAnsi="Calibri"/>
        </w:rPr>
      </w:pPr>
    </w:p>
    <w:p w14:paraId="67CCFB88" w14:textId="77777777" w:rsidR="008804AD" w:rsidRDefault="008804AD" w:rsidP="008804AD">
      <w:pPr>
        <w:ind w:left="540"/>
        <w:rPr>
          <w:rFonts w:ascii="Calibri" w:eastAsia="Times New Roman" w:hAnsi="Calibri"/>
        </w:rPr>
      </w:pPr>
    </w:p>
    <w:p w14:paraId="3DDA7735" w14:textId="77777777" w:rsidR="008804AD" w:rsidRDefault="008804AD" w:rsidP="008804AD">
      <w:pPr>
        <w:ind w:left="540"/>
        <w:rPr>
          <w:rFonts w:ascii="Calibri" w:eastAsia="Times New Roman" w:hAnsi="Calibri"/>
        </w:rPr>
      </w:pPr>
    </w:p>
    <w:p w14:paraId="011C0E30" w14:textId="77777777" w:rsidR="008804AD" w:rsidRDefault="008804AD" w:rsidP="008804AD">
      <w:pPr>
        <w:ind w:left="540"/>
        <w:rPr>
          <w:rFonts w:ascii="Calibri" w:eastAsia="Times New Roman" w:hAnsi="Calibri"/>
        </w:rPr>
      </w:pPr>
    </w:p>
    <w:p w14:paraId="2C590A6D" w14:textId="77777777" w:rsidR="008804AD" w:rsidRDefault="008804AD" w:rsidP="008804AD">
      <w:pPr>
        <w:ind w:left="540"/>
        <w:rPr>
          <w:rFonts w:ascii="Calibri" w:eastAsia="Times New Roman" w:hAnsi="Calibri"/>
        </w:rPr>
      </w:pPr>
    </w:p>
    <w:p w14:paraId="6EF1B9E8" w14:textId="77777777" w:rsidR="008804AD" w:rsidRDefault="008804AD" w:rsidP="008804AD">
      <w:pPr>
        <w:ind w:left="540"/>
        <w:rPr>
          <w:rFonts w:ascii="Calibri" w:eastAsia="Times New Roman" w:hAnsi="Calibri"/>
        </w:rPr>
      </w:pPr>
    </w:p>
    <w:p w14:paraId="4A75FB78" w14:textId="77777777" w:rsidR="008804AD" w:rsidRDefault="008804AD" w:rsidP="008804AD">
      <w:pPr>
        <w:ind w:left="540"/>
        <w:rPr>
          <w:rFonts w:ascii="Calibri" w:eastAsia="Times New Roman" w:hAnsi="Calibri"/>
        </w:rPr>
      </w:pPr>
    </w:p>
    <w:p w14:paraId="2B3D0855" w14:textId="77777777" w:rsidR="008804AD" w:rsidRDefault="008804AD" w:rsidP="008804AD">
      <w:pPr>
        <w:ind w:left="540"/>
        <w:rPr>
          <w:rFonts w:ascii="Calibri" w:eastAsia="Times New Roman" w:hAnsi="Calibri"/>
        </w:rPr>
      </w:pPr>
    </w:p>
    <w:p w14:paraId="5F756145" w14:textId="77777777" w:rsidR="008804AD" w:rsidRDefault="008804AD" w:rsidP="008804AD">
      <w:pPr>
        <w:ind w:left="540"/>
        <w:rPr>
          <w:rFonts w:ascii="Calibri" w:eastAsia="Times New Roman" w:hAnsi="Calibri"/>
        </w:rPr>
      </w:pPr>
    </w:p>
    <w:p w14:paraId="35217D57" w14:textId="77777777" w:rsidR="008804AD" w:rsidRDefault="008804AD" w:rsidP="008804AD">
      <w:pPr>
        <w:ind w:left="540"/>
        <w:rPr>
          <w:rFonts w:ascii="Calibri" w:eastAsia="Times New Roman" w:hAnsi="Calibri"/>
        </w:rPr>
      </w:pPr>
    </w:p>
    <w:p w14:paraId="60D2544F" w14:textId="77777777" w:rsidR="008804AD" w:rsidRDefault="008804AD" w:rsidP="008804AD">
      <w:pPr>
        <w:ind w:left="540"/>
        <w:rPr>
          <w:rFonts w:ascii="Calibri" w:eastAsia="Times New Roman" w:hAnsi="Calibri"/>
        </w:rPr>
      </w:pPr>
    </w:p>
    <w:p w14:paraId="7FF95581" w14:textId="77777777" w:rsidR="008804AD" w:rsidRDefault="008804AD" w:rsidP="008804AD">
      <w:pPr>
        <w:ind w:left="540"/>
        <w:rPr>
          <w:rFonts w:ascii="Calibri" w:eastAsia="Times New Roman" w:hAnsi="Calibri"/>
        </w:rPr>
      </w:pPr>
    </w:p>
    <w:p w14:paraId="1B522AE7" w14:textId="77777777" w:rsidR="008804AD" w:rsidRDefault="008804AD" w:rsidP="008804AD">
      <w:pPr>
        <w:ind w:left="540"/>
        <w:rPr>
          <w:rFonts w:ascii="Calibri" w:eastAsia="Times New Roman" w:hAnsi="Calibri"/>
        </w:rPr>
      </w:pPr>
    </w:p>
    <w:p w14:paraId="3A44AF45" w14:textId="77777777" w:rsidR="008804AD" w:rsidRDefault="008804AD" w:rsidP="008804AD">
      <w:pPr>
        <w:ind w:left="540"/>
        <w:rPr>
          <w:rFonts w:ascii="Calibri" w:eastAsia="Times New Roman" w:hAnsi="Calibri"/>
        </w:rPr>
      </w:pPr>
    </w:p>
    <w:p w14:paraId="7804AB40" w14:textId="77777777" w:rsidR="008804AD" w:rsidRDefault="008804AD" w:rsidP="008804AD">
      <w:pPr>
        <w:ind w:left="540"/>
        <w:rPr>
          <w:rFonts w:ascii="Calibri" w:eastAsia="Times New Roman" w:hAnsi="Calibri"/>
        </w:rPr>
      </w:pPr>
    </w:p>
    <w:p w14:paraId="662AB780" w14:textId="77777777" w:rsidR="008804AD" w:rsidRDefault="008804AD" w:rsidP="008804AD">
      <w:pPr>
        <w:ind w:left="540"/>
        <w:rPr>
          <w:rFonts w:ascii="Calibri" w:eastAsia="Times New Roman" w:hAnsi="Calibri"/>
        </w:rPr>
      </w:pPr>
    </w:p>
    <w:p w14:paraId="0FCE9015" w14:textId="77777777" w:rsidR="008804AD" w:rsidRDefault="008804AD" w:rsidP="008804AD">
      <w:pPr>
        <w:ind w:left="540"/>
        <w:rPr>
          <w:rFonts w:ascii="Calibri" w:eastAsia="Times New Roman" w:hAnsi="Calibri"/>
        </w:rPr>
      </w:pPr>
    </w:p>
    <w:p w14:paraId="027A1C4C" w14:textId="77777777" w:rsidR="008804AD" w:rsidRDefault="008804AD" w:rsidP="008804AD">
      <w:pPr>
        <w:ind w:left="540"/>
        <w:rPr>
          <w:rFonts w:ascii="Calibri" w:eastAsia="Times New Roman" w:hAnsi="Calibri"/>
        </w:rPr>
      </w:pPr>
    </w:p>
    <w:p w14:paraId="24DD53ED" w14:textId="77777777" w:rsidR="003E0590" w:rsidRDefault="003E0590" w:rsidP="008804AD">
      <w:pPr>
        <w:ind w:left="540"/>
        <w:rPr>
          <w:rFonts w:ascii="Calibri" w:eastAsia="Times New Roman" w:hAnsi="Calibri"/>
        </w:rPr>
      </w:pPr>
    </w:p>
    <w:p w14:paraId="59E978CC" w14:textId="77777777" w:rsidR="003E0590" w:rsidRDefault="003E0590" w:rsidP="008804AD">
      <w:pPr>
        <w:ind w:left="540"/>
        <w:rPr>
          <w:rFonts w:ascii="Calibri" w:eastAsia="Times New Roman" w:hAnsi="Calibri"/>
        </w:rPr>
      </w:pPr>
    </w:p>
    <w:p w14:paraId="219C3899" w14:textId="77777777" w:rsidR="008804AD" w:rsidRPr="005D4EF7" w:rsidRDefault="008804AD" w:rsidP="008804AD">
      <w:pPr>
        <w:ind w:left="540"/>
        <w:rPr>
          <w:rFonts w:ascii="Calibri" w:eastAsia="Times New Roman" w:hAnsi="Calibri"/>
        </w:rPr>
      </w:pPr>
    </w:p>
    <w:p w14:paraId="22BD51B7" w14:textId="77777777" w:rsidR="00FD0864" w:rsidRPr="00FD0864" w:rsidRDefault="5F884969" w:rsidP="5F884969">
      <w:pPr>
        <w:spacing w:after="0"/>
        <w:ind w:left="540"/>
        <w:rPr>
          <w:sz w:val="20"/>
          <w:szCs w:val="20"/>
        </w:rPr>
      </w:pPr>
      <w:r w:rsidRPr="5F884969">
        <w:rPr>
          <w:b/>
          <w:bCs/>
          <w:i/>
          <w:iCs/>
          <w:sz w:val="20"/>
          <w:szCs w:val="20"/>
        </w:rPr>
        <w:lastRenderedPageBreak/>
        <w:t>Maps 2-4:</w:t>
      </w:r>
      <w:r w:rsidRPr="5F884969">
        <w:rPr>
          <w:sz w:val="20"/>
          <w:szCs w:val="20"/>
        </w:rPr>
        <w:t xml:space="preserve"> Maps showing Racial/Ethnic Group Population Density from 1990 – 2010. White population density was removed to show detail of non-white groups. Source: Decennial Census.</w:t>
      </w:r>
    </w:p>
    <w:p w14:paraId="53F48CBB" w14:textId="77777777" w:rsidR="00FD0864" w:rsidRDefault="00FD0864" w:rsidP="00FD0864">
      <w:pPr>
        <w:spacing w:after="0"/>
        <w:ind w:left="540"/>
      </w:pPr>
      <w:r>
        <w:rPr>
          <w:noProof/>
          <w:lang w:eastAsia="en-US"/>
        </w:rPr>
        <w:drawing>
          <wp:inline distT="0" distB="0" distL="0" distR="0" wp14:anchorId="281D73C7" wp14:editId="06064690">
            <wp:extent cx="4251960" cy="2423160"/>
            <wp:effectExtent l="25400" t="25400" r="15240" b="15240"/>
            <wp:docPr id="18" name="Picture 18" descr="../Desktop/New%20HUD%20Maps/HUDMap2_1990Dem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New%20HUD%20Maps/HUDMap2_1990Demographics.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251960" cy="2423160"/>
                    </a:xfrm>
                    <a:prstGeom prst="rect">
                      <a:avLst/>
                    </a:prstGeom>
                    <a:noFill/>
                    <a:ln>
                      <a:solidFill>
                        <a:schemeClr val="tx1"/>
                      </a:solidFill>
                    </a:ln>
                  </pic:spPr>
                </pic:pic>
              </a:graphicData>
            </a:graphic>
          </wp:inline>
        </w:drawing>
      </w:r>
    </w:p>
    <w:p w14:paraId="67C7C510" w14:textId="77777777" w:rsidR="00FD0864" w:rsidRDefault="00FD0864" w:rsidP="00FD0864">
      <w:pPr>
        <w:spacing w:after="0"/>
        <w:ind w:left="540"/>
      </w:pPr>
      <w:r>
        <w:rPr>
          <w:noProof/>
          <w:lang w:eastAsia="en-US"/>
        </w:rPr>
        <w:drawing>
          <wp:inline distT="0" distB="0" distL="0" distR="0" wp14:anchorId="589C76F9" wp14:editId="7BF6085C">
            <wp:extent cx="4251960" cy="2414016"/>
            <wp:effectExtent l="25400" t="25400" r="15240" b="24765"/>
            <wp:docPr id="19" name="Picture 19" descr="../Desktop/New%20HUD%20Maps/HUDMap2_2000Dem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New%20HUD%20Maps/HUDMap2_2000Demographics.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251960" cy="2414016"/>
                    </a:xfrm>
                    <a:prstGeom prst="rect">
                      <a:avLst/>
                    </a:prstGeom>
                    <a:noFill/>
                    <a:ln>
                      <a:solidFill>
                        <a:schemeClr val="tx1"/>
                      </a:solidFill>
                    </a:ln>
                  </pic:spPr>
                </pic:pic>
              </a:graphicData>
            </a:graphic>
          </wp:inline>
        </w:drawing>
      </w:r>
    </w:p>
    <w:p w14:paraId="75DFDC90" w14:textId="77777777" w:rsidR="00FD0864" w:rsidRDefault="00FD0864" w:rsidP="00FD0864">
      <w:pPr>
        <w:spacing w:after="0"/>
        <w:ind w:left="540"/>
      </w:pPr>
      <w:r>
        <w:rPr>
          <w:noProof/>
          <w:lang w:eastAsia="en-US"/>
        </w:rPr>
        <w:drawing>
          <wp:inline distT="0" distB="0" distL="0" distR="0" wp14:anchorId="0E1CA1F1" wp14:editId="1EF686DF">
            <wp:extent cx="4251960" cy="2340864"/>
            <wp:effectExtent l="25400" t="25400" r="15240" b="21590"/>
            <wp:docPr id="21" name="Picture 21" descr="../Desktop/New%20HUD%20Maps/HUDMap2_2010Demo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New%20HUD%20Maps/HUDMap2_2010Demographics.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251960" cy="2340864"/>
                    </a:xfrm>
                    <a:prstGeom prst="rect">
                      <a:avLst/>
                    </a:prstGeom>
                    <a:noFill/>
                    <a:ln>
                      <a:solidFill>
                        <a:schemeClr val="tx1"/>
                      </a:solidFill>
                    </a:ln>
                  </pic:spPr>
                </pic:pic>
              </a:graphicData>
            </a:graphic>
          </wp:inline>
        </w:drawing>
      </w:r>
    </w:p>
    <w:p w14:paraId="10527DCA" w14:textId="77777777" w:rsidR="00FD0864" w:rsidRPr="00107854" w:rsidRDefault="00FD0864" w:rsidP="00FD0864">
      <w:pPr>
        <w:spacing w:after="0"/>
        <w:ind w:left="540"/>
      </w:pPr>
    </w:p>
    <w:p w14:paraId="4DA60C82" w14:textId="5CB80A17" w:rsidR="008F5E82" w:rsidRDefault="5F884969" w:rsidP="5F884969">
      <w:pPr>
        <w:ind w:left="540"/>
        <w:rPr>
          <w:rFonts w:ascii="Calibri" w:eastAsia="Times New Roman" w:hAnsi="Calibri"/>
        </w:rPr>
      </w:pPr>
      <w:r w:rsidRPr="5F884969">
        <w:rPr>
          <w:rFonts w:ascii="Calibri" w:eastAsia="Times New Roman" w:hAnsi="Calibri"/>
        </w:rPr>
        <w:t>Examining the population density of the top national origin groups (</w:t>
      </w:r>
      <w:r w:rsidRPr="006E23A5">
        <w:rPr>
          <w:rFonts w:ascii="Calibri" w:eastAsia="Times New Roman" w:hAnsi="Calibri"/>
        </w:rPr>
        <w:t>map 5)</w:t>
      </w:r>
      <w:r w:rsidRPr="5F884969">
        <w:rPr>
          <w:rFonts w:ascii="Calibri" w:eastAsia="Times New Roman" w:hAnsi="Calibri"/>
        </w:rPr>
        <w:t xml:space="preserve"> and limited English proficiency (</w:t>
      </w:r>
      <w:r w:rsidRPr="006E23A5">
        <w:rPr>
          <w:rFonts w:ascii="Calibri" w:eastAsia="Times New Roman" w:hAnsi="Calibri"/>
        </w:rPr>
        <w:t>map 6</w:t>
      </w:r>
      <w:r w:rsidRPr="5F884969">
        <w:rPr>
          <w:rFonts w:ascii="Calibri" w:eastAsia="Times New Roman" w:hAnsi="Calibri"/>
        </w:rPr>
        <w:t xml:space="preserve">), it appears that ethnic population densities follow similar trends as overall </w:t>
      </w:r>
      <w:r w:rsidRPr="5F884969">
        <w:rPr>
          <w:rFonts w:ascii="Calibri" w:eastAsia="Times New Roman" w:hAnsi="Calibri"/>
        </w:rPr>
        <w:lastRenderedPageBreak/>
        <w:t>population density distributions described earlier, with clusters in Burlington’s Old North End (census tracts 3, 4 and 5), and to a lesser extent Burlington’s New North End (census tract 1) and Winooski (</w:t>
      </w:r>
      <w:r w:rsidR="00796661">
        <w:rPr>
          <w:rFonts w:ascii="Calibri" w:eastAsia="Times New Roman" w:hAnsi="Calibri"/>
        </w:rPr>
        <w:t>census tracts 24 and 25</w:t>
      </w:r>
      <w:r w:rsidRPr="5F884969">
        <w:rPr>
          <w:rFonts w:ascii="Calibri" w:eastAsia="Times New Roman" w:hAnsi="Calibri"/>
        </w:rPr>
        <w:t>).</w:t>
      </w:r>
      <w:r w:rsidR="00796661">
        <w:rPr>
          <w:rFonts w:ascii="Calibri" w:eastAsia="Times New Roman" w:hAnsi="Calibri"/>
        </w:rPr>
        <w:t xml:space="preserve"> However, maps 5 and 6 do show more detail in how different neighborhoods are being settled, showing signs of segregation happening that isn’t captured in the demographic populations grouping used above. </w:t>
      </w:r>
    </w:p>
    <w:p w14:paraId="09019E56" w14:textId="77777777" w:rsidR="00CD531A" w:rsidRPr="00CD531A" w:rsidRDefault="5F884969" w:rsidP="5F884969">
      <w:pPr>
        <w:spacing w:after="0"/>
        <w:ind w:left="540"/>
        <w:rPr>
          <w:sz w:val="20"/>
          <w:szCs w:val="20"/>
        </w:rPr>
      </w:pPr>
      <w:r w:rsidRPr="5F884969">
        <w:rPr>
          <w:b/>
          <w:bCs/>
          <w:i/>
          <w:iCs/>
          <w:sz w:val="20"/>
          <w:szCs w:val="20"/>
        </w:rPr>
        <w:t>Map 5:</w:t>
      </w:r>
      <w:r w:rsidRPr="5F884969">
        <w:rPr>
          <w:sz w:val="20"/>
          <w:szCs w:val="20"/>
        </w:rPr>
        <w:t xml:space="preserve"> Map showing National Origin Population Density in Burlington, VT and Surrounding Area. Source: Decennial Census.</w:t>
      </w:r>
    </w:p>
    <w:p w14:paraId="1E24002B" w14:textId="77777777" w:rsidR="00CD531A" w:rsidRDefault="00CD531A" w:rsidP="00CD531A">
      <w:pPr>
        <w:spacing w:after="0"/>
        <w:ind w:left="540"/>
      </w:pPr>
      <w:r>
        <w:rPr>
          <w:noProof/>
          <w:lang w:eastAsia="en-US"/>
        </w:rPr>
        <w:drawing>
          <wp:inline distT="0" distB="0" distL="0" distR="0" wp14:anchorId="1A4A5BE5" wp14:editId="66C2DF06">
            <wp:extent cx="5055235" cy="2906760"/>
            <wp:effectExtent l="25400" t="25400" r="24765" b="14605"/>
            <wp:docPr id="22" name="Picture 22" descr="../Desktop/New%20HUD%20Maps/HUDMap3_National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New%20HUD%20Maps/HUDMap3_NationalOrigin.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068579" cy="2914433"/>
                    </a:xfrm>
                    <a:prstGeom prst="rect">
                      <a:avLst/>
                    </a:prstGeom>
                    <a:noFill/>
                    <a:ln>
                      <a:solidFill>
                        <a:schemeClr val="tx1"/>
                      </a:solidFill>
                    </a:ln>
                  </pic:spPr>
                </pic:pic>
              </a:graphicData>
            </a:graphic>
          </wp:inline>
        </w:drawing>
      </w:r>
    </w:p>
    <w:p w14:paraId="66272A91" w14:textId="77777777" w:rsidR="00CD531A" w:rsidRPr="00107854" w:rsidRDefault="00CD531A" w:rsidP="00CD531A">
      <w:pPr>
        <w:spacing w:after="0"/>
        <w:ind w:left="540"/>
      </w:pPr>
    </w:p>
    <w:p w14:paraId="0798D851" w14:textId="77777777" w:rsidR="00CD531A" w:rsidRPr="00CD531A" w:rsidRDefault="5F884969" w:rsidP="5F884969">
      <w:pPr>
        <w:spacing w:after="0"/>
        <w:ind w:left="540"/>
        <w:rPr>
          <w:sz w:val="20"/>
          <w:szCs w:val="20"/>
        </w:rPr>
      </w:pPr>
      <w:r w:rsidRPr="5F884969">
        <w:rPr>
          <w:b/>
          <w:bCs/>
          <w:i/>
          <w:iCs/>
          <w:sz w:val="20"/>
          <w:szCs w:val="20"/>
        </w:rPr>
        <w:t>Map 6:</w:t>
      </w:r>
      <w:r w:rsidRPr="5F884969">
        <w:rPr>
          <w:sz w:val="20"/>
          <w:szCs w:val="20"/>
        </w:rPr>
        <w:t xml:space="preserve"> Map Showing Limited English Proficiency Population Density in Burlington, VT and Surrounding Area. Source: Decennial Census.</w:t>
      </w:r>
    </w:p>
    <w:p w14:paraId="0DAF5486" w14:textId="77777777" w:rsidR="00CD531A" w:rsidRDefault="00CD531A" w:rsidP="00CD531A">
      <w:pPr>
        <w:spacing w:after="0"/>
        <w:ind w:left="540"/>
      </w:pPr>
      <w:r>
        <w:rPr>
          <w:noProof/>
          <w:lang w:eastAsia="en-US"/>
        </w:rPr>
        <w:drawing>
          <wp:inline distT="0" distB="0" distL="0" distR="0" wp14:anchorId="63FEBD51" wp14:editId="2D272592">
            <wp:extent cx="5055235" cy="2805656"/>
            <wp:effectExtent l="25400" t="25400" r="24765" b="13970"/>
            <wp:docPr id="23" name="Picture 23" descr="../Desktop/New%20HUD%20Maps/HUDMap4_L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New%20HUD%20Maps/HUDMap4_LEP.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065521" cy="2811364"/>
                    </a:xfrm>
                    <a:prstGeom prst="rect">
                      <a:avLst/>
                    </a:prstGeom>
                    <a:noFill/>
                    <a:ln>
                      <a:solidFill>
                        <a:schemeClr val="tx1"/>
                      </a:solidFill>
                    </a:ln>
                  </pic:spPr>
                </pic:pic>
              </a:graphicData>
            </a:graphic>
          </wp:inline>
        </w:drawing>
      </w:r>
    </w:p>
    <w:p w14:paraId="107B55E6" w14:textId="77777777" w:rsidR="00074C4F" w:rsidRDefault="00074C4F" w:rsidP="0024558A">
      <w:pPr>
        <w:pStyle w:val="ListParagraph"/>
        <w:ind w:left="540"/>
      </w:pPr>
    </w:p>
    <w:p w14:paraId="7D073504" w14:textId="77777777" w:rsidR="008804AD" w:rsidRPr="00670DC1" w:rsidRDefault="008804AD" w:rsidP="00670DC1">
      <w:pPr>
        <w:rPr>
          <w:b/>
          <w:bCs/>
          <w:i/>
          <w:iCs/>
        </w:rPr>
      </w:pPr>
    </w:p>
    <w:p w14:paraId="1889DF87" w14:textId="77777777" w:rsidR="008804AD" w:rsidRDefault="008804AD" w:rsidP="5F884969">
      <w:pPr>
        <w:pStyle w:val="ListParagraph"/>
        <w:ind w:left="540"/>
        <w:rPr>
          <w:b/>
          <w:bCs/>
          <w:i/>
          <w:iCs/>
        </w:rPr>
      </w:pPr>
    </w:p>
    <w:p w14:paraId="414BEA04" w14:textId="342312FC" w:rsidR="00851504" w:rsidRPr="003E0590" w:rsidRDefault="5F884969" w:rsidP="00470315">
      <w:pPr>
        <w:ind w:left="540"/>
        <w:rPr>
          <w:b/>
          <w:bCs/>
          <w:i/>
        </w:rPr>
      </w:pPr>
      <w:r w:rsidRPr="003E0590">
        <w:rPr>
          <w:b/>
          <w:bCs/>
          <w:i/>
        </w:rPr>
        <w:t>Explain how these segregation levels and patterns in the jurisdiction and region have changed over time (since 1990).</w:t>
      </w:r>
    </w:p>
    <w:p w14:paraId="19C50FCB" w14:textId="5C6FAF2E" w:rsidR="00851504" w:rsidRDefault="5F884969" w:rsidP="002F7C2E">
      <w:pPr>
        <w:widowControl w:val="0"/>
        <w:autoSpaceDE w:val="0"/>
        <w:autoSpaceDN w:val="0"/>
        <w:adjustRightInd w:val="0"/>
        <w:spacing w:after="0"/>
        <w:ind w:left="547"/>
        <w:outlineLvl w:val="0"/>
        <w:rPr>
          <w:rFonts w:ascii="Calibri" w:hAnsi="Calibri"/>
          <w:b/>
          <w:bCs/>
          <w:i/>
          <w:iCs/>
        </w:rPr>
      </w:pPr>
      <w:r w:rsidRPr="5F884969">
        <w:rPr>
          <w:rFonts w:ascii="Calibri" w:hAnsi="Calibri"/>
          <w:b/>
          <w:bCs/>
          <w:i/>
          <w:iCs/>
        </w:rPr>
        <w:t>Burlington</w:t>
      </w:r>
    </w:p>
    <w:p w14:paraId="685BBE3E" w14:textId="155130CB" w:rsidR="00BE3016" w:rsidRPr="0021351C" w:rsidRDefault="5F884969" w:rsidP="5F884969">
      <w:pPr>
        <w:ind w:left="540"/>
        <w:rPr>
          <w:rFonts w:ascii="Calibri" w:eastAsia="Times New Roman" w:hAnsi="Calibri"/>
        </w:rPr>
      </w:pPr>
      <w:r w:rsidRPr="006E23A5">
        <w:rPr>
          <w:rFonts w:ascii="Calibri" w:eastAsia="Times New Roman" w:hAnsi="Calibri"/>
        </w:rPr>
        <w:t>Figure 15</w:t>
      </w:r>
      <w:r w:rsidRPr="5F884969">
        <w:rPr>
          <w:rFonts w:ascii="Calibri" w:eastAsia="Times New Roman" w:hAnsi="Calibri"/>
        </w:rPr>
        <w:t xml:space="preserve"> visualizes the data Burlington dissimilarity data found in </w:t>
      </w:r>
      <w:r w:rsidR="005B73AF">
        <w:rPr>
          <w:rFonts w:ascii="Calibri" w:eastAsia="Times New Roman" w:hAnsi="Calibri"/>
        </w:rPr>
        <w:t>table 13</w:t>
      </w:r>
      <w:r w:rsidRPr="5F884969">
        <w:rPr>
          <w:rFonts w:ascii="Calibri" w:eastAsia="Times New Roman" w:hAnsi="Calibri"/>
        </w:rPr>
        <w:t xml:space="preserve">, showing how dissimilarity between white and non-white population have changed overall within Burlington. Segregation between non-white and white populations has consistently increased since 1990, yet remains in the “low” category overall. </w:t>
      </w:r>
    </w:p>
    <w:p w14:paraId="229E4C75" w14:textId="35F91555" w:rsidR="00BE3016" w:rsidRPr="0027267B" w:rsidRDefault="5F884969" w:rsidP="5F884969">
      <w:pPr>
        <w:ind w:left="540"/>
        <w:rPr>
          <w:rFonts w:ascii="Calibri" w:eastAsia="Times New Roman" w:hAnsi="Calibri"/>
        </w:rPr>
      </w:pPr>
      <w:r w:rsidRPr="5F884969">
        <w:rPr>
          <w:rFonts w:ascii="Calibri" w:eastAsia="Times New Roman" w:hAnsi="Calibri"/>
        </w:rPr>
        <w:t>Black/White segregation has steadily risen over time within the Burlington jurisdiction. The rate of increase in dissimilarity is larger in Burlington when compared to the greater region, showing an increase of 17.98 index points between 1990 and 2010. Even though the rate of increase in segregation levels has been high within Burlington, overall segregation has consistently been lower in Burlington when compared to the greater region, as it remains today.</w:t>
      </w:r>
    </w:p>
    <w:p w14:paraId="43A05D64" w14:textId="6B22767A" w:rsidR="00851504" w:rsidRDefault="5F884969" w:rsidP="5F884969">
      <w:pPr>
        <w:ind w:left="540"/>
        <w:rPr>
          <w:rFonts w:ascii="Calibri" w:eastAsia="Times New Roman" w:hAnsi="Calibri"/>
        </w:rPr>
      </w:pPr>
      <w:r w:rsidRPr="5F884969">
        <w:rPr>
          <w:rFonts w:ascii="Calibri" w:eastAsia="Times New Roman" w:hAnsi="Calibri"/>
        </w:rPr>
        <w:t>Hispanic/White segregation decreased within Burlington from 1990 to 2010. Since, 1990, segregation between Asian or Pacific Islander and White populations has increased within Burlington.</w:t>
      </w:r>
    </w:p>
    <w:p w14:paraId="4A28C22C" w14:textId="37D79FCE" w:rsidR="00CE5257" w:rsidRPr="00F15505" w:rsidRDefault="5F884969" w:rsidP="5F884969">
      <w:pPr>
        <w:spacing w:after="0"/>
        <w:ind w:left="540"/>
        <w:rPr>
          <w:rFonts w:ascii="Calibri" w:hAnsi="Calibri"/>
          <w:sz w:val="20"/>
          <w:szCs w:val="20"/>
        </w:rPr>
      </w:pPr>
      <w:r w:rsidRPr="5F884969">
        <w:rPr>
          <w:rFonts w:ascii="Calibri" w:hAnsi="Calibri"/>
          <w:b/>
          <w:bCs/>
          <w:i/>
          <w:iCs/>
          <w:sz w:val="20"/>
          <w:szCs w:val="20"/>
        </w:rPr>
        <w:t>Figure 15:</w:t>
      </w:r>
      <w:r w:rsidRPr="5F884969">
        <w:rPr>
          <w:rFonts w:ascii="Calibri" w:hAnsi="Calibri"/>
          <w:sz w:val="20"/>
          <w:szCs w:val="20"/>
        </w:rPr>
        <w:t xml:space="preserve"> Racial/Ethnic Dissimilarity Trends </w:t>
      </w:r>
      <w:proofErr w:type="gramStart"/>
      <w:r w:rsidRPr="5F884969">
        <w:rPr>
          <w:rFonts w:ascii="Calibri" w:hAnsi="Calibri"/>
          <w:sz w:val="20"/>
          <w:szCs w:val="20"/>
        </w:rPr>
        <w:t>Over</w:t>
      </w:r>
      <w:proofErr w:type="gramEnd"/>
      <w:r w:rsidRPr="5F884969">
        <w:rPr>
          <w:rFonts w:ascii="Calibri" w:hAnsi="Calibri"/>
          <w:sz w:val="20"/>
          <w:szCs w:val="20"/>
        </w:rPr>
        <w:t xml:space="preserve"> Time in Burlington, VT. Source: Decennial Census for years 1990, 2000 and 2010.</w:t>
      </w:r>
    </w:p>
    <w:p w14:paraId="18ADF352" w14:textId="65684323" w:rsidR="00CE5257" w:rsidRDefault="00F15505" w:rsidP="00CE5257">
      <w:pPr>
        <w:spacing w:after="0"/>
        <w:ind w:left="540"/>
        <w:rPr>
          <w:rFonts w:ascii="Calibri" w:hAnsi="Calibri"/>
        </w:rPr>
      </w:pPr>
      <w:r>
        <w:rPr>
          <w:noProof/>
          <w:lang w:eastAsia="en-US"/>
        </w:rPr>
        <w:drawing>
          <wp:inline distT="0" distB="0" distL="0" distR="0" wp14:anchorId="6BE47758" wp14:editId="0018FE26">
            <wp:extent cx="5943600" cy="3281680"/>
            <wp:effectExtent l="0" t="0" r="0" b="203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45C4264" w14:textId="77777777" w:rsidR="00CE5257" w:rsidRDefault="00CE5257" w:rsidP="00CE5257">
      <w:pPr>
        <w:spacing w:after="0"/>
        <w:ind w:left="540"/>
        <w:rPr>
          <w:rFonts w:ascii="Calibri" w:hAnsi="Calibri"/>
        </w:rPr>
      </w:pPr>
    </w:p>
    <w:p w14:paraId="1BC42C53" w14:textId="77777777" w:rsidR="006E23A5" w:rsidRDefault="006E23A5" w:rsidP="002F7C2E">
      <w:pPr>
        <w:spacing w:after="0"/>
        <w:ind w:left="540"/>
        <w:outlineLvl w:val="0"/>
        <w:rPr>
          <w:rFonts w:ascii="Calibri" w:hAnsi="Calibri"/>
          <w:b/>
          <w:bCs/>
          <w:i/>
          <w:iCs/>
        </w:rPr>
      </w:pPr>
    </w:p>
    <w:p w14:paraId="4FE51EBA" w14:textId="77777777" w:rsidR="006E23A5" w:rsidRDefault="006E23A5" w:rsidP="002F7C2E">
      <w:pPr>
        <w:spacing w:after="0"/>
        <w:ind w:left="540"/>
        <w:outlineLvl w:val="0"/>
        <w:rPr>
          <w:rFonts w:ascii="Calibri" w:hAnsi="Calibri"/>
          <w:b/>
          <w:bCs/>
          <w:i/>
          <w:iCs/>
        </w:rPr>
      </w:pPr>
    </w:p>
    <w:p w14:paraId="23D8B6B7" w14:textId="77777777" w:rsidR="006E23A5" w:rsidRDefault="006E23A5" w:rsidP="002F7C2E">
      <w:pPr>
        <w:spacing w:after="0"/>
        <w:ind w:left="540"/>
        <w:outlineLvl w:val="0"/>
        <w:rPr>
          <w:rFonts w:ascii="Calibri" w:hAnsi="Calibri"/>
          <w:b/>
          <w:bCs/>
          <w:i/>
          <w:iCs/>
        </w:rPr>
      </w:pPr>
    </w:p>
    <w:p w14:paraId="08C85860" w14:textId="77777777" w:rsidR="00670DC1" w:rsidRDefault="00670DC1" w:rsidP="002F7C2E">
      <w:pPr>
        <w:spacing w:after="0"/>
        <w:ind w:left="540"/>
        <w:outlineLvl w:val="0"/>
        <w:rPr>
          <w:rFonts w:ascii="Calibri" w:hAnsi="Calibri"/>
          <w:b/>
          <w:bCs/>
          <w:i/>
          <w:iCs/>
        </w:rPr>
      </w:pPr>
    </w:p>
    <w:p w14:paraId="08F30FB4" w14:textId="77777777" w:rsidR="00670DC1" w:rsidRDefault="00670DC1" w:rsidP="002F7C2E">
      <w:pPr>
        <w:spacing w:after="0"/>
        <w:ind w:left="540"/>
        <w:outlineLvl w:val="0"/>
        <w:rPr>
          <w:rFonts w:ascii="Calibri" w:hAnsi="Calibri"/>
          <w:b/>
          <w:bCs/>
          <w:i/>
          <w:iCs/>
        </w:rPr>
      </w:pPr>
    </w:p>
    <w:p w14:paraId="386AB64F" w14:textId="77777777" w:rsidR="00851504" w:rsidRPr="00B41296" w:rsidRDefault="5F884969" w:rsidP="002F7C2E">
      <w:pPr>
        <w:spacing w:after="0"/>
        <w:ind w:left="540"/>
        <w:outlineLvl w:val="0"/>
        <w:rPr>
          <w:rFonts w:ascii="Calibri" w:hAnsi="Calibri"/>
          <w:i/>
          <w:iCs/>
        </w:rPr>
      </w:pPr>
      <w:r w:rsidRPr="5F884969">
        <w:rPr>
          <w:rFonts w:ascii="Calibri" w:hAnsi="Calibri"/>
          <w:b/>
          <w:bCs/>
          <w:i/>
          <w:iCs/>
        </w:rPr>
        <w:lastRenderedPageBreak/>
        <w:t>Burlington-South Burlington Region</w:t>
      </w:r>
    </w:p>
    <w:p w14:paraId="58B79F8D" w14:textId="27CA4626" w:rsidR="00F658F8" w:rsidRDefault="6A6D091A" w:rsidP="6A6D091A">
      <w:pPr>
        <w:ind w:left="540"/>
        <w:rPr>
          <w:rFonts w:ascii="Calibri" w:eastAsia="Times New Roman" w:hAnsi="Calibri"/>
        </w:rPr>
      </w:pPr>
      <w:r w:rsidRPr="6A6D091A">
        <w:rPr>
          <w:rFonts w:ascii="Calibri" w:eastAsia="Times New Roman" w:hAnsi="Calibri"/>
        </w:rPr>
        <w:t xml:space="preserve">Similar </w:t>
      </w:r>
      <w:r w:rsidRPr="006E23A5">
        <w:rPr>
          <w:rFonts w:ascii="Calibri" w:eastAsia="Times New Roman" w:hAnsi="Calibri"/>
        </w:rPr>
        <w:t>to figure 15</w:t>
      </w:r>
      <w:r w:rsidRPr="6A6D091A">
        <w:rPr>
          <w:rFonts w:ascii="Calibri" w:eastAsia="Times New Roman" w:hAnsi="Calibri"/>
        </w:rPr>
        <w:t xml:space="preserve">, </w:t>
      </w:r>
      <w:r w:rsidRPr="006E23A5">
        <w:rPr>
          <w:rFonts w:ascii="Calibri" w:eastAsia="Times New Roman" w:hAnsi="Calibri"/>
        </w:rPr>
        <w:t>figure 16</w:t>
      </w:r>
      <w:r w:rsidRPr="6A6D091A">
        <w:rPr>
          <w:rFonts w:ascii="Calibri" w:eastAsia="Times New Roman" w:hAnsi="Calibri"/>
        </w:rPr>
        <w:t xml:space="preserve"> visualizes </w:t>
      </w:r>
      <w:r w:rsidR="003877D2">
        <w:rPr>
          <w:rFonts w:ascii="Calibri" w:eastAsia="Times New Roman" w:hAnsi="Calibri"/>
        </w:rPr>
        <w:t>table 13</w:t>
      </w:r>
      <w:r w:rsidRPr="006E23A5">
        <w:rPr>
          <w:rFonts w:ascii="Calibri" w:eastAsia="Times New Roman" w:hAnsi="Calibri"/>
        </w:rPr>
        <w:t xml:space="preserve"> </w:t>
      </w:r>
      <w:r w:rsidRPr="6A6D091A">
        <w:rPr>
          <w:rFonts w:ascii="Calibri" w:eastAsia="Times New Roman" w:hAnsi="Calibri"/>
        </w:rPr>
        <w:t xml:space="preserve">data for the Burlington-South Burlington region. The region has also experienced a steady increase in segregation between non-white and white populations since 1990, yet remains in the “low” category. </w:t>
      </w:r>
    </w:p>
    <w:p w14:paraId="1770D3DE" w14:textId="7233D842" w:rsidR="00F658F8" w:rsidRDefault="5F884969" w:rsidP="5F884969">
      <w:pPr>
        <w:ind w:left="540"/>
        <w:rPr>
          <w:rFonts w:ascii="Calibri" w:eastAsia="Times New Roman" w:hAnsi="Calibri"/>
        </w:rPr>
      </w:pPr>
      <w:r w:rsidRPr="5F884969">
        <w:rPr>
          <w:rFonts w:ascii="Calibri" w:eastAsia="Times New Roman" w:hAnsi="Calibri"/>
        </w:rPr>
        <w:t xml:space="preserve">Like Burlington, the Burlington-South Burlington region has experienced a consistent increase in dissimilarity between Black and White populations since 1990. The rate of this change is lower than that seen in Burlington, showing an increase of 4.18 dissimilarity index points since 1990. </w:t>
      </w:r>
    </w:p>
    <w:p w14:paraId="5E7CB7D9" w14:textId="77777777" w:rsidR="00F658F8" w:rsidRDefault="5F884969" w:rsidP="5F884969">
      <w:pPr>
        <w:ind w:left="540"/>
        <w:rPr>
          <w:rFonts w:ascii="Calibri" w:eastAsia="Times New Roman" w:hAnsi="Calibri"/>
        </w:rPr>
      </w:pPr>
      <w:r w:rsidRPr="5F884969">
        <w:rPr>
          <w:rFonts w:ascii="Calibri" w:eastAsia="Times New Roman" w:hAnsi="Calibri"/>
        </w:rPr>
        <w:t xml:space="preserve">Throughout the Burlington-South Burlington region, segregation between White and Hispanic populations decreased from 1990-2000, but has begun increasing </w:t>
      </w:r>
      <w:r w:rsidRPr="5F884969">
        <w:rPr>
          <w:rFonts w:ascii="Calibri" w:eastAsia="Calibri" w:hAnsi="Calibri" w:cs="Calibri"/>
        </w:rPr>
        <w:t>again</w:t>
      </w:r>
      <w:r w:rsidRPr="5F884969">
        <w:rPr>
          <w:rFonts w:ascii="Calibri" w:eastAsia="Times New Roman" w:hAnsi="Calibri"/>
        </w:rPr>
        <w:t xml:space="preserve"> since 2000.</w:t>
      </w:r>
    </w:p>
    <w:p w14:paraId="71A5F59E" w14:textId="659E6294" w:rsidR="00F658F8" w:rsidRDefault="5F884969" w:rsidP="5F884969">
      <w:pPr>
        <w:ind w:left="540"/>
        <w:rPr>
          <w:rFonts w:ascii="Calibri" w:eastAsia="Times New Roman" w:hAnsi="Calibri"/>
        </w:rPr>
      </w:pPr>
      <w:r w:rsidRPr="5F884969">
        <w:rPr>
          <w:rFonts w:ascii="Calibri" w:eastAsia="Times New Roman" w:hAnsi="Calibri"/>
        </w:rPr>
        <w:t>In the region, dissimilarity between White and Asian or Pacific Islander populations increased from 1990 to 2000, but decreased from 2000 to 2010. Segregation between Asian or Pacific Islander and White populations appear remains in the “low category”.</w:t>
      </w:r>
    </w:p>
    <w:p w14:paraId="3E880300" w14:textId="129A4608" w:rsidR="00CE5257" w:rsidRPr="00F15505" w:rsidRDefault="5F884969" w:rsidP="5F884969">
      <w:pPr>
        <w:spacing w:after="0"/>
        <w:ind w:left="540"/>
        <w:rPr>
          <w:rFonts w:ascii="Calibri" w:hAnsi="Calibri"/>
          <w:sz w:val="20"/>
          <w:szCs w:val="20"/>
        </w:rPr>
      </w:pPr>
      <w:r w:rsidRPr="5F884969">
        <w:rPr>
          <w:rFonts w:ascii="Calibri" w:hAnsi="Calibri"/>
          <w:b/>
          <w:bCs/>
          <w:i/>
          <w:iCs/>
          <w:sz w:val="20"/>
          <w:szCs w:val="20"/>
        </w:rPr>
        <w:t>Figure 16:</w:t>
      </w:r>
      <w:r w:rsidRPr="5F884969">
        <w:rPr>
          <w:rFonts w:ascii="Calibri" w:hAnsi="Calibri"/>
          <w:sz w:val="20"/>
          <w:szCs w:val="20"/>
        </w:rPr>
        <w:t xml:space="preserve"> Racial/Ethnic Dissimilarity Trends in the Burlington-South Burlington Region. Source: Decennial Census for years 1990, 2000 and 2010.</w:t>
      </w:r>
    </w:p>
    <w:p w14:paraId="02E7DBDD" w14:textId="73AB607E" w:rsidR="00CE5257" w:rsidRDefault="00F15505" w:rsidP="00F15505">
      <w:pPr>
        <w:spacing w:after="0"/>
        <w:ind w:left="540"/>
        <w:rPr>
          <w:rFonts w:ascii="Calibri" w:hAnsi="Calibri"/>
        </w:rPr>
      </w:pPr>
      <w:r>
        <w:rPr>
          <w:noProof/>
          <w:lang w:eastAsia="en-US"/>
        </w:rPr>
        <w:drawing>
          <wp:inline distT="0" distB="0" distL="0" distR="0" wp14:anchorId="10A1B47E" wp14:editId="6311D7B6">
            <wp:extent cx="5943600" cy="3281680"/>
            <wp:effectExtent l="0" t="0" r="0" b="2032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35EDA8" w14:textId="77777777" w:rsidR="00F15505" w:rsidRDefault="00F15505" w:rsidP="000B4B7D">
      <w:pPr>
        <w:widowControl w:val="0"/>
        <w:autoSpaceDE w:val="0"/>
        <w:autoSpaceDN w:val="0"/>
        <w:adjustRightInd w:val="0"/>
        <w:ind w:left="540"/>
        <w:rPr>
          <w:rFonts w:ascii="Calibri" w:hAnsi="Calibri" w:cs="Times"/>
          <w:color w:val="000000"/>
        </w:rPr>
      </w:pPr>
    </w:p>
    <w:p w14:paraId="3772287E" w14:textId="56A6D93F" w:rsidR="00074C4F" w:rsidRPr="000B4B7D" w:rsidRDefault="5F884969" w:rsidP="5F884969">
      <w:pPr>
        <w:widowControl w:val="0"/>
        <w:autoSpaceDE w:val="0"/>
        <w:autoSpaceDN w:val="0"/>
        <w:adjustRightInd w:val="0"/>
        <w:ind w:left="540"/>
        <w:rPr>
          <w:rFonts w:ascii="Calibri" w:hAnsi="Calibri" w:cs="Times"/>
          <w:color w:val="000000" w:themeColor="text1"/>
        </w:rPr>
      </w:pPr>
      <w:r w:rsidRPr="5F884969">
        <w:rPr>
          <w:rFonts w:ascii="Calibri" w:hAnsi="Calibri" w:cs="Times"/>
          <w:color w:val="000000" w:themeColor="text1"/>
        </w:rPr>
        <w:t>Spatially, segregation patterns have not changed drastically since 1990, although overall segregation has been increasing, as mentioned earlier. However, it is difficult to discern c</w:t>
      </w:r>
      <w:r w:rsidR="00FE76BE">
        <w:rPr>
          <w:rFonts w:ascii="Calibri" w:hAnsi="Calibri" w:cs="Times"/>
          <w:color w:val="000000" w:themeColor="text1"/>
        </w:rPr>
        <w:t xml:space="preserve">hanges in segregation patterns </w:t>
      </w:r>
      <w:r w:rsidRPr="5F884969">
        <w:rPr>
          <w:rFonts w:ascii="Calibri" w:hAnsi="Calibri" w:cs="Times"/>
          <w:color w:val="000000" w:themeColor="text1"/>
        </w:rPr>
        <w:t xml:space="preserve">at a sub-jurisdictional level using the data provided to us via the HUD mapping tool. </w:t>
      </w:r>
    </w:p>
    <w:p w14:paraId="6B7EC8B3" w14:textId="6439BB4C" w:rsidR="006158E2" w:rsidRPr="003E0590" w:rsidRDefault="5F884969" w:rsidP="5F884969">
      <w:pPr>
        <w:pStyle w:val="ListParagraph"/>
        <w:ind w:left="547"/>
        <w:contextualSpacing w:val="0"/>
        <w:rPr>
          <w:b/>
          <w:bCs/>
          <w:i/>
        </w:rPr>
      </w:pPr>
      <w:r w:rsidRPr="003E0590">
        <w:rPr>
          <w:b/>
          <w:bCs/>
          <w:i/>
        </w:rPr>
        <w:t>Consider and describe the location of owner and renter occupied housing in determining whether such housing is located in segregated or integrated areas.</w:t>
      </w:r>
    </w:p>
    <w:p w14:paraId="1111EA3E" w14:textId="5553A7EB" w:rsidR="00D9488B" w:rsidRPr="000B2900" w:rsidRDefault="5F884969" w:rsidP="000B2900">
      <w:pPr>
        <w:ind w:left="540"/>
        <w:rPr>
          <w:rFonts w:ascii="Calibri" w:eastAsia="Times New Roman" w:hAnsi="Calibri"/>
        </w:rPr>
      </w:pPr>
      <w:r w:rsidRPr="005D6854">
        <w:rPr>
          <w:rFonts w:ascii="Calibri" w:eastAsia="Times New Roman" w:hAnsi="Calibri"/>
        </w:rPr>
        <w:t>Figures 17</w:t>
      </w:r>
      <w:r w:rsidRPr="5F884969">
        <w:rPr>
          <w:rFonts w:ascii="Calibri" w:eastAsia="Times New Roman" w:hAnsi="Calibri"/>
        </w:rPr>
        <w:t xml:space="preserve"> below shows the percentages of housing that is owner-occupied vs. renter occupied by Burlington census tract (</w:t>
      </w:r>
      <w:r w:rsidRPr="005D6854">
        <w:rPr>
          <w:rFonts w:ascii="Calibri" w:eastAsia="Times New Roman" w:hAnsi="Calibri"/>
        </w:rPr>
        <w:t>see map 7</w:t>
      </w:r>
      <w:r w:rsidRPr="5F884969">
        <w:rPr>
          <w:rFonts w:ascii="Calibri" w:eastAsia="Times New Roman" w:hAnsi="Calibri"/>
        </w:rPr>
        <w:t xml:space="preserve"> for a map of Burlington census tracts</w:t>
      </w:r>
      <w:r w:rsidR="000B2900">
        <w:rPr>
          <w:rFonts w:ascii="Calibri" w:eastAsia="Times New Roman" w:hAnsi="Calibri"/>
        </w:rPr>
        <w:t>)</w:t>
      </w:r>
      <w:r w:rsidRPr="5F884969">
        <w:rPr>
          <w:rFonts w:ascii="Calibri" w:eastAsia="Times New Roman" w:hAnsi="Calibri"/>
        </w:rPr>
        <w:t xml:space="preserve">. While it is difficult to </w:t>
      </w:r>
      <w:r w:rsidRPr="5F884969">
        <w:rPr>
          <w:rFonts w:ascii="Calibri" w:eastAsia="Times New Roman" w:hAnsi="Calibri"/>
        </w:rPr>
        <w:lastRenderedPageBreak/>
        <w:t xml:space="preserve">speak directly to areas of relatively higher segregation for the reasons mentioned above, the two areas that have the highest density of non-white populations, census tracts 3 and 4 (Burlington’s Old North End), also have the highest rate of renter-occupied housing. Interestingly, census tract 1 (Burlington’s new north end) has the highest percentage of owner-occupied housing, even though we recognize this as an area of relatively higher density of non-white populations (third highest after census tracts 3 and 4).  However, the significant minority population in this census tract is the Vietnamese population who also maintain the highest rate of homeownership after the white population. Although we see correlation between a high </w:t>
      </w:r>
      <w:proofErr w:type="gramStart"/>
      <w:r w:rsidRPr="5F884969">
        <w:rPr>
          <w:rFonts w:ascii="Calibri" w:eastAsia="Times New Roman" w:hAnsi="Calibri"/>
        </w:rPr>
        <w:t>percentage</w:t>
      </w:r>
      <w:proofErr w:type="gramEnd"/>
      <w:r w:rsidRPr="5F884969">
        <w:rPr>
          <w:rFonts w:ascii="Calibri" w:eastAsia="Times New Roman" w:hAnsi="Calibri"/>
        </w:rPr>
        <w:t xml:space="preserve"> of renter occupied housing and higher diversity (and possibly segregation) in tracts 4 and 5, this correlation is not consistent throughout Burlington.</w:t>
      </w:r>
    </w:p>
    <w:p w14:paraId="1DC64F82" w14:textId="77777777" w:rsidR="001E598B" w:rsidRPr="00602E8C" w:rsidRDefault="5F884969" w:rsidP="5F884969">
      <w:pPr>
        <w:spacing w:after="0"/>
        <w:ind w:left="540"/>
        <w:rPr>
          <w:rFonts w:ascii="Calibri" w:eastAsia="Times New Roman" w:hAnsi="Calibri"/>
          <w:sz w:val="20"/>
          <w:szCs w:val="20"/>
        </w:rPr>
      </w:pPr>
      <w:r w:rsidRPr="5F884969">
        <w:rPr>
          <w:rFonts w:ascii="Calibri" w:eastAsia="Times New Roman" w:hAnsi="Calibri"/>
          <w:b/>
          <w:bCs/>
          <w:i/>
          <w:iCs/>
          <w:sz w:val="20"/>
          <w:szCs w:val="20"/>
        </w:rPr>
        <w:t xml:space="preserve">Map 7: </w:t>
      </w:r>
      <w:r w:rsidRPr="5F884969">
        <w:rPr>
          <w:rFonts w:ascii="Calibri" w:eastAsia="Times New Roman" w:hAnsi="Calibri"/>
          <w:sz w:val="20"/>
          <w:szCs w:val="20"/>
        </w:rPr>
        <w:t>Map of Census Tracts within Burlington, VT.</w:t>
      </w:r>
    </w:p>
    <w:p w14:paraId="11A2B2D8" w14:textId="132EE2B3" w:rsidR="002A6FF1" w:rsidRDefault="001E598B" w:rsidP="00024CE7">
      <w:pPr>
        <w:spacing w:after="0"/>
        <w:ind w:left="540"/>
        <w:rPr>
          <w:rFonts w:ascii="Calibri" w:eastAsia="Times New Roman" w:hAnsi="Calibri"/>
        </w:rPr>
      </w:pPr>
      <w:r>
        <w:rPr>
          <w:rFonts w:ascii="Calibri" w:eastAsia="Times New Roman" w:hAnsi="Calibri"/>
          <w:noProof/>
          <w:lang w:eastAsia="en-US"/>
        </w:rPr>
        <w:drawing>
          <wp:inline distT="0" distB="0" distL="0" distR="0" wp14:anchorId="79B5E566" wp14:editId="59282888">
            <wp:extent cx="4066847" cy="4714240"/>
            <wp:effectExtent l="25400" t="25400" r="22860" b="35560"/>
            <wp:docPr id="1" name="Picture 1" descr="../Desktop/New%20HUD%20Maps/Burlington_CensusTr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ew%20HUD%20Maps/Burlington_CensusTracts.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086270" cy="4736755"/>
                    </a:xfrm>
                    <a:prstGeom prst="rect">
                      <a:avLst/>
                    </a:prstGeom>
                    <a:noFill/>
                    <a:ln>
                      <a:solidFill>
                        <a:schemeClr val="tx1"/>
                      </a:solidFill>
                    </a:ln>
                  </pic:spPr>
                </pic:pic>
              </a:graphicData>
            </a:graphic>
          </wp:inline>
        </w:drawing>
      </w:r>
    </w:p>
    <w:p w14:paraId="74A7DB38" w14:textId="77777777" w:rsidR="00024CE7" w:rsidRPr="00024CE7" w:rsidRDefault="00024CE7" w:rsidP="00024CE7">
      <w:pPr>
        <w:spacing w:after="0"/>
        <w:ind w:left="540"/>
        <w:rPr>
          <w:rFonts w:ascii="Calibri" w:eastAsia="Times New Roman" w:hAnsi="Calibri"/>
        </w:rPr>
      </w:pPr>
    </w:p>
    <w:p w14:paraId="7C51084B" w14:textId="77777777" w:rsidR="008804AD" w:rsidRDefault="008804AD" w:rsidP="5F884969">
      <w:pPr>
        <w:spacing w:after="0"/>
        <w:ind w:firstLine="540"/>
        <w:rPr>
          <w:rFonts w:ascii="Calibri" w:eastAsia="Times New Roman" w:hAnsi="Calibri"/>
          <w:b/>
          <w:bCs/>
          <w:i/>
          <w:iCs/>
          <w:sz w:val="20"/>
          <w:szCs w:val="20"/>
        </w:rPr>
      </w:pPr>
    </w:p>
    <w:p w14:paraId="4BB825AC" w14:textId="77777777" w:rsidR="008804AD" w:rsidRDefault="008804AD" w:rsidP="5F884969">
      <w:pPr>
        <w:spacing w:after="0"/>
        <w:ind w:firstLine="540"/>
        <w:rPr>
          <w:rFonts w:ascii="Calibri" w:eastAsia="Times New Roman" w:hAnsi="Calibri"/>
          <w:b/>
          <w:bCs/>
          <w:i/>
          <w:iCs/>
          <w:sz w:val="20"/>
          <w:szCs w:val="20"/>
        </w:rPr>
      </w:pPr>
    </w:p>
    <w:p w14:paraId="728A1E35" w14:textId="77777777" w:rsidR="008804AD" w:rsidRDefault="008804AD" w:rsidP="5F884969">
      <w:pPr>
        <w:spacing w:after="0"/>
        <w:ind w:firstLine="540"/>
        <w:rPr>
          <w:rFonts w:ascii="Calibri" w:eastAsia="Times New Roman" w:hAnsi="Calibri"/>
          <w:b/>
          <w:bCs/>
          <w:i/>
          <w:iCs/>
          <w:sz w:val="20"/>
          <w:szCs w:val="20"/>
        </w:rPr>
      </w:pPr>
    </w:p>
    <w:p w14:paraId="4E70EACD" w14:textId="77777777" w:rsidR="008804AD" w:rsidRDefault="008804AD" w:rsidP="005D6854">
      <w:pPr>
        <w:spacing w:after="0"/>
        <w:rPr>
          <w:rFonts w:ascii="Calibri" w:eastAsia="Times New Roman" w:hAnsi="Calibri"/>
          <w:b/>
          <w:bCs/>
          <w:i/>
          <w:iCs/>
          <w:sz w:val="20"/>
          <w:szCs w:val="20"/>
        </w:rPr>
      </w:pPr>
    </w:p>
    <w:p w14:paraId="3ED3E09A" w14:textId="77777777" w:rsidR="005D6854" w:rsidRDefault="005D6854" w:rsidP="005D6854">
      <w:pPr>
        <w:spacing w:after="0"/>
        <w:rPr>
          <w:rFonts w:ascii="Calibri" w:eastAsia="Times New Roman" w:hAnsi="Calibri"/>
          <w:b/>
          <w:bCs/>
          <w:i/>
          <w:iCs/>
          <w:sz w:val="20"/>
          <w:szCs w:val="20"/>
        </w:rPr>
      </w:pPr>
    </w:p>
    <w:p w14:paraId="5CEC974F" w14:textId="77777777" w:rsidR="008804AD" w:rsidRDefault="008804AD" w:rsidP="5F884969">
      <w:pPr>
        <w:spacing w:after="0"/>
        <w:ind w:firstLine="540"/>
        <w:rPr>
          <w:rFonts w:ascii="Calibri" w:eastAsia="Times New Roman" w:hAnsi="Calibri"/>
          <w:b/>
          <w:bCs/>
          <w:i/>
          <w:iCs/>
          <w:sz w:val="20"/>
          <w:szCs w:val="20"/>
        </w:rPr>
      </w:pPr>
    </w:p>
    <w:p w14:paraId="3268E7EF" w14:textId="77777777" w:rsidR="002A6FF1" w:rsidRPr="002A6FF1" w:rsidRDefault="5F884969" w:rsidP="5F884969">
      <w:pPr>
        <w:spacing w:after="0"/>
        <w:ind w:firstLine="540"/>
        <w:rPr>
          <w:rFonts w:ascii="Calibri" w:eastAsia="Times New Roman" w:hAnsi="Calibri"/>
          <w:sz w:val="20"/>
          <w:szCs w:val="20"/>
        </w:rPr>
      </w:pPr>
      <w:r w:rsidRPr="5F884969">
        <w:rPr>
          <w:rFonts w:ascii="Calibri" w:eastAsia="Times New Roman" w:hAnsi="Calibri"/>
          <w:b/>
          <w:bCs/>
          <w:i/>
          <w:iCs/>
          <w:sz w:val="20"/>
          <w:szCs w:val="20"/>
        </w:rPr>
        <w:lastRenderedPageBreak/>
        <w:t>Figure 17:</w:t>
      </w:r>
      <w:r w:rsidRPr="5F884969">
        <w:rPr>
          <w:rFonts w:ascii="Calibri" w:eastAsia="Times New Roman" w:hAnsi="Calibri"/>
          <w:sz w:val="20"/>
          <w:szCs w:val="20"/>
        </w:rPr>
        <w:t xml:space="preserve"> Percentage of owner-occupied vs renter occupied housing in Burlington, VT, by Census Tract.</w:t>
      </w:r>
    </w:p>
    <w:p w14:paraId="29B3B7E6" w14:textId="3E048F4A" w:rsidR="002A6FF1" w:rsidRDefault="002A6FF1" w:rsidP="002A6FF1">
      <w:pPr>
        <w:spacing w:after="0"/>
        <w:ind w:firstLine="540"/>
        <w:rPr>
          <w:rFonts w:ascii="Calibri" w:eastAsia="Times New Roman" w:hAnsi="Calibri"/>
        </w:rPr>
      </w:pPr>
      <w:r>
        <w:rPr>
          <w:rFonts w:ascii="Calibri" w:eastAsia="Times New Roman" w:hAnsi="Calibri"/>
          <w:noProof/>
          <w:lang w:eastAsia="en-US"/>
        </w:rPr>
        <w:drawing>
          <wp:inline distT="0" distB="0" distL="0" distR="0" wp14:anchorId="4FF9D8DB" wp14:editId="3F0134A2">
            <wp:extent cx="5870705" cy="2855699"/>
            <wp:effectExtent l="25400" t="25400" r="22225" b="14605"/>
            <wp:docPr id="46" name="Picture 46" descr="../Screen%20Shot%202017-07-11%20at%2011.29.4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7-11%20at%2011.29.43%20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0974" cy="2923930"/>
                    </a:xfrm>
                    <a:prstGeom prst="rect">
                      <a:avLst/>
                    </a:prstGeom>
                    <a:noFill/>
                    <a:ln>
                      <a:solidFill>
                        <a:schemeClr val="tx1"/>
                      </a:solidFill>
                    </a:ln>
                  </pic:spPr>
                </pic:pic>
              </a:graphicData>
            </a:graphic>
          </wp:inline>
        </w:drawing>
      </w:r>
    </w:p>
    <w:p w14:paraId="2C4CF3FC" w14:textId="77777777" w:rsidR="002A6FF1" w:rsidRDefault="002A6FF1" w:rsidP="002A6FF1">
      <w:pPr>
        <w:spacing w:after="0"/>
        <w:ind w:firstLine="540"/>
        <w:rPr>
          <w:rFonts w:ascii="Calibri" w:eastAsia="Times New Roman" w:hAnsi="Calibri"/>
        </w:rPr>
      </w:pPr>
    </w:p>
    <w:p w14:paraId="0F8C8D14" w14:textId="77777777" w:rsidR="002A6FF1" w:rsidRDefault="5F884969" w:rsidP="5F884969">
      <w:pPr>
        <w:pStyle w:val="ListParagraph"/>
        <w:spacing w:after="0"/>
        <w:ind w:left="547"/>
        <w:contextualSpacing w:val="0"/>
        <w:rPr>
          <w:rFonts w:ascii="Calibri" w:eastAsia="Times New Roman" w:hAnsi="Calibri"/>
          <w:sz w:val="20"/>
          <w:szCs w:val="20"/>
        </w:rPr>
      </w:pPr>
      <w:r w:rsidRPr="5F884969">
        <w:rPr>
          <w:rFonts w:ascii="Calibri" w:eastAsia="Times New Roman" w:hAnsi="Calibri"/>
          <w:b/>
          <w:bCs/>
          <w:i/>
          <w:iCs/>
          <w:sz w:val="20"/>
          <w:szCs w:val="20"/>
        </w:rPr>
        <w:t>Figure 18:</w:t>
      </w:r>
      <w:r w:rsidRPr="5F884969">
        <w:rPr>
          <w:rFonts w:ascii="Calibri" w:eastAsia="Times New Roman" w:hAnsi="Calibri"/>
          <w:sz w:val="20"/>
          <w:szCs w:val="20"/>
        </w:rPr>
        <w:t xml:space="preserve"> 2015 Demographic Estimates for Burlington, VT Census Tracts.</w:t>
      </w:r>
    </w:p>
    <w:p w14:paraId="718E8040" w14:textId="1B29ABF5" w:rsidR="002A6FF1" w:rsidRPr="00852936" w:rsidRDefault="002A6FF1" w:rsidP="00852936">
      <w:pPr>
        <w:pStyle w:val="ListParagraph"/>
        <w:ind w:left="547"/>
        <w:contextualSpacing w:val="0"/>
        <w:rPr>
          <w:rFonts w:ascii="Calibri" w:eastAsia="Times New Roman" w:hAnsi="Calibri"/>
          <w:sz w:val="20"/>
          <w:szCs w:val="20"/>
        </w:rPr>
      </w:pPr>
      <w:r>
        <w:rPr>
          <w:noProof/>
          <w:lang w:eastAsia="en-US"/>
        </w:rPr>
        <w:drawing>
          <wp:inline distT="0" distB="0" distL="0" distR="0" wp14:anchorId="20321139" wp14:editId="3BCB6BDC">
            <wp:extent cx="5943600" cy="2409190"/>
            <wp:effectExtent l="19050" t="19050" r="1905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409190"/>
                    </a:xfrm>
                    <a:prstGeom prst="rect">
                      <a:avLst/>
                    </a:prstGeom>
                    <a:ln>
                      <a:solidFill>
                        <a:schemeClr val="tx1"/>
                      </a:solidFill>
                    </a:ln>
                  </pic:spPr>
                </pic:pic>
              </a:graphicData>
            </a:graphic>
          </wp:inline>
        </w:drawing>
      </w:r>
    </w:p>
    <w:p w14:paraId="3A346CC5" w14:textId="15D32E40" w:rsidR="00DE2CD5" w:rsidRPr="003E0590" w:rsidRDefault="5F884969" w:rsidP="5F884969">
      <w:pPr>
        <w:pStyle w:val="ListParagraph"/>
        <w:ind w:left="547"/>
        <w:contextualSpacing w:val="0"/>
        <w:rPr>
          <w:b/>
          <w:bCs/>
          <w:i/>
        </w:rPr>
      </w:pPr>
      <w:r w:rsidRPr="003E0590">
        <w:rPr>
          <w:b/>
          <w:bCs/>
          <w:i/>
        </w:rPr>
        <w:t xml:space="preserve"> Discuss whether there are any demographic trends, policies, or practices that could lead to higher segregation in the jurisdiction in the future. </w:t>
      </w:r>
      <w:r w:rsidRPr="003E0590">
        <w:rPr>
          <w:rFonts w:eastAsia="Times New Roman"/>
          <w:b/>
          <w:bCs/>
          <w:i/>
        </w:rPr>
        <w:t>Participants should focus on patterns that affect the jurisdiction and region rather than creating an inventory of local laws, policies, or practices.</w:t>
      </w:r>
    </w:p>
    <w:p w14:paraId="4EEE4D65" w14:textId="6CCC11CF" w:rsidR="00852936" w:rsidRPr="00081725" w:rsidRDefault="5F884969" w:rsidP="00081725">
      <w:pPr>
        <w:pStyle w:val="ListParagraph"/>
        <w:widowControl w:val="0"/>
        <w:autoSpaceDE w:val="0"/>
        <w:autoSpaceDN w:val="0"/>
        <w:adjustRightInd w:val="0"/>
        <w:ind w:left="540"/>
        <w:rPr>
          <w:rFonts w:ascii="Calibri" w:hAnsi="Calibri" w:cs="Times"/>
          <w:color w:val="000000" w:themeColor="text1"/>
        </w:rPr>
      </w:pPr>
      <w:r w:rsidRPr="5F884969">
        <w:rPr>
          <w:rFonts w:ascii="Calibri" w:hAnsi="Calibri" w:cs="Times"/>
          <w:color w:val="000000" w:themeColor="text1"/>
        </w:rPr>
        <w:t>Policies that reduce affordable housing, or isolate the location of affordable housing to certain areas within Burlington will likely lead to higher segregation. Similarly, policies that reduce public transit opportunities, or increase the cost of public transit, will likely increase localize</w:t>
      </w:r>
      <w:r w:rsidR="003E0590">
        <w:rPr>
          <w:rFonts w:ascii="Calibri" w:hAnsi="Calibri" w:cs="Times"/>
          <w:color w:val="000000" w:themeColor="text1"/>
        </w:rPr>
        <w:t>d</w:t>
      </w:r>
      <w:r w:rsidRPr="5F884969">
        <w:rPr>
          <w:rFonts w:ascii="Calibri" w:hAnsi="Calibri" w:cs="Times"/>
          <w:color w:val="000000" w:themeColor="text1"/>
        </w:rPr>
        <w:t xml:space="preserve"> segregation of populations based on socioeconomic factors. There are several areas with a higher proportion of rental properties and conversely, several tracts with a high percentage of owner-occupied units. This imbalance could lead to higher segregation in the jurisdiction. While the Inclusionary Zoning Ordinance has been successful in creating inclusive communities, it does not apply to housing </w:t>
      </w:r>
      <w:r w:rsidRPr="5F884969">
        <w:rPr>
          <w:rFonts w:ascii="Calibri" w:hAnsi="Calibri" w:cs="Times"/>
          <w:color w:val="000000" w:themeColor="text1"/>
        </w:rPr>
        <w:lastRenderedPageBreak/>
        <w:t xml:space="preserve">projects under 5 units. Therefore, the most urbanized areas of the City, where new developments might tend towards infill projects, </w:t>
      </w:r>
      <w:proofErr w:type="gramStart"/>
      <w:r w:rsidRPr="5F884969">
        <w:rPr>
          <w:rFonts w:ascii="Calibri" w:hAnsi="Calibri" w:cs="Times"/>
          <w:color w:val="000000" w:themeColor="text1"/>
        </w:rPr>
        <w:t>the</w:t>
      </w:r>
      <w:proofErr w:type="gramEnd"/>
      <w:r w:rsidRPr="5F884969">
        <w:rPr>
          <w:rFonts w:ascii="Calibri" w:hAnsi="Calibri" w:cs="Times"/>
          <w:color w:val="000000" w:themeColor="text1"/>
        </w:rPr>
        <w:t xml:space="preserve"> absence of inclusionary zoning application migh</w:t>
      </w:r>
      <w:r w:rsidR="00081725">
        <w:rPr>
          <w:rFonts w:ascii="Calibri" w:hAnsi="Calibri" w:cs="Times"/>
          <w:color w:val="000000" w:themeColor="text1"/>
        </w:rPr>
        <w:t>t exacerbate segregation trends.</w:t>
      </w:r>
    </w:p>
    <w:p w14:paraId="79C2DDA8" w14:textId="77777777" w:rsidR="006158E2" w:rsidRPr="00081725" w:rsidRDefault="5F884969" w:rsidP="002F7C2E">
      <w:pPr>
        <w:ind w:left="540"/>
        <w:outlineLvl w:val="0"/>
        <w:rPr>
          <w:b/>
          <w:bCs/>
          <w:u w:val="single"/>
        </w:rPr>
      </w:pPr>
      <w:r w:rsidRPr="00081725">
        <w:rPr>
          <w:b/>
          <w:bCs/>
          <w:u w:val="single"/>
        </w:rPr>
        <w:t>Additional Information</w:t>
      </w:r>
    </w:p>
    <w:p w14:paraId="731FC730" w14:textId="61A20658" w:rsidR="00F94C56" w:rsidRPr="00B000DF" w:rsidRDefault="5F884969" w:rsidP="00756E7A">
      <w:pPr>
        <w:spacing w:line="240" w:lineRule="auto"/>
        <w:ind w:left="540"/>
        <w:rPr>
          <w:rFonts w:ascii="Calibri" w:eastAsia="Times New Roman" w:hAnsi="Calibri" w:cs="Times New Roman"/>
          <w:b/>
          <w:bCs/>
          <w:i/>
        </w:rPr>
      </w:pPr>
      <w:r w:rsidRPr="00B000DF">
        <w:rPr>
          <w:rFonts w:ascii="Calibri" w:hAnsi="Calibri" w:cs="Calibri"/>
          <w:b/>
          <w:bCs/>
          <w:i/>
          <w:color w:val="000000" w:themeColor="text1"/>
        </w:rPr>
        <w:t xml:space="preserve">Beyond the HUD-provided data, provide additional relevant information, if any, about segregation in the jurisdiction and region </w:t>
      </w:r>
      <w:r w:rsidRPr="00B000DF">
        <w:rPr>
          <w:rFonts w:ascii="Calibri" w:hAnsi="Calibri" w:cs="Calibri"/>
          <w:i/>
          <w:color w:val="000000" w:themeColor="text1"/>
        </w:rPr>
        <w:t>affecting</w:t>
      </w:r>
      <w:r w:rsidRPr="00B000DF">
        <w:rPr>
          <w:rFonts w:ascii="Calibri" w:hAnsi="Calibri" w:cs="Calibri"/>
          <w:b/>
          <w:bCs/>
          <w:i/>
          <w:color w:val="000000" w:themeColor="text1"/>
        </w:rPr>
        <w:t xml:space="preserve"> groups with other protected characteristics.</w:t>
      </w:r>
    </w:p>
    <w:p w14:paraId="333D2BBF" w14:textId="77777777" w:rsidR="00F94C56" w:rsidRPr="00D16ADE" w:rsidRDefault="6A6D091A" w:rsidP="6A6D091A">
      <w:pPr>
        <w:pStyle w:val="ListParagraph"/>
        <w:ind w:left="540"/>
        <w:rPr>
          <w:rFonts w:ascii="Calibri" w:eastAsia="Calibri" w:hAnsi="Calibri" w:cs="Calibri"/>
          <w:highlight w:val="yellow"/>
        </w:rPr>
      </w:pPr>
      <w:r w:rsidRPr="6A6D091A">
        <w:rPr>
          <w:rFonts w:ascii="Calibri" w:eastAsia="Calibri" w:hAnsi="Calibri" w:cs="Calibri"/>
        </w:rPr>
        <w:t xml:space="preserve">Through almost two dozen interviews with individuals from a variety of protected classes, it became clear that Burlington’s challenges with segregation are particular and nuanced. While there are no explicit areas of concentrated racial or ethnic poverty as defined by HUD, the City certainly contains specific areas and neighborhoods, slightly smaller than census tracts, where higher levels of poverty coincide with concentrated groups of New Americans, immigrant families, and more generally, groups receiving benefits from the state - housing or otherwise. </w:t>
      </w:r>
    </w:p>
    <w:p w14:paraId="43BE6706" w14:textId="7C6861B4" w:rsidR="006158E2" w:rsidRPr="00F94C56" w:rsidRDefault="006158E2" w:rsidP="0024558A">
      <w:pPr>
        <w:pStyle w:val="ListParagraph"/>
        <w:ind w:left="540"/>
        <w:rPr>
          <w:b/>
        </w:rPr>
      </w:pPr>
    </w:p>
    <w:p w14:paraId="6A0107AA" w14:textId="7CF285FE" w:rsidR="00F94C56" w:rsidRPr="00B000DF" w:rsidRDefault="5F884969" w:rsidP="5F884969">
      <w:pPr>
        <w:pStyle w:val="ListParagraph"/>
        <w:widowControl w:val="0"/>
        <w:autoSpaceDE w:val="0"/>
        <w:autoSpaceDN w:val="0"/>
        <w:adjustRightInd w:val="0"/>
        <w:spacing w:after="0" w:line="240" w:lineRule="auto"/>
        <w:ind w:left="540"/>
        <w:rPr>
          <w:rFonts w:ascii="Calibri" w:hAnsi="Calibri" w:cs="Times"/>
          <w:b/>
          <w:bCs/>
          <w:i/>
          <w:color w:val="000000" w:themeColor="text1"/>
        </w:rPr>
      </w:pPr>
      <w:r w:rsidRPr="00B000DF">
        <w:rPr>
          <w:rFonts w:ascii="Calibri" w:hAnsi="Calibri" w:cs="Calibri"/>
          <w:b/>
          <w:bCs/>
          <w:i/>
          <w:color w:val="000000" w:themeColor="text1"/>
        </w:rPr>
        <w:t xml:space="preserve">The program participant may also describe other information relevant to its assessment of segregation, including activities such as place-based investments and mobility options for protected class groups. </w:t>
      </w:r>
    </w:p>
    <w:p w14:paraId="4B793804" w14:textId="42647578" w:rsidR="00F94C56" w:rsidRDefault="00F94C56" w:rsidP="0024558A">
      <w:pPr>
        <w:pStyle w:val="ListParagraph"/>
        <w:ind w:left="540"/>
      </w:pPr>
    </w:p>
    <w:p w14:paraId="350592C7" w14:textId="3EB2FE55" w:rsidR="00F94C56" w:rsidRPr="00A1334A" w:rsidRDefault="5F884969" w:rsidP="5F884969">
      <w:pPr>
        <w:pStyle w:val="ListParagraph"/>
        <w:widowControl w:val="0"/>
        <w:autoSpaceDE w:val="0"/>
        <w:autoSpaceDN w:val="0"/>
        <w:adjustRightInd w:val="0"/>
        <w:ind w:left="540"/>
        <w:rPr>
          <w:rFonts w:ascii="Calibri" w:hAnsi="Calibri" w:cs="Times"/>
          <w:color w:val="000000" w:themeColor="text1"/>
        </w:rPr>
      </w:pPr>
      <w:r w:rsidRPr="5F884969">
        <w:rPr>
          <w:rFonts w:ascii="Calibri" w:hAnsi="Calibri" w:cs="Calibri"/>
          <w:color w:val="000000" w:themeColor="text1"/>
        </w:rPr>
        <w:t>Several factors contribute to the assessment of segregation in the jurisdiction and region. As a refugee resettlement community, 300+ new arrivals annually must access housing within the community, either with private landlords, sponsoring families or friends. During their first months, agencies assist refugees with housing applications, and other supportive services for language and job skills. Once units within the affordable housing inventory and the waitlist opens up, new arrivals access public and/or affordable properties. The properties with larger units, also hold a number of refugee families. In Burlington’s New North End, the Franklin Square property contains 37 units 3 bedrooms or larger and is home to</w:t>
      </w:r>
      <w:r w:rsidR="00C66B18">
        <w:rPr>
          <w:rFonts w:ascii="Calibri" w:hAnsi="Calibri" w:cs="Calibri"/>
          <w:color w:val="000000" w:themeColor="text1"/>
        </w:rPr>
        <w:t xml:space="preserve"> a number of families of African descent. At</w:t>
      </w:r>
      <w:r w:rsidRPr="5F884969">
        <w:rPr>
          <w:rFonts w:ascii="Calibri" w:hAnsi="Calibri" w:cs="Calibri"/>
          <w:color w:val="000000" w:themeColor="text1"/>
        </w:rPr>
        <w:t xml:space="preserve"> Riverside properties with 24 3 bedroom or larger units, refugee families include Nepali, Somali and other populations. The location of affordable housing properties, including those administered by the Housing Authorities as well as Champlain Housing Trust do influence the jurisdiction’s analysis of segregation. However, Burlington Housing Authority administers a robust and well distributed Section 8 program where individuals and families can access housing anywhere in their service area. The location of and access to public transportation heavily influences where voucher holders choose to live. Transportation options within the City of Burlington and surrounding urban core of Chittenden County are significantly greater than more rural areas of the region. In addition, access to jobs and services within the City influence housing options based on the need for public transportation. All these factors contribute to clusters of minority populations in the jurisdiction. Finally, the basic desire to live in communities with people from similar cultures, where one can also access specialty markets and food will also influence clustered living patterns. </w:t>
      </w:r>
    </w:p>
    <w:p w14:paraId="22FB61D3" w14:textId="77777777" w:rsidR="00F94C56" w:rsidRDefault="00F94C56" w:rsidP="0024558A">
      <w:pPr>
        <w:pStyle w:val="ListParagraph"/>
        <w:ind w:left="540"/>
      </w:pPr>
    </w:p>
    <w:p w14:paraId="52398071" w14:textId="77777777" w:rsidR="00F907B5" w:rsidRDefault="00F907B5" w:rsidP="0024558A">
      <w:pPr>
        <w:pStyle w:val="ListParagraph"/>
        <w:ind w:left="540"/>
      </w:pPr>
    </w:p>
    <w:p w14:paraId="03014ED0" w14:textId="77777777" w:rsidR="00F907B5" w:rsidRDefault="00F907B5" w:rsidP="0024558A">
      <w:pPr>
        <w:pStyle w:val="ListParagraph"/>
        <w:ind w:left="540"/>
      </w:pPr>
    </w:p>
    <w:p w14:paraId="64393A48" w14:textId="77777777" w:rsidR="00F907B5" w:rsidRDefault="00F907B5" w:rsidP="0024558A">
      <w:pPr>
        <w:pStyle w:val="ListParagraph"/>
        <w:ind w:left="540"/>
      </w:pPr>
    </w:p>
    <w:p w14:paraId="027DC942" w14:textId="77777777" w:rsidR="00F907B5" w:rsidRDefault="00F907B5" w:rsidP="0024558A">
      <w:pPr>
        <w:pStyle w:val="ListParagraph"/>
        <w:ind w:left="540"/>
      </w:pPr>
    </w:p>
    <w:p w14:paraId="0EC524C2" w14:textId="77777777" w:rsidR="00B000DF" w:rsidRDefault="00B000DF" w:rsidP="0024558A">
      <w:pPr>
        <w:pStyle w:val="ListParagraph"/>
        <w:ind w:left="540"/>
      </w:pPr>
    </w:p>
    <w:p w14:paraId="7A8327B8" w14:textId="77777777" w:rsidR="006158E2" w:rsidRPr="00460EF1" w:rsidRDefault="5F884969" w:rsidP="002F7C2E">
      <w:pPr>
        <w:pStyle w:val="ListParagraph"/>
        <w:ind w:left="540"/>
        <w:outlineLvl w:val="0"/>
        <w:rPr>
          <w:b/>
          <w:bCs/>
          <w:u w:val="single"/>
        </w:rPr>
      </w:pPr>
      <w:r w:rsidRPr="5F884969">
        <w:rPr>
          <w:b/>
          <w:bCs/>
          <w:u w:val="single"/>
        </w:rPr>
        <w:lastRenderedPageBreak/>
        <w:t>Contributing Factors of Segregation</w:t>
      </w:r>
    </w:p>
    <w:p w14:paraId="274CE9B9" w14:textId="45BA48FE" w:rsidR="006442D6" w:rsidRPr="00B000DF" w:rsidRDefault="5F884969" w:rsidP="5F884969">
      <w:pPr>
        <w:widowControl w:val="0"/>
        <w:autoSpaceDE w:val="0"/>
        <w:autoSpaceDN w:val="0"/>
        <w:adjustRightInd w:val="0"/>
        <w:ind w:left="540"/>
        <w:rPr>
          <w:rFonts w:ascii="Calibri" w:hAnsi="Calibri" w:cs="Calibri"/>
          <w:b/>
          <w:bCs/>
          <w:i/>
          <w:color w:val="000000" w:themeColor="text1"/>
        </w:rPr>
      </w:pPr>
      <w:r w:rsidRPr="00B000DF">
        <w:rPr>
          <w:rFonts w:ascii="Calibri" w:hAnsi="Calibri" w:cs="Calibri"/>
          <w:b/>
          <w:bCs/>
          <w:i/>
          <w:color w:val="000000" w:themeColor="text1"/>
        </w:rPr>
        <w:t xml:space="preserve">Consider the listed factors and any other factors affecting the jurisdiction and region. Identify factors that significantly create, contribute to, perpetuate, or increase the severity of segregation. </w:t>
      </w:r>
    </w:p>
    <w:p w14:paraId="242BC18E" w14:textId="77777777" w:rsidR="001017C5" w:rsidRPr="001017C5" w:rsidRDefault="6A6D091A" w:rsidP="000814F5">
      <w:pPr>
        <w:numPr>
          <w:ilvl w:val="0"/>
          <w:numId w:val="13"/>
        </w:numPr>
        <w:spacing w:after="0" w:line="240" w:lineRule="auto"/>
        <w:ind w:left="1440" w:hanging="360"/>
        <w:jc w:val="both"/>
        <w:textAlignment w:val="baseline"/>
        <w:rPr>
          <w:rFonts w:eastAsia="Times New Roman"/>
          <w:b/>
          <w:bCs/>
        </w:rPr>
      </w:pPr>
      <w:r w:rsidRPr="6A6D091A">
        <w:rPr>
          <w:rFonts w:ascii="Calibri" w:eastAsia="Calibri" w:hAnsi="Calibri" w:cs="Calibri"/>
          <w:b/>
          <w:bCs/>
        </w:rPr>
        <w:t>Location and type of affordable housing</w:t>
      </w:r>
    </w:p>
    <w:p w14:paraId="048EAED6" w14:textId="77777777" w:rsidR="001017C5" w:rsidRPr="004971C1" w:rsidRDefault="001017C5" w:rsidP="001017C5">
      <w:pPr>
        <w:spacing w:after="0" w:line="240" w:lineRule="auto"/>
        <w:ind w:left="1440"/>
        <w:jc w:val="both"/>
        <w:textAlignment w:val="baseline"/>
        <w:rPr>
          <w:rFonts w:eastAsia="Times New Roman"/>
          <w:spacing w:val="-6"/>
        </w:rPr>
      </w:pPr>
    </w:p>
    <w:p w14:paraId="1B34D1C3" w14:textId="124FF80D" w:rsidR="00460EF1" w:rsidRDefault="5F884969" w:rsidP="5F884969">
      <w:pPr>
        <w:pStyle w:val="ListParagraph"/>
        <w:ind w:left="540"/>
        <w:rPr>
          <w:rFonts w:ascii="Calibri" w:hAnsi="Calibri"/>
        </w:rPr>
      </w:pPr>
      <w:r w:rsidRPr="5F884969">
        <w:rPr>
          <w:rFonts w:ascii="Calibri" w:hAnsi="Calibri"/>
        </w:rPr>
        <w:t xml:space="preserve">As non-white populations grow in Burlington and the surrounding region, the location and type of affordable housing is crucial for keeping segregation levels low in Burlington. Often, it is difficult to disentangle cultural and socioeconomic factors, but it is clear that one of the best ways to increase integration throughout Burlington is to have mixed income housing distributed relatively evenly throughout the jurisdiction. Burlington’s inclusionary zoning ordinance also promotes diversity and inclusion and a recent study indicates it has been successful in that regard for the past 30 years. However, some types of affordable housing properties serve certain populations and therefore can limit housing choice. For example, Decker Towers, Thayer House, Heineberg Senior Housing, </w:t>
      </w:r>
      <w:proofErr w:type="spellStart"/>
      <w:r w:rsidRPr="5F884969">
        <w:rPr>
          <w:rFonts w:ascii="Calibri" w:hAnsi="Calibri"/>
        </w:rPr>
        <w:t>McAuley</w:t>
      </w:r>
      <w:proofErr w:type="spellEnd"/>
      <w:r w:rsidRPr="5F884969">
        <w:rPr>
          <w:rFonts w:ascii="Calibri" w:hAnsi="Calibri"/>
        </w:rPr>
        <w:t xml:space="preserve"> Square and Monroe Plan all provide housing for the elderly. Franklin Square, Riverside and Bobbin Mill apartments include a larger number of 3+ bedroom units, appealing to larger refugee families. </w:t>
      </w:r>
    </w:p>
    <w:p w14:paraId="283BCA47" w14:textId="20F7B4C4" w:rsidR="6A6D091A" w:rsidRDefault="6A6D091A" w:rsidP="6A6D091A">
      <w:pPr>
        <w:pStyle w:val="ListParagraph"/>
        <w:ind w:left="540"/>
        <w:rPr>
          <w:rFonts w:ascii="Calibri" w:hAnsi="Calibri"/>
        </w:rPr>
      </w:pPr>
    </w:p>
    <w:p w14:paraId="67926144" w14:textId="13131365" w:rsidR="6A6D091A" w:rsidRDefault="6A6D091A" w:rsidP="6A6D091A">
      <w:pPr>
        <w:pStyle w:val="ListParagraph"/>
        <w:numPr>
          <w:ilvl w:val="1"/>
          <w:numId w:val="1"/>
        </w:numPr>
      </w:pPr>
      <w:r w:rsidRPr="6A6D091A">
        <w:rPr>
          <w:rFonts w:ascii="Calibri" w:eastAsia="Calibri" w:hAnsi="Calibri" w:cs="Calibri"/>
          <w:b/>
          <w:bCs/>
        </w:rPr>
        <w:t>Private discrimination</w:t>
      </w:r>
    </w:p>
    <w:p w14:paraId="79C9FECF" w14:textId="23D351C9" w:rsidR="00A81815" w:rsidRPr="00F15708" w:rsidRDefault="6A6D091A" w:rsidP="00F15708">
      <w:pPr>
        <w:pStyle w:val="ListParagraph"/>
        <w:ind w:left="540"/>
        <w:rPr>
          <w:rFonts w:eastAsia="Times New Roman"/>
        </w:rPr>
      </w:pPr>
      <w:r w:rsidRPr="6A6D091A">
        <w:rPr>
          <w:rFonts w:ascii="Calibri" w:eastAsia="Calibri" w:hAnsi="Calibri" w:cs="Calibri"/>
        </w:rPr>
        <w:t>According to the Vermont Human Rights Commission, a majority of cases they investigated in 2016 were in the area of public accommodation. Cases on housing have declined over the past 3 years. Vermont Legal Aid mostly sees cases where there might be discrimination regarding the use of Section 8 vouchers, transgender or sexual orientation. During individual interviews and focus groups, a number of respondents noted being denied housing while using a Section 8 voucher or based on race.</w:t>
      </w:r>
    </w:p>
    <w:p w14:paraId="22791D8D" w14:textId="04480F9E" w:rsidR="00684669" w:rsidRPr="00684669" w:rsidRDefault="00684669" w:rsidP="6A6D091A">
      <w:pPr>
        <w:pStyle w:val="ListParagraph"/>
        <w:spacing w:after="0" w:line="240" w:lineRule="auto"/>
        <w:ind w:left="1080" w:hanging="360"/>
        <w:jc w:val="both"/>
        <w:rPr>
          <w:rFonts w:ascii="Calibri" w:eastAsia="Calibri" w:hAnsi="Calibri" w:cs="Calibri"/>
          <w:b/>
          <w:bCs/>
        </w:rPr>
      </w:pPr>
    </w:p>
    <w:p w14:paraId="545FF184" w14:textId="77777777" w:rsidR="0024558A" w:rsidRPr="0024558A" w:rsidRDefault="5F884969" w:rsidP="5F884969">
      <w:pPr>
        <w:pStyle w:val="ListParagraph"/>
        <w:numPr>
          <w:ilvl w:val="1"/>
          <w:numId w:val="2"/>
        </w:numPr>
        <w:ind w:left="540" w:hanging="360"/>
        <w:rPr>
          <w:rFonts w:ascii="Garamond" w:hAnsi="Garamond"/>
          <w:b/>
          <w:bCs/>
          <w:sz w:val="24"/>
          <w:szCs w:val="24"/>
        </w:rPr>
      </w:pPr>
      <w:bookmarkStart w:id="30" w:name="RECAPs"/>
      <w:r w:rsidRPr="5F884969">
        <w:rPr>
          <w:rFonts w:ascii="Garamond" w:hAnsi="Garamond"/>
          <w:b/>
          <w:bCs/>
          <w:sz w:val="24"/>
          <w:szCs w:val="24"/>
        </w:rPr>
        <w:t>Racially or Ethnically Concentrated Areas of Poverty (R/ECAPs)</w:t>
      </w:r>
    </w:p>
    <w:bookmarkEnd w:id="30"/>
    <w:p w14:paraId="30D36CEB" w14:textId="77777777" w:rsidR="00684669" w:rsidRPr="00684669" w:rsidRDefault="5F884969" w:rsidP="002F7C2E">
      <w:pPr>
        <w:ind w:left="540"/>
        <w:outlineLvl w:val="0"/>
        <w:rPr>
          <w:rFonts w:ascii="Calibri" w:hAnsi="Calibri"/>
          <w:b/>
          <w:bCs/>
          <w:u w:val="single"/>
        </w:rPr>
      </w:pPr>
      <w:r w:rsidRPr="5F884969">
        <w:rPr>
          <w:rFonts w:ascii="Calibri" w:hAnsi="Calibri"/>
          <w:b/>
          <w:bCs/>
          <w:u w:val="single"/>
        </w:rPr>
        <w:t>Key Findings</w:t>
      </w:r>
    </w:p>
    <w:p w14:paraId="3A064232" w14:textId="77777777" w:rsidR="00684669" w:rsidRPr="00E728C7" w:rsidRDefault="5F884969" w:rsidP="5F884969">
      <w:pPr>
        <w:pStyle w:val="ListParagraph"/>
        <w:numPr>
          <w:ilvl w:val="0"/>
          <w:numId w:val="7"/>
        </w:numPr>
        <w:spacing w:after="0" w:line="240" w:lineRule="auto"/>
        <w:ind w:left="900"/>
        <w:rPr>
          <w:rFonts w:ascii="Calibri" w:hAnsi="Calibri"/>
          <w:b/>
          <w:bCs/>
        </w:rPr>
      </w:pPr>
      <w:r w:rsidRPr="5F884969">
        <w:rPr>
          <w:rFonts w:ascii="Calibri" w:hAnsi="Calibri"/>
        </w:rPr>
        <w:t>There are no designated R/ECAPS in Burlington, Vermont.</w:t>
      </w:r>
    </w:p>
    <w:p w14:paraId="7FC14052" w14:textId="05F40AC9" w:rsidR="0024558A" w:rsidRDefault="0024558A" w:rsidP="0024558A">
      <w:pPr>
        <w:pStyle w:val="ListParagraph"/>
        <w:ind w:left="540"/>
      </w:pPr>
    </w:p>
    <w:p w14:paraId="7E4E7AC9" w14:textId="48DFF089" w:rsidR="00684669" w:rsidRPr="00CB6619" w:rsidRDefault="5F884969" w:rsidP="002F7C2E">
      <w:pPr>
        <w:pStyle w:val="ListParagraph"/>
        <w:ind w:left="540"/>
        <w:outlineLvl w:val="0"/>
        <w:rPr>
          <w:b/>
          <w:bCs/>
          <w:u w:val="single"/>
        </w:rPr>
      </w:pPr>
      <w:r w:rsidRPr="5F884969">
        <w:rPr>
          <w:b/>
          <w:bCs/>
          <w:u w:val="single"/>
        </w:rPr>
        <w:t>Analysis</w:t>
      </w:r>
    </w:p>
    <w:p w14:paraId="0CAE5150" w14:textId="3C1FDF20" w:rsidR="00274516" w:rsidRPr="00B000DF" w:rsidRDefault="5F884969" w:rsidP="5F884969">
      <w:pPr>
        <w:pStyle w:val="ListParagraph"/>
        <w:ind w:left="540"/>
        <w:rPr>
          <w:b/>
          <w:bCs/>
          <w:i/>
        </w:rPr>
      </w:pPr>
      <w:r w:rsidRPr="5F884969">
        <w:rPr>
          <w:b/>
          <w:bCs/>
        </w:rPr>
        <w:t xml:space="preserve"> </w:t>
      </w:r>
      <w:r w:rsidRPr="00B000DF">
        <w:rPr>
          <w:b/>
          <w:bCs/>
          <w:i/>
        </w:rPr>
        <w:t xml:space="preserve">Identify any R/ECAPs or groupings of R/ECAP tracts within the jurisdiction and region. </w:t>
      </w:r>
    </w:p>
    <w:p w14:paraId="39B6AFCC" w14:textId="77777777" w:rsidR="00274516" w:rsidRDefault="00274516" w:rsidP="0024558A">
      <w:pPr>
        <w:pStyle w:val="ListParagraph"/>
        <w:ind w:left="540"/>
        <w:rPr>
          <w:b/>
        </w:rPr>
      </w:pPr>
    </w:p>
    <w:p w14:paraId="572D4F47" w14:textId="77777777" w:rsidR="00F95A45" w:rsidRDefault="00F95A45" w:rsidP="002F7C2E">
      <w:pPr>
        <w:pStyle w:val="ListParagraph"/>
        <w:ind w:left="540"/>
        <w:outlineLvl w:val="0"/>
        <w:rPr>
          <w:b/>
          <w:bCs/>
          <w:i/>
          <w:iCs/>
          <w:sz w:val="23"/>
          <w:szCs w:val="23"/>
        </w:rPr>
      </w:pPr>
      <w:r>
        <w:rPr>
          <w:b/>
          <w:bCs/>
          <w:i/>
          <w:iCs/>
          <w:sz w:val="23"/>
          <w:szCs w:val="23"/>
        </w:rPr>
        <w:t xml:space="preserve">The AFFH rule defines “racially or ethnically concentrated areas of poverty” as “a geographic area with significant concentrations of poverty and minority concentrations.” 24 C.F.R. § 5.152. </w:t>
      </w:r>
    </w:p>
    <w:p w14:paraId="470A5E0C" w14:textId="77777777" w:rsidR="00F95A45" w:rsidRDefault="00F95A45" w:rsidP="002F7C2E">
      <w:pPr>
        <w:pStyle w:val="ListParagraph"/>
        <w:ind w:left="540"/>
        <w:outlineLvl w:val="0"/>
        <w:rPr>
          <w:b/>
          <w:bCs/>
          <w:i/>
          <w:iCs/>
          <w:sz w:val="23"/>
          <w:szCs w:val="23"/>
        </w:rPr>
      </w:pPr>
    </w:p>
    <w:p w14:paraId="42E24AB1" w14:textId="004736B5" w:rsidR="00274516" w:rsidRDefault="5F884969" w:rsidP="002F7C2E">
      <w:pPr>
        <w:pStyle w:val="ListParagraph"/>
        <w:ind w:left="540"/>
        <w:outlineLvl w:val="0"/>
      </w:pPr>
      <w:r>
        <w:t>There are no R/ECAPs in the Burlington, VT jurisdiction or region.</w:t>
      </w:r>
    </w:p>
    <w:p w14:paraId="2BD3BAB0" w14:textId="77777777" w:rsidR="00274516" w:rsidRDefault="00274516" w:rsidP="0024558A">
      <w:pPr>
        <w:pStyle w:val="ListParagraph"/>
        <w:ind w:left="540"/>
        <w:rPr>
          <w:b/>
        </w:rPr>
      </w:pPr>
    </w:p>
    <w:p w14:paraId="7258F571" w14:textId="0A85AAE6" w:rsidR="00274516" w:rsidRPr="00B000DF" w:rsidRDefault="5F884969" w:rsidP="5F884969">
      <w:pPr>
        <w:pStyle w:val="ListParagraph"/>
        <w:ind w:left="540"/>
        <w:rPr>
          <w:b/>
          <w:bCs/>
          <w:i/>
        </w:rPr>
      </w:pPr>
      <w:r w:rsidRPr="00B000DF">
        <w:rPr>
          <w:b/>
          <w:bCs/>
          <w:i/>
        </w:rPr>
        <w:t xml:space="preserve">Describe and identify the predominant protected classes residing in R/ECAPs in the jurisdiction and region.  How do these demographics of the R/ECAPs compare with the demographics of the jurisdiction and region? </w:t>
      </w:r>
    </w:p>
    <w:p w14:paraId="6168B401" w14:textId="77777777" w:rsidR="00274516" w:rsidRDefault="00274516" w:rsidP="0024558A">
      <w:pPr>
        <w:pStyle w:val="ListParagraph"/>
        <w:ind w:left="540"/>
        <w:rPr>
          <w:b/>
        </w:rPr>
      </w:pPr>
    </w:p>
    <w:p w14:paraId="7FD10D0F" w14:textId="77777777" w:rsidR="00274516" w:rsidRDefault="5F884969" w:rsidP="002F7C2E">
      <w:pPr>
        <w:pStyle w:val="ListParagraph"/>
        <w:ind w:left="540"/>
        <w:outlineLvl w:val="0"/>
      </w:pPr>
      <w:r>
        <w:t>There are no R/ECAPs in the Burlington, VT jurisdiction or region.</w:t>
      </w:r>
    </w:p>
    <w:p w14:paraId="42353A81" w14:textId="77777777" w:rsidR="00274516" w:rsidRDefault="00274516" w:rsidP="0024558A">
      <w:pPr>
        <w:pStyle w:val="ListParagraph"/>
        <w:ind w:left="540"/>
        <w:rPr>
          <w:b/>
        </w:rPr>
      </w:pPr>
    </w:p>
    <w:p w14:paraId="521B9428" w14:textId="447CCCC4" w:rsidR="00684669" w:rsidRPr="004F3444" w:rsidRDefault="5F884969" w:rsidP="5F884969">
      <w:pPr>
        <w:pStyle w:val="ListParagraph"/>
        <w:ind w:left="540"/>
        <w:rPr>
          <w:b/>
          <w:bCs/>
          <w:i/>
          <w:iCs/>
        </w:rPr>
      </w:pPr>
      <w:r w:rsidRPr="004F3444">
        <w:rPr>
          <w:b/>
          <w:bCs/>
          <w:i/>
        </w:rPr>
        <w:t>Describe how R/ECAPs have changed over time in the jurisdiction and region (since 1990).</w:t>
      </w:r>
    </w:p>
    <w:p w14:paraId="6757894D" w14:textId="442188AA" w:rsidR="004121A4" w:rsidRDefault="004121A4" w:rsidP="0024558A">
      <w:pPr>
        <w:pStyle w:val="ListParagraph"/>
        <w:ind w:left="540"/>
        <w:rPr>
          <w:b/>
          <w:i/>
        </w:rPr>
      </w:pPr>
    </w:p>
    <w:p w14:paraId="69AE4E70" w14:textId="77777777" w:rsidR="00274516" w:rsidRDefault="5F884969" w:rsidP="002F7C2E">
      <w:pPr>
        <w:pStyle w:val="ListParagraph"/>
        <w:ind w:left="540"/>
        <w:outlineLvl w:val="0"/>
      </w:pPr>
      <w:r>
        <w:t>There are no R/ECAPs in the Burlington, VT jurisdiction or region.</w:t>
      </w:r>
    </w:p>
    <w:p w14:paraId="6C4A921B" w14:textId="77777777" w:rsidR="00F8280E" w:rsidRDefault="00F8280E" w:rsidP="0024558A">
      <w:pPr>
        <w:pStyle w:val="ListParagraph"/>
        <w:ind w:left="540"/>
      </w:pPr>
    </w:p>
    <w:p w14:paraId="18F08D98" w14:textId="596A5E5F" w:rsidR="00684669" w:rsidRPr="004F3444" w:rsidRDefault="5F884969" w:rsidP="002F7C2E">
      <w:pPr>
        <w:pStyle w:val="ListParagraph"/>
        <w:ind w:left="540"/>
        <w:outlineLvl w:val="0"/>
        <w:rPr>
          <w:b/>
          <w:bCs/>
          <w:i/>
          <w:u w:val="single"/>
        </w:rPr>
      </w:pPr>
      <w:r w:rsidRPr="004F3444">
        <w:rPr>
          <w:b/>
          <w:bCs/>
          <w:i/>
          <w:u w:val="single"/>
        </w:rPr>
        <w:t>Additional Information</w:t>
      </w:r>
    </w:p>
    <w:p w14:paraId="4D926000" w14:textId="01F5BA68" w:rsidR="00015844" w:rsidRPr="004F3444" w:rsidRDefault="5F884969" w:rsidP="5F884969">
      <w:pPr>
        <w:pStyle w:val="ListParagraph"/>
        <w:widowControl w:val="0"/>
        <w:autoSpaceDE w:val="0"/>
        <w:autoSpaceDN w:val="0"/>
        <w:adjustRightInd w:val="0"/>
        <w:spacing w:after="0" w:line="240" w:lineRule="auto"/>
        <w:ind w:left="540"/>
        <w:rPr>
          <w:rFonts w:ascii="Calibri" w:hAnsi="Calibri" w:cs="Times"/>
          <w:b/>
          <w:bCs/>
          <w:i/>
          <w:color w:val="000000" w:themeColor="text1"/>
        </w:rPr>
      </w:pPr>
      <w:r w:rsidRPr="004F3444">
        <w:rPr>
          <w:rFonts w:ascii="Calibri" w:hAnsi="Calibri" w:cs="Calibri"/>
          <w:b/>
          <w:bCs/>
          <w:i/>
          <w:color w:val="000000" w:themeColor="text1"/>
        </w:rPr>
        <w:t>Beyond the HUD-provided data, provide additional relevant information, if any, about R/ECAPs in the jurisdiction and region affecting groups with other protected characteristi</w:t>
      </w:r>
      <w:r w:rsidR="00F15708" w:rsidRPr="004F3444">
        <w:rPr>
          <w:rFonts w:ascii="Calibri" w:hAnsi="Calibri" w:cs="Calibri"/>
          <w:b/>
          <w:bCs/>
          <w:i/>
          <w:color w:val="000000" w:themeColor="text1"/>
        </w:rPr>
        <w:t>cs.</w:t>
      </w:r>
    </w:p>
    <w:p w14:paraId="610E8418" w14:textId="12FA4894" w:rsidR="004121A4" w:rsidRDefault="004121A4" w:rsidP="0024558A">
      <w:pPr>
        <w:pStyle w:val="ListParagraph"/>
        <w:ind w:left="540"/>
        <w:rPr>
          <w:b/>
          <w:i/>
        </w:rPr>
      </w:pPr>
    </w:p>
    <w:p w14:paraId="6A07407C" w14:textId="7C8B2D5B" w:rsidR="00F15708" w:rsidRDefault="00F15708" w:rsidP="002F7C2E">
      <w:pPr>
        <w:pStyle w:val="ListParagraph"/>
        <w:ind w:left="540"/>
        <w:outlineLvl w:val="0"/>
      </w:pPr>
      <w:r>
        <w:t>N/A</w:t>
      </w:r>
    </w:p>
    <w:p w14:paraId="3341C0B8" w14:textId="77777777" w:rsidR="00F15708" w:rsidRPr="00F15708" w:rsidRDefault="00F15708" w:rsidP="0024558A">
      <w:pPr>
        <w:pStyle w:val="ListParagraph"/>
        <w:ind w:left="540"/>
      </w:pPr>
    </w:p>
    <w:p w14:paraId="55C21CFA" w14:textId="62B0766C" w:rsidR="00015844" w:rsidRPr="004F3444" w:rsidRDefault="5F884969" w:rsidP="5F884969">
      <w:pPr>
        <w:pStyle w:val="ListParagraph"/>
        <w:widowControl w:val="0"/>
        <w:autoSpaceDE w:val="0"/>
        <w:autoSpaceDN w:val="0"/>
        <w:adjustRightInd w:val="0"/>
        <w:spacing w:after="0" w:line="240" w:lineRule="auto"/>
        <w:ind w:left="540"/>
        <w:rPr>
          <w:rFonts w:ascii="Calibri" w:hAnsi="Calibri" w:cs="Times"/>
          <w:b/>
          <w:bCs/>
          <w:i/>
          <w:color w:val="000000" w:themeColor="text1"/>
        </w:rPr>
      </w:pPr>
      <w:r w:rsidRPr="004F3444">
        <w:rPr>
          <w:rFonts w:ascii="Calibri" w:hAnsi="Calibri" w:cs="Calibri"/>
          <w:b/>
          <w:bCs/>
          <w:i/>
          <w:color w:val="000000" w:themeColor="text1"/>
        </w:rPr>
        <w:t xml:space="preserve">The program participant may also describe other information relevant to its assessment of R/ECAPs, including activities such as place-based investments and mobility options for protected class groups. </w:t>
      </w:r>
    </w:p>
    <w:p w14:paraId="26BF14A2" w14:textId="4D940B8A" w:rsidR="004121A4" w:rsidRDefault="004121A4" w:rsidP="0024558A">
      <w:pPr>
        <w:pStyle w:val="ListParagraph"/>
        <w:ind w:left="540"/>
      </w:pPr>
    </w:p>
    <w:p w14:paraId="60BABF93" w14:textId="57E9F888" w:rsidR="00CB6619" w:rsidRDefault="00F15708" w:rsidP="002F7C2E">
      <w:pPr>
        <w:pStyle w:val="ListParagraph"/>
        <w:ind w:left="540"/>
        <w:outlineLvl w:val="0"/>
      </w:pPr>
      <w:r>
        <w:t>N/A</w:t>
      </w:r>
    </w:p>
    <w:p w14:paraId="2BC44B15" w14:textId="12B75253" w:rsidR="00684669" w:rsidRPr="004F3444" w:rsidRDefault="5F884969" w:rsidP="002F7C2E">
      <w:pPr>
        <w:pStyle w:val="ListParagraph"/>
        <w:ind w:left="540"/>
        <w:outlineLvl w:val="0"/>
        <w:rPr>
          <w:b/>
          <w:bCs/>
          <w:i/>
          <w:u w:val="single"/>
        </w:rPr>
      </w:pPr>
      <w:r w:rsidRPr="004F3444">
        <w:rPr>
          <w:b/>
          <w:bCs/>
          <w:i/>
          <w:u w:val="single"/>
        </w:rPr>
        <w:t>Contributing Factors of R/ECAPs</w:t>
      </w:r>
    </w:p>
    <w:p w14:paraId="443041FC" w14:textId="160C027E" w:rsidR="006C3907" w:rsidRPr="007602BF" w:rsidRDefault="5F884969" w:rsidP="007602BF">
      <w:pPr>
        <w:widowControl w:val="0"/>
        <w:autoSpaceDE w:val="0"/>
        <w:autoSpaceDN w:val="0"/>
        <w:adjustRightInd w:val="0"/>
        <w:ind w:left="540"/>
        <w:rPr>
          <w:rFonts w:ascii="Calibri" w:hAnsi="Calibri" w:cs="Calibri"/>
          <w:b/>
          <w:bCs/>
          <w:color w:val="000000" w:themeColor="text1"/>
        </w:rPr>
      </w:pPr>
      <w:r w:rsidRPr="004F3444">
        <w:rPr>
          <w:rFonts w:ascii="Calibri" w:hAnsi="Calibri" w:cs="Calibri"/>
          <w:b/>
          <w:bCs/>
          <w:i/>
          <w:color w:val="000000" w:themeColor="text1"/>
        </w:rPr>
        <w:t>Consider the listed factors and any other factors affecting the jurisdiction and region. Identify factors that significantly create, contribute to, perpetuate, or increase the severity of R/ECAPs.</w:t>
      </w:r>
      <w:r w:rsidRPr="5F884969">
        <w:rPr>
          <w:rFonts w:ascii="Calibri" w:hAnsi="Calibri" w:cs="Calibri"/>
          <w:b/>
          <w:bCs/>
          <w:color w:val="000000" w:themeColor="text1"/>
        </w:rPr>
        <w:t xml:space="preserve"> </w:t>
      </w:r>
      <w:r w:rsidR="0018779F">
        <w:rPr>
          <w:rFonts w:ascii="Calibri" w:hAnsi="Calibri" w:cs="Calibri"/>
          <w:b/>
          <w:bCs/>
          <w:color w:val="000000" w:themeColor="text1"/>
        </w:rPr>
        <w:t>N/A</w:t>
      </w:r>
    </w:p>
    <w:p w14:paraId="798EC0E0" w14:textId="4BC6294A" w:rsidR="00602E8C" w:rsidRDefault="5F884969" w:rsidP="00EE7037">
      <w:pPr>
        <w:widowControl w:val="0"/>
        <w:tabs>
          <w:tab w:val="left" w:pos="220"/>
          <w:tab w:val="left" w:pos="720"/>
        </w:tabs>
        <w:autoSpaceDE w:val="0"/>
        <w:autoSpaceDN w:val="0"/>
        <w:adjustRightInd w:val="0"/>
        <w:ind w:left="540"/>
        <w:rPr>
          <w:rFonts w:ascii="Calibri" w:hAnsi="Calibri" w:cs="Times"/>
          <w:color w:val="000000" w:themeColor="text1"/>
        </w:rPr>
      </w:pPr>
      <w:r w:rsidRPr="5F884969">
        <w:rPr>
          <w:rFonts w:ascii="Calibri" w:hAnsi="Calibri" w:cs="Times"/>
          <w:color w:val="000000" w:themeColor="text1"/>
        </w:rPr>
        <w:t>For similar reasons mentioned earlier, policies that create pockets of homogeneously priced housing will likely increase segregation, which, as overall nonwhite populations grow, could lead to areas within Burlington to become classified as an R/ECAP.</w:t>
      </w:r>
    </w:p>
    <w:p w14:paraId="309BA978" w14:textId="77777777" w:rsidR="007602BF" w:rsidRPr="00EE7037" w:rsidRDefault="007602BF" w:rsidP="00EE7037">
      <w:pPr>
        <w:widowControl w:val="0"/>
        <w:tabs>
          <w:tab w:val="left" w:pos="220"/>
          <w:tab w:val="left" w:pos="720"/>
        </w:tabs>
        <w:autoSpaceDE w:val="0"/>
        <w:autoSpaceDN w:val="0"/>
        <w:adjustRightInd w:val="0"/>
        <w:ind w:left="540"/>
        <w:rPr>
          <w:rFonts w:ascii="Calibri" w:hAnsi="Calibri" w:cs="Times"/>
          <w:color w:val="000000" w:themeColor="text1"/>
        </w:rPr>
      </w:pPr>
    </w:p>
    <w:p w14:paraId="70DFF3AC" w14:textId="77777777" w:rsidR="0024558A" w:rsidRPr="0024558A" w:rsidRDefault="5F884969" w:rsidP="5F884969">
      <w:pPr>
        <w:pStyle w:val="ListParagraph"/>
        <w:numPr>
          <w:ilvl w:val="1"/>
          <w:numId w:val="2"/>
        </w:numPr>
        <w:ind w:left="540" w:hanging="360"/>
        <w:rPr>
          <w:rFonts w:ascii="Garamond" w:hAnsi="Garamond"/>
          <w:b/>
          <w:bCs/>
          <w:sz w:val="24"/>
          <w:szCs w:val="24"/>
        </w:rPr>
      </w:pPr>
      <w:bookmarkStart w:id="31" w:name="DisparitiesInAccesstoOpportunity"/>
      <w:r w:rsidRPr="5F884969">
        <w:rPr>
          <w:rFonts w:ascii="Garamond" w:hAnsi="Garamond"/>
          <w:b/>
          <w:bCs/>
          <w:sz w:val="24"/>
          <w:szCs w:val="24"/>
        </w:rPr>
        <w:t>Disparities in Access to Opportunity</w:t>
      </w:r>
    </w:p>
    <w:bookmarkEnd w:id="31"/>
    <w:p w14:paraId="2D28CED3" w14:textId="77777777" w:rsidR="004121A4" w:rsidRPr="00684669" w:rsidRDefault="5F884969" w:rsidP="002F7C2E">
      <w:pPr>
        <w:ind w:left="540"/>
        <w:outlineLvl w:val="0"/>
        <w:rPr>
          <w:rFonts w:ascii="Calibri" w:hAnsi="Calibri"/>
          <w:b/>
          <w:bCs/>
          <w:u w:val="single"/>
        </w:rPr>
      </w:pPr>
      <w:r w:rsidRPr="5F884969">
        <w:rPr>
          <w:rFonts w:ascii="Calibri" w:hAnsi="Calibri"/>
          <w:b/>
          <w:bCs/>
          <w:u w:val="single"/>
        </w:rPr>
        <w:t>Key Findings</w:t>
      </w:r>
    </w:p>
    <w:p w14:paraId="12889606" w14:textId="77777777" w:rsidR="004121A4" w:rsidRDefault="5F884969" w:rsidP="00943EE1">
      <w:pPr>
        <w:pStyle w:val="ListParagraph"/>
        <w:numPr>
          <w:ilvl w:val="0"/>
          <w:numId w:val="8"/>
        </w:numPr>
        <w:spacing w:after="0" w:line="240" w:lineRule="auto"/>
        <w:ind w:left="900"/>
      </w:pPr>
      <w:r>
        <w:t xml:space="preserve">There are more disparities in access to proficient schools among racial/ethnic groups for those living in poverty than the populations as a whole. </w:t>
      </w:r>
    </w:p>
    <w:p w14:paraId="1CF01C01" w14:textId="77777777" w:rsidR="004121A4" w:rsidRDefault="5F884969" w:rsidP="00943EE1">
      <w:pPr>
        <w:pStyle w:val="ListParagraph"/>
        <w:numPr>
          <w:ilvl w:val="0"/>
          <w:numId w:val="8"/>
        </w:numPr>
        <w:spacing w:after="0" w:line="240" w:lineRule="auto"/>
        <w:ind w:left="900"/>
      </w:pPr>
      <w:r w:rsidRPr="5F884969">
        <w:rPr>
          <w:rFonts w:cs="Times New Roman"/>
        </w:rPr>
        <w:t>Blacks living below the poverty line live closer to where they work and have higher levels of labor engagement than any other race</w:t>
      </w:r>
      <w:r>
        <w:t>.</w:t>
      </w:r>
    </w:p>
    <w:p w14:paraId="426F1234" w14:textId="77777777" w:rsidR="004121A4" w:rsidRDefault="5F884969" w:rsidP="00943EE1">
      <w:pPr>
        <w:pStyle w:val="ListParagraph"/>
        <w:numPr>
          <w:ilvl w:val="0"/>
          <w:numId w:val="8"/>
        </w:numPr>
        <w:spacing w:after="0" w:line="240" w:lineRule="auto"/>
        <w:ind w:left="900"/>
      </w:pPr>
      <w:r>
        <w:t>Access to transportation is higher within Burlington than in the region as a whole, although transportation costs between these areas are not significantly different.</w:t>
      </w:r>
    </w:p>
    <w:p w14:paraId="3A1A2570" w14:textId="77777777" w:rsidR="004121A4" w:rsidRDefault="5F884969" w:rsidP="00943EE1">
      <w:pPr>
        <w:pStyle w:val="ListParagraph"/>
        <w:numPr>
          <w:ilvl w:val="0"/>
          <w:numId w:val="8"/>
        </w:numPr>
        <w:spacing w:after="0" w:line="240" w:lineRule="auto"/>
        <w:ind w:left="900"/>
      </w:pPr>
      <w:r>
        <w:t>Black populations have higher exposure to poverty than any other population, and exposure to poverty is higher within Burlington than in the region.</w:t>
      </w:r>
    </w:p>
    <w:p w14:paraId="181B1DA5" w14:textId="77777777" w:rsidR="004121A4" w:rsidRDefault="5F884969" w:rsidP="00943EE1">
      <w:pPr>
        <w:pStyle w:val="ListParagraph"/>
        <w:numPr>
          <w:ilvl w:val="0"/>
          <w:numId w:val="8"/>
        </w:numPr>
        <w:spacing w:after="0" w:line="240" w:lineRule="auto"/>
        <w:ind w:left="900"/>
      </w:pPr>
      <w:r>
        <w:t>There is low disparity between access to environmentally healthy neighborhoods overall, although more disparity exists when considering only those below the federal poverty line, suggesting a socioeconomic factor.</w:t>
      </w:r>
    </w:p>
    <w:p w14:paraId="5B1A4ABD" w14:textId="77777777" w:rsidR="004121A4" w:rsidRDefault="004121A4" w:rsidP="004121A4">
      <w:pPr>
        <w:pStyle w:val="ListParagraph"/>
        <w:ind w:left="540"/>
      </w:pPr>
    </w:p>
    <w:p w14:paraId="1AB210E6" w14:textId="77777777" w:rsidR="004121A4" w:rsidRPr="00CB6619" w:rsidRDefault="5F884969" w:rsidP="002F7C2E">
      <w:pPr>
        <w:pStyle w:val="ListParagraph"/>
        <w:ind w:left="540"/>
        <w:outlineLvl w:val="0"/>
        <w:rPr>
          <w:b/>
          <w:bCs/>
          <w:u w:val="single"/>
        </w:rPr>
      </w:pPr>
      <w:r w:rsidRPr="5F884969">
        <w:rPr>
          <w:b/>
          <w:bCs/>
          <w:u w:val="single"/>
        </w:rPr>
        <w:t>Analysis</w:t>
      </w:r>
    </w:p>
    <w:p w14:paraId="66C2540A" w14:textId="3FCBD78A" w:rsidR="00FD6C4F" w:rsidRPr="00EE7037" w:rsidRDefault="5F884969" w:rsidP="00EE7037">
      <w:pPr>
        <w:pStyle w:val="ListParagraph"/>
        <w:widowControl w:val="0"/>
        <w:autoSpaceDE w:val="0"/>
        <w:autoSpaceDN w:val="0"/>
        <w:adjustRightInd w:val="0"/>
        <w:ind w:left="540"/>
        <w:rPr>
          <w:rFonts w:ascii="Calibri" w:hAnsi="Calibri" w:cs="Times"/>
          <w:color w:val="000000" w:themeColor="text1"/>
        </w:rPr>
      </w:pPr>
      <w:r w:rsidRPr="5F884969">
        <w:rPr>
          <w:rFonts w:ascii="Calibri" w:hAnsi="Calibri" w:cs="Times"/>
          <w:color w:val="000000" w:themeColor="text1"/>
        </w:rPr>
        <w:t xml:space="preserve">In this section, we analyze the presence and degree of disparities in access to opportunity among </w:t>
      </w:r>
      <w:r w:rsidRPr="5F884969">
        <w:rPr>
          <w:rFonts w:ascii="Calibri" w:hAnsi="Calibri" w:cs="Times"/>
          <w:color w:val="000000" w:themeColor="text1"/>
        </w:rPr>
        <w:lastRenderedPageBreak/>
        <w:t>various populations in Burlington (</w:t>
      </w:r>
      <w:r w:rsidR="0007699E">
        <w:rPr>
          <w:rFonts w:ascii="Calibri" w:hAnsi="Calibri" w:cs="Times"/>
          <w:color w:val="000000" w:themeColor="text1"/>
        </w:rPr>
        <w:t>Table 14</w:t>
      </w:r>
      <w:r w:rsidRPr="5F884969">
        <w:rPr>
          <w:rFonts w:ascii="Calibri" w:hAnsi="Calibri" w:cs="Times"/>
          <w:color w:val="000000" w:themeColor="text1"/>
        </w:rPr>
        <w:t>) and the greater Burlington-South Burlington region (</w:t>
      </w:r>
      <w:r w:rsidR="0007699E">
        <w:rPr>
          <w:rFonts w:ascii="Calibri" w:hAnsi="Calibri" w:cs="Times"/>
          <w:color w:val="000000" w:themeColor="text1"/>
        </w:rPr>
        <w:t>Table 15</w:t>
      </w:r>
      <w:r w:rsidRPr="5F884969">
        <w:rPr>
          <w:rFonts w:ascii="Calibri" w:hAnsi="Calibri" w:cs="Times"/>
          <w:color w:val="000000" w:themeColor="text1"/>
        </w:rPr>
        <w:t>). These two tables show seven indices of opportunity: the 1) Low Poverty Index, 2) School Proficiency Index, 3) Labor Market Engagement Index,</w:t>
      </w:r>
      <w:proofErr w:type="gramStart"/>
      <w:r w:rsidRPr="5F884969">
        <w:rPr>
          <w:rFonts w:ascii="Calibri" w:hAnsi="Calibri" w:cs="Times"/>
          <w:color w:val="000000" w:themeColor="text1"/>
        </w:rPr>
        <w:t xml:space="preserve"> 4) Transit Trip index, 5) Low Transportation Cost Index, 6) Jobs Proximity Index, and 7) the Environmental Health Index</w:t>
      </w:r>
      <w:proofErr w:type="gramEnd"/>
      <w:r w:rsidRPr="5F884969">
        <w:rPr>
          <w:rFonts w:ascii="Calibri" w:hAnsi="Calibri" w:cs="Times"/>
          <w:color w:val="000000" w:themeColor="text1"/>
        </w:rPr>
        <w:t xml:space="preserve">. Each of these indices are described in more detail below, but in general, higher values are used to denote higher levels opportunity. </w:t>
      </w:r>
    </w:p>
    <w:p w14:paraId="17220757" w14:textId="6E87383F" w:rsidR="00B77446" w:rsidRPr="00B77446" w:rsidRDefault="0007699E" w:rsidP="5F884969">
      <w:pPr>
        <w:spacing w:after="0"/>
        <w:rPr>
          <w:sz w:val="20"/>
          <w:szCs w:val="20"/>
        </w:rPr>
      </w:pPr>
      <w:r>
        <w:rPr>
          <w:b/>
          <w:bCs/>
          <w:i/>
          <w:iCs/>
          <w:sz w:val="20"/>
          <w:szCs w:val="20"/>
        </w:rPr>
        <w:t>Table 14</w:t>
      </w:r>
      <w:r w:rsidR="5F884969" w:rsidRPr="5F884969">
        <w:rPr>
          <w:b/>
          <w:bCs/>
          <w:i/>
          <w:iCs/>
          <w:sz w:val="20"/>
          <w:szCs w:val="20"/>
        </w:rPr>
        <w:t>:</w:t>
      </w:r>
      <w:r w:rsidR="5F884969" w:rsidRPr="5F884969">
        <w:rPr>
          <w:sz w:val="20"/>
          <w:szCs w:val="20"/>
        </w:rPr>
        <w:t xml:space="preserve"> Opportunity Indicators by Race/Ethnicity for Burlington, VT. </w:t>
      </w:r>
      <w:r w:rsidR="5F884969" w:rsidRPr="5F884969">
        <w:rPr>
          <w:rFonts w:ascii="Calibri" w:eastAsia="Times New Roman" w:hAnsi="Calibri"/>
          <w:color w:val="000000" w:themeColor="text1"/>
          <w:sz w:val="20"/>
          <w:szCs w:val="20"/>
        </w:rPr>
        <w:t>Sources: Decennial Census; ACS; Great Schools; Common Core of Data; SABINS; LAI; LEHD; NATA</w:t>
      </w:r>
      <w:r w:rsidR="5F884969" w:rsidRPr="5F884969">
        <w:rPr>
          <w:sz w:val="20"/>
          <w:szCs w:val="20"/>
        </w:rPr>
        <w:t xml:space="preserve"> .</w:t>
      </w:r>
    </w:p>
    <w:tbl>
      <w:tblPr>
        <w:tblW w:w="10533" w:type="dxa"/>
        <w:jc w:val="center"/>
        <w:tblLook w:val="04A0" w:firstRow="1" w:lastRow="0" w:firstColumn="1" w:lastColumn="0" w:noHBand="0" w:noVBand="1"/>
      </w:tblPr>
      <w:tblGrid>
        <w:gridCol w:w="1782"/>
        <w:gridCol w:w="925"/>
        <w:gridCol w:w="1309"/>
        <w:gridCol w:w="949"/>
        <w:gridCol w:w="1088"/>
        <w:gridCol w:w="1584"/>
        <w:gridCol w:w="1335"/>
        <w:gridCol w:w="1561"/>
      </w:tblGrid>
      <w:tr w:rsidR="00B77446" w:rsidRPr="004918AF" w14:paraId="6CCC2685" w14:textId="77777777" w:rsidTr="00EE7037">
        <w:trPr>
          <w:trHeight w:val="269"/>
          <w:jc w:val="center"/>
        </w:trPr>
        <w:tc>
          <w:tcPr>
            <w:tcW w:w="10533" w:type="dxa"/>
            <w:gridSpan w:val="8"/>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7CB496A" w14:textId="2A27589F" w:rsidR="00B77446" w:rsidRPr="004918AF" w:rsidRDefault="0007699E" w:rsidP="5F884969">
            <w:pPr>
              <w:spacing w:after="0"/>
              <w:rPr>
                <w:rFonts w:ascii="Calibri" w:eastAsia="Times New Roman" w:hAnsi="Calibri"/>
                <w:b/>
                <w:bCs/>
                <w:color w:val="000000" w:themeColor="text1"/>
              </w:rPr>
            </w:pPr>
            <w:r>
              <w:rPr>
                <w:rFonts w:ascii="Calibri" w:eastAsia="Times New Roman" w:hAnsi="Calibri"/>
                <w:b/>
                <w:bCs/>
                <w:color w:val="000000" w:themeColor="text1"/>
              </w:rPr>
              <w:t>Table 14</w:t>
            </w:r>
            <w:r w:rsidR="5F884969" w:rsidRPr="5F884969">
              <w:rPr>
                <w:rFonts w:ascii="Calibri" w:eastAsia="Times New Roman" w:hAnsi="Calibri"/>
                <w:b/>
                <w:bCs/>
                <w:color w:val="000000" w:themeColor="text1"/>
              </w:rPr>
              <w:t>:  Opportunity Indicators, by Race/Ethnicity (Burlington)</w:t>
            </w:r>
          </w:p>
        </w:tc>
      </w:tr>
      <w:tr w:rsidR="00EE7037" w:rsidRPr="00D028DF" w14:paraId="1A3091D5" w14:textId="77777777" w:rsidTr="00EE7037">
        <w:trPr>
          <w:trHeight w:val="125"/>
          <w:jc w:val="center"/>
        </w:trPr>
        <w:tc>
          <w:tcPr>
            <w:tcW w:w="178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EEB34D" w14:textId="77777777" w:rsidR="00B77446" w:rsidRPr="004918AF" w:rsidRDefault="00B77446" w:rsidP="0025019A">
            <w:pPr>
              <w:spacing w:after="0"/>
              <w:rPr>
                <w:rFonts w:ascii="Calibri" w:eastAsia="Times New Roman" w:hAnsi="Calibri"/>
                <w:b/>
                <w:bCs/>
                <w:color w:val="000000"/>
              </w:rPr>
            </w:pPr>
          </w:p>
        </w:tc>
        <w:tc>
          <w:tcPr>
            <w:tcW w:w="925" w:type="dxa"/>
            <w:tcBorders>
              <w:top w:val="nil"/>
              <w:left w:val="nil"/>
              <w:bottom w:val="single" w:sz="4" w:space="0" w:color="auto"/>
              <w:right w:val="single" w:sz="4" w:space="0" w:color="auto"/>
            </w:tcBorders>
            <w:shd w:val="clear" w:color="auto" w:fill="D9D9D9" w:themeFill="background1" w:themeFillShade="D9"/>
            <w:vAlign w:val="center"/>
            <w:hideMark/>
          </w:tcPr>
          <w:p w14:paraId="56617BE5"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Low Poverty</w:t>
            </w:r>
            <w:r w:rsidR="00B77446">
              <w:br/>
            </w:r>
            <w:r w:rsidRPr="5F884969">
              <w:rPr>
                <w:rFonts w:ascii="Calibri" w:eastAsia="Times New Roman" w:hAnsi="Calibri"/>
                <w:b/>
                <w:bCs/>
                <w:color w:val="000000" w:themeColor="text1"/>
              </w:rPr>
              <w:t>Index</w:t>
            </w:r>
          </w:p>
        </w:tc>
        <w:tc>
          <w:tcPr>
            <w:tcW w:w="1309" w:type="dxa"/>
            <w:tcBorders>
              <w:top w:val="nil"/>
              <w:left w:val="nil"/>
              <w:bottom w:val="single" w:sz="4" w:space="0" w:color="auto"/>
              <w:right w:val="single" w:sz="4" w:space="0" w:color="auto"/>
            </w:tcBorders>
            <w:shd w:val="clear" w:color="auto" w:fill="D9D9D9" w:themeFill="background1" w:themeFillShade="D9"/>
            <w:vAlign w:val="center"/>
            <w:hideMark/>
          </w:tcPr>
          <w:p w14:paraId="74DAE1D2"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xml:space="preserve">School </w:t>
            </w:r>
            <w:r w:rsidR="00B77446">
              <w:br/>
            </w:r>
            <w:r w:rsidRPr="5F884969">
              <w:rPr>
                <w:rFonts w:ascii="Calibri" w:eastAsia="Times New Roman" w:hAnsi="Calibri"/>
                <w:b/>
                <w:bCs/>
                <w:color w:val="000000" w:themeColor="text1"/>
              </w:rPr>
              <w:t xml:space="preserve">Proficiency </w:t>
            </w:r>
            <w:r w:rsidR="00B77446">
              <w:br/>
            </w:r>
            <w:r w:rsidRPr="5F884969">
              <w:rPr>
                <w:rFonts w:ascii="Calibri" w:eastAsia="Times New Roman" w:hAnsi="Calibri"/>
                <w:b/>
                <w:bCs/>
                <w:color w:val="000000" w:themeColor="text1"/>
              </w:rPr>
              <w:t>Index</w:t>
            </w:r>
          </w:p>
        </w:tc>
        <w:tc>
          <w:tcPr>
            <w:tcW w:w="949" w:type="dxa"/>
            <w:tcBorders>
              <w:top w:val="nil"/>
              <w:left w:val="nil"/>
              <w:bottom w:val="single" w:sz="4" w:space="0" w:color="auto"/>
              <w:right w:val="single" w:sz="4" w:space="0" w:color="auto"/>
            </w:tcBorders>
            <w:shd w:val="clear" w:color="auto" w:fill="D9D9D9" w:themeFill="background1" w:themeFillShade="D9"/>
            <w:vAlign w:val="center"/>
            <w:hideMark/>
          </w:tcPr>
          <w:p w14:paraId="0C162922"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xml:space="preserve">Labor Market </w:t>
            </w:r>
            <w:r w:rsidR="00B77446">
              <w:br/>
            </w:r>
            <w:r w:rsidRPr="5F884969">
              <w:rPr>
                <w:rFonts w:ascii="Calibri" w:eastAsia="Times New Roman" w:hAnsi="Calibri"/>
                <w:b/>
                <w:bCs/>
                <w:color w:val="000000" w:themeColor="text1"/>
              </w:rPr>
              <w:t>Index</w:t>
            </w:r>
          </w:p>
        </w:tc>
        <w:tc>
          <w:tcPr>
            <w:tcW w:w="1088" w:type="dxa"/>
            <w:tcBorders>
              <w:top w:val="nil"/>
              <w:left w:val="nil"/>
              <w:bottom w:val="single" w:sz="4" w:space="0" w:color="auto"/>
              <w:right w:val="single" w:sz="4" w:space="0" w:color="auto"/>
            </w:tcBorders>
            <w:shd w:val="clear" w:color="auto" w:fill="D9D9D9" w:themeFill="background1" w:themeFillShade="D9"/>
            <w:vAlign w:val="center"/>
            <w:hideMark/>
          </w:tcPr>
          <w:p w14:paraId="4934A9EF"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xml:space="preserve">Transit Trip  </w:t>
            </w:r>
            <w:r w:rsidR="00B77446">
              <w:br/>
            </w:r>
            <w:r w:rsidRPr="5F884969">
              <w:rPr>
                <w:rFonts w:ascii="Calibri" w:eastAsia="Times New Roman" w:hAnsi="Calibri"/>
                <w:b/>
                <w:bCs/>
                <w:color w:val="000000" w:themeColor="text1"/>
              </w:rPr>
              <w:t>Index</w:t>
            </w:r>
          </w:p>
        </w:tc>
        <w:tc>
          <w:tcPr>
            <w:tcW w:w="1584" w:type="dxa"/>
            <w:tcBorders>
              <w:top w:val="nil"/>
              <w:left w:val="nil"/>
              <w:bottom w:val="single" w:sz="4" w:space="0" w:color="auto"/>
              <w:right w:val="single" w:sz="4" w:space="0" w:color="auto"/>
            </w:tcBorders>
            <w:shd w:val="clear" w:color="auto" w:fill="D9D9D9" w:themeFill="background1" w:themeFillShade="D9"/>
            <w:vAlign w:val="center"/>
            <w:hideMark/>
          </w:tcPr>
          <w:p w14:paraId="04681297"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Low Transportation Cost Index</w:t>
            </w:r>
          </w:p>
        </w:tc>
        <w:tc>
          <w:tcPr>
            <w:tcW w:w="1335" w:type="dxa"/>
            <w:tcBorders>
              <w:top w:val="nil"/>
              <w:left w:val="nil"/>
              <w:bottom w:val="single" w:sz="4" w:space="0" w:color="auto"/>
              <w:right w:val="single" w:sz="4" w:space="0" w:color="auto"/>
            </w:tcBorders>
            <w:shd w:val="clear" w:color="auto" w:fill="D9D9D9" w:themeFill="background1" w:themeFillShade="D9"/>
            <w:vAlign w:val="center"/>
            <w:hideMark/>
          </w:tcPr>
          <w:p w14:paraId="279DD963"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xml:space="preserve">Jobs </w:t>
            </w:r>
            <w:r w:rsidR="00B77446">
              <w:br/>
            </w:r>
            <w:r w:rsidRPr="5F884969">
              <w:rPr>
                <w:rFonts w:ascii="Calibri" w:eastAsia="Times New Roman" w:hAnsi="Calibri"/>
                <w:b/>
                <w:bCs/>
                <w:color w:val="000000" w:themeColor="text1"/>
              </w:rPr>
              <w:t>Proximity Index</w:t>
            </w:r>
          </w:p>
        </w:tc>
        <w:tc>
          <w:tcPr>
            <w:tcW w:w="1561" w:type="dxa"/>
            <w:tcBorders>
              <w:top w:val="nil"/>
              <w:left w:val="nil"/>
              <w:bottom w:val="single" w:sz="4" w:space="0" w:color="auto"/>
              <w:right w:val="single" w:sz="4" w:space="0" w:color="auto"/>
            </w:tcBorders>
            <w:shd w:val="clear" w:color="auto" w:fill="D9D9D9" w:themeFill="background1" w:themeFillShade="D9"/>
            <w:vAlign w:val="center"/>
            <w:hideMark/>
          </w:tcPr>
          <w:p w14:paraId="6DA97D15"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Environmental Health Index</w:t>
            </w:r>
          </w:p>
        </w:tc>
      </w:tr>
      <w:tr w:rsidR="00EE7037" w:rsidRPr="00D028DF" w14:paraId="2F3E637F" w14:textId="77777777" w:rsidTr="00EE7037">
        <w:trPr>
          <w:trHeight w:val="90"/>
          <w:jc w:val="center"/>
        </w:trPr>
        <w:tc>
          <w:tcPr>
            <w:tcW w:w="1782" w:type="dxa"/>
            <w:tcBorders>
              <w:top w:val="nil"/>
              <w:left w:val="single" w:sz="4" w:space="0" w:color="auto"/>
              <w:bottom w:val="single" w:sz="4" w:space="0" w:color="auto"/>
              <w:right w:val="single" w:sz="4" w:space="0" w:color="auto"/>
            </w:tcBorders>
            <w:shd w:val="clear" w:color="auto" w:fill="DCE6F1"/>
            <w:vAlign w:val="center"/>
            <w:hideMark/>
          </w:tcPr>
          <w:p w14:paraId="54574DF4" w14:textId="77777777" w:rsidR="00B77446" w:rsidRPr="004918AF"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Total Population</w:t>
            </w:r>
          </w:p>
        </w:tc>
        <w:tc>
          <w:tcPr>
            <w:tcW w:w="925" w:type="dxa"/>
            <w:tcBorders>
              <w:top w:val="nil"/>
              <w:left w:val="nil"/>
              <w:bottom w:val="single" w:sz="4" w:space="0" w:color="auto"/>
              <w:right w:val="single" w:sz="4" w:space="0" w:color="auto"/>
            </w:tcBorders>
            <w:shd w:val="clear" w:color="auto" w:fill="DCE6F1"/>
            <w:vAlign w:val="center"/>
            <w:hideMark/>
          </w:tcPr>
          <w:p w14:paraId="34565E9C" w14:textId="77777777" w:rsidR="00B77446" w:rsidRPr="004918AF" w:rsidRDefault="00B77446" w:rsidP="0025019A">
            <w:pPr>
              <w:spacing w:after="0"/>
              <w:jc w:val="center"/>
              <w:rPr>
                <w:rFonts w:ascii="Calibri" w:eastAsia="Times New Roman" w:hAnsi="Calibri"/>
                <w:i/>
                <w:iCs/>
                <w:color w:val="000000"/>
              </w:rPr>
            </w:pPr>
          </w:p>
        </w:tc>
        <w:tc>
          <w:tcPr>
            <w:tcW w:w="1309" w:type="dxa"/>
            <w:tcBorders>
              <w:top w:val="nil"/>
              <w:left w:val="nil"/>
              <w:bottom w:val="single" w:sz="4" w:space="0" w:color="auto"/>
              <w:right w:val="single" w:sz="4" w:space="0" w:color="auto"/>
            </w:tcBorders>
            <w:shd w:val="clear" w:color="auto" w:fill="DCE6F1"/>
            <w:vAlign w:val="center"/>
            <w:hideMark/>
          </w:tcPr>
          <w:p w14:paraId="70785FC2" w14:textId="77777777" w:rsidR="00B77446" w:rsidRPr="004918AF" w:rsidRDefault="00B77446" w:rsidP="0025019A">
            <w:pPr>
              <w:spacing w:after="0"/>
              <w:jc w:val="center"/>
              <w:rPr>
                <w:rFonts w:ascii="Calibri" w:eastAsia="Times New Roman" w:hAnsi="Calibri"/>
                <w:i/>
                <w:iCs/>
                <w:color w:val="000000"/>
              </w:rPr>
            </w:pPr>
          </w:p>
        </w:tc>
        <w:tc>
          <w:tcPr>
            <w:tcW w:w="949" w:type="dxa"/>
            <w:tcBorders>
              <w:top w:val="nil"/>
              <w:left w:val="nil"/>
              <w:bottom w:val="single" w:sz="4" w:space="0" w:color="auto"/>
              <w:right w:val="single" w:sz="4" w:space="0" w:color="auto"/>
            </w:tcBorders>
            <w:shd w:val="clear" w:color="auto" w:fill="DCE6F1"/>
            <w:vAlign w:val="center"/>
            <w:hideMark/>
          </w:tcPr>
          <w:p w14:paraId="54FE948E" w14:textId="77777777" w:rsidR="00B77446" w:rsidRPr="004918AF" w:rsidRDefault="00B77446" w:rsidP="0025019A">
            <w:pPr>
              <w:spacing w:after="0"/>
              <w:jc w:val="center"/>
              <w:rPr>
                <w:rFonts w:ascii="Calibri" w:eastAsia="Times New Roman" w:hAnsi="Calibri"/>
                <w:i/>
                <w:iCs/>
                <w:color w:val="000000"/>
              </w:rPr>
            </w:pPr>
          </w:p>
        </w:tc>
        <w:tc>
          <w:tcPr>
            <w:tcW w:w="1088" w:type="dxa"/>
            <w:tcBorders>
              <w:top w:val="nil"/>
              <w:left w:val="nil"/>
              <w:bottom w:val="single" w:sz="4" w:space="0" w:color="auto"/>
              <w:right w:val="single" w:sz="4" w:space="0" w:color="auto"/>
            </w:tcBorders>
            <w:shd w:val="clear" w:color="auto" w:fill="DCE6F1"/>
            <w:vAlign w:val="center"/>
            <w:hideMark/>
          </w:tcPr>
          <w:p w14:paraId="4595E7D3" w14:textId="77777777" w:rsidR="00B77446" w:rsidRPr="004918AF" w:rsidRDefault="00B77446" w:rsidP="0025019A">
            <w:pPr>
              <w:spacing w:after="0"/>
              <w:jc w:val="center"/>
              <w:rPr>
                <w:rFonts w:ascii="Calibri" w:eastAsia="Times New Roman" w:hAnsi="Calibri"/>
                <w:i/>
                <w:iCs/>
                <w:color w:val="000000"/>
              </w:rPr>
            </w:pPr>
          </w:p>
        </w:tc>
        <w:tc>
          <w:tcPr>
            <w:tcW w:w="1584" w:type="dxa"/>
            <w:tcBorders>
              <w:top w:val="nil"/>
              <w:left w:val="nil"/>
              <w:bottom w:val="single" w:sz="4" w:space="0" w:color="auto"/>
              <w:right w:val="single" w:sz="4" w:space="0" w:color="auto"/>
            </w:tcBorders>
            <w:shd w:val="clear" w:color="auto" w:fill="DCE6F1"/>
            <w:vAlign w:val="center"/>
            <w:hideMark/>
          </w:tcPr>
          <w:p w14:paraId="22EB5422" w14:textId="77777777" w:rsidR="00B77446" w:rsidRPr="004918AF" w:rsidRDefault="00B77446" w:rsidP="0025019A">
            <w:pPr>
              <w:spacing w:after="0"/>
              <w:jc w:val="center"/>
              <w:rPr>
                <w:rFonts w:ascii="Calibri" w:eastAsia="Times New Roman" w:hAnsi="Calibri"/>
                <w:i/>
                <w:iCs/>
                <w:color w:val="000000"/>
              </w:rPr>
            </w:pPr>
          </w:p>
        </w:tc>
        <w:tc>
          <w:tcPr>
            <w:tcW w:w="1335" w:type="dxa"/>
            <w:tcBorders>
              <w:top w:val="nil"/>
              <w:left w:val="nil"/>
              <w:bottom w:val="single" w:sz="4" w:space="0" w:color="auto"/>
              <w:right w:val="single" w:sz="4" w:space="0" w:color="auto"/>
            </w:tcBorders>
            <w:shd w:val="clear" w:color="auto" w:fill="DCE6F1"/>
            <w:vAlign w:val="center"/>
            <w:hideMark/>
          </w:tcPr>
          <w:p w14:paraId="390764F5" w14:textId="77777777" w:rsidR="00B77446" w:rsidRPr="004918AF" w:rsidRDefault="00B77446" w:rsidP="0025019A">
            <w:pPr>
              <w:spacing w:after="0"/>
              <w:jc w:val="center"/>
              <w:rPr>
                <w:rFonts w:ascii="Calibri" w:eastAsia="Times New Roman" w:hAnsi="Calibri"/>
                <w:i/>
                <w:iCs/>
                <w:color w:val="000000"/>
              </w:rPr>
            </w:pPr>
          </w:p>
        </w:tc>
        <w:tc>
          <w:tcPr>
            <w:tcW w:w="1561" w:type="dxa"/>
            <w:tcBorders>
              <w:top w:val="nil"/>
              <w:left w:val="nil"/>
              <w:bottom w:val="single" w:sz="4" w:space="0" w:color="auto"/>
              <w:right w:val="single" w:sz="4" w:space="0" w:color="auto"/>
            </w:tcBorders>
            <w:shd w:val="clear" w:color="auto" w:fill="DCE6F1"/>
            <w:vAlign w:val="center"/>
            <w:hideMark/>
          </w:tcPr>
          <w:p w14:paraId="6BB8E537" w14:textId="77777777" w:rsidR="00B77446" w:rsidRPr="004918AF" w:rsidRDefault="00B77446" w:rsidP="0025019A">
            <w:pPr>
              <w:spacing w:after="0"/>
              <w:jc w:val="center"/>
              <w:rPr>
                <w:rFonts w:ascii="Calibri" w:eastAsia="Times New Roman" w:hAnsi="Calibri"/>
                <w:i/>
                <w:iCs/>
                <w:color w:val="000000"/>
              </w:rPr>
            </w:pPr>
          </w:p>
        </w:tc>
      </w:tr>
      <w:tr w:rsidR="00EE7037" w:rsidRPr="00D028DF" w14:paraId="314FE943" w14:textId="77777777" w:rsidTr="00EE7037">
        <w:trPr>
          <w:trHeight w:val="90"/>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077BC400"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White, Non-Hispanic</w:t>
            </w:r>
          </w:p>
        </w:tc>
        <w:tc>
          <w:tcPr>
            <w:tcW w:w="925" w:type="dxa"/>
            <w:tcBorders>
              <w:top w:val="nil"/>
              <w:left w:val="nil"/>
              <w:bottom w:val="single" w:sz="4" w:space="0" w:color="auto"/>
              <w:right w:val="single" w:sz="4" w:space="0" w:color="auto"/>
            </w:tcBorders>
            <w:shd w:val="clear" w:color="auto" w:fill="auto"/>
            <w:vAlign w:val="center"/>
            <w:hideMark/>
          </w:tcPr>
          <w:p w14:paraId="321AE4B4"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52.14</w:t>
            </w:r>
          </w:p>
        </w:tc>
        <w:tc>
          <w:tcPr>
            <w:tcW w:w="1309" w:type="dxa"/>
            <w:tcBorders>
              <w:top w:val="nil"/>
              <w:left w:val="nil"/>
              <w:bottom w:val="single" w:sz="4" w:space="0" w:color="auto"/>
              <w:right w:val="single" w:sz="4" w:space="0" w:color="auto"/>
            </w:tcBorders>
            <w:shd w:val="clear" w:color="auto" w:fill="auto"/>
            <w:vAlign w:val="center"/>
            <w:hideMark/>
          </w:tcPr>
          <w:p w14:paraId="4CC4A9C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41.88</w:t>
            </w:r>
          </w:p>
        </w:tc>
        <w:tc>
          <w:tcPr>
            <w:tcW w:w="949" w:type="dxa"/>
            <w:tcBorders>
              <w:top w:val="nil"/>
              <w:left w:val="nil"/>
              <w:bottom w:val="single" w:sz="4" w:space="0" w:color="auto"/>
              <w:right w:val="single" w:sz="4" w:space="0" w:color="auto"/>
            </w:tcBorders>
            <w:shd w:val="clear" w:color="auto" w:fill="auto"/>
            <w:vAlign w:val="center"/>
            <w:hideMark/>
          </w:tcPr>
          <w:p w14:paraId="2FB20FB6"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76.18</w:t>
            </w:r>
          </w:p>
        </w:tc>
        <w:tc>
          <w:tcPr>
            <w:tcW w:w="1088" w:type="dxa"/>
            <w:tcBorders>
              <w:top w:val="nil"/>
              <w:left w:val="nil"/>
              <w:bottom w:val="single" w:sz="4" w:space="0" w:color="auto"/>
              <w:right w:val="single" w:sz="4" w:space="0" w:color="auto"/>
            </w:tcBorders>
            <w:shd w:val="clear" w:color="auto" w:fill="auto"/>
            <w:vAlign w:val="center"/>
            <w:hideMark/>
          </w:tcPr>
          <w:p w14:paraId="5D11797B"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65.44</w:t>
            </w:r>
          </w:p>
        </w:tc>
        <w:tc>
          <w:tcPr>
            <w:tcW w:w="1584" w:type="dxa"/>
            <w:tcBorders>
              <w:top w:val="nil"/>
              <w:left w:val="nil"/>
              <w:bottom w:val="single" w:sz="4" w:space="0" w:color="auto"/>
              <w:right w:val="single" w:sz="4" w:space="0" w:color="auto"/>
            </w:tcBorders>
            <w:shd w:val="clear" w:color="auto" w:fill="auto"/>
            <w:vAlign w:val="center"/>
            <w:hideMark/>
          </w:tcPr>
          <w:p w14:paraId="026E3EA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80.31</w:t>
            </w:r>
          </w:p>
        </w:tc>
        <w:tc>
          <w:tcPr>
            <w:tcW w:w="1335" w:type="dxa"/>
            <w:tcBorders>
              <w:top w:val="nil"/>
              <w:left w:val="nil"/>
              <w:bottom w:val="single" w:sz="4" w:space="0" w:color="auto"/>
              <w:right w:val="single" w:sz="4" w:space="0" w:color="auto"/>
            </w:tcBorders>
            <w:shd w:val="clear" w:color="auto" w:fill="auto"/>
            <w:vAlign w:val="center"/>
            <w:hideMark/>
          </w:tcPr>
          <w:p w14:paraId="5A662D69"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59.45</w:t>
            </w:r>
          </w:p>
        </w:tc>
        <w:tc>
          <w:tcPr>
            <w:tcW w:w="1561" w:type="dxa"/>
            <w:tcBorders>
              <w:top w:val="nil"/>
              <w:left w:val="nil"/>
              <w:bottom w:val="single" w:sz="4" w:space="0" w:color="auto"/>
              <w:right w:val="single" w:sz="4" w:space="0" w:color="auto"/>
            </w:tcBorders>
            <w:shd w:val="clear" w:color="auto" w:fill="auto"/>
            <w:vAlign w:val="center"/>
            <w:hideMark/>
          </w:tcPr>
          <w:p w14:paraId="1CE8FD7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63.95</w:t>
            </w:r>
          </w:p>
        </w:tc>
      </w:tr>
      <w:tr w:rsidR="00EE7037" w:rsidRPr="00D028DF" w14:paraId="6AF2D454" w14:textId="77777777" w:rsidTr="00EE7037">
        <w:trPr>
          <w:trHeight w:val="420"/>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61B489ED"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Black, Non-Hispanic</w:t>
            </w:r>
          </w:p>
        </w:tc>
        <w:tc>
          <w:tcPr>
            <w:tcW w:w="925" w:type="dxa"/>
            <w:tcBorders>
              <w:top w:val="nil"/>
              <w:left w:val="nil"/>
              <w:bottom w:val="single" w:sz="4" w:space="0" w:color="auto"/>
              <w:right w:val="single" w:sz="4" w:space="0" w:color="auto"/>
            </w:tcBorders>
            <w:shd w:val="clear" w:color="auto" w:fill="auto"/>
            <w:vAlign w:val="center"/>
            <w:hideMark/>
          </w:tcPr>
          <w:p w14:paraId="661C3A16"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39.82</w:t>
            </w:r>
          </w:p>
        </w:tc>
        <w:tc>
          <w:tcPr>
            <w:tcW w:w="1309" w:type="dxa"/>
            <w:tcBorders>
              <w:top w:val="nil"/>
              <w:left w:val="nil"/>
              <w:bottom w:val="single" w:sz="4" w:space="0" w:color="auto"/>
              <w:right w:val="single" w:sz="4" w:space="0" w:color="auto"/>
            </w:tcBorders>
            <w:shd w:val="clear" w:color="auto" w:fill="auto"/>
            <w:vAlign w:val="center"/>
            <w:hideMark/>
          </w:tcPr>
          <w:p w14:paraId="63ED5AE5"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35.06</w:t>
            </w:r>
          </w:p>
        </w:tc>
        <w:tc>
          <w:tcPr>
            <w:tcW w:w="949" w:type="dxa"/>
            <w:tcBorders>
              <w:top w:val="nil"/>
              <w:left w:val="nil"/>
              <w:bottom w:val="single" w:sz="4" w:space="0" w:color="auto"/>
              <w:right w:val="single" w:sz="4" w:space="0" w:color="auto"/>
            </w:tcBorders>
            <w:shd w:val="clear" w:color="auto" w:fill="auto"/>
            <w:vAlign w:val="center"/>
            <w:hideMark/>
          </w:tcPr>
          <w:p w14:paraId="23C4FB8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69.98</w:t>
            </w:r>
          </w:p>
        </w:tc>
        <w:tc>
          <w:tcPr>
            <w:tcW w:w="1088" w:type="dxa"/>
            <w:tcBorders>
              <w:top w:val="nil"/>
              <w:left w:val="nil"/>
              <w:bottom w:val="single" w:sz="4" w:space="0" w:color="auto"/>
              <w:right w:val="single" w:sz="4" w:space="0" w:color="auto"/>
            </w:tcBorders>
            <w:shd w:val="clear" w:color="auto" w:fill="auto"/>
            <w:vAlign w:val="center"/>
            <w:hideMark/>
          </w:tcPr>
          <w:p w14:paraId="56F238F1"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65.96</w:t>
            </w:r>
          </w:p>
        </w:tc>
        <w:tc>
          <w:tcPr>
            <w:tcW w:w="1584" w:type="dxa"/>
            <w:tcBorders>
              <w:top w:val="nil"/>
              <w:left w:val="nil"/>
              <w:bottom w:val="single" w:sz="4" w:space="0" w:color="auto"/>
              <w:right w:val="single" w:sz="4" w:space="0" w:color="auto"/>
            </w:tcBorders>
            <w:shd w:val="clear" w:color="auto" w:fill="auto"/>
            <w:vAlign w:val="center"/>
            <w:hideMark/>
          </w:tcPr>
          <w:p w14:paraId="257F59A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81.18</w:t>
            </w:r>
          </w:p>
        </w:tc>
        <w:tc>
          <w:tcPr>
            <w:tcW w:w="1335" w:type="dxa"/>
            <w:tcBorders>
              <w:top w:val="nil"/>
              <w:left w:val="nil"/>
              <w:bottom w:val="single" w:sz="4" w:space="0" w:color="auto"/>
              <w:right w:val="single" w:sz="4" w:space="0" w:color="auto"/>
            </w:tcBorders>
            <w:shd w:val="clear" w:color="auto" w:fill="auto"/>
            <w:vAlign w:val="center"/>
            <w:hideMark/>
          </w:tcPr>
          <w:p w14:paraId="219F4F49"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55.13</w:t>
            </w:r>
          </w:p>
        </w:tc>
        <w:tc>
          <w:tcPr>
            <w:tcW w:w="1561" w:type="dxa"/>
            <w:tcBorders>
              <w:top w:val="nil"/>
              <w:left w:val="nil"/>
              <w:bottom w:val="single" w:sz="4" w:space="0" w:color="auto"/>
              <w:right w:val="single" w:sz="4" w:space="0" w:color="auto"/>
            </w:tcBorders>
            <w:shd w:val="clear" w:color="auto" w:fill="auto"/>
            <w:vAlign w:val="center"/>
            <w:hideMark/>
          </w:tcPr>
          <w:p w14:paraId="77B1616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65.99</w:t>
            </w:r>
          </w:p>
        </w:tc>
      </w:tr>
      <w:tr w:rsidR="00EE7037" w:rsidRPr="00D028DF" w14:paraId="0A400223" w14:textId="77777777" w:rsidTr="00EE7037">
        <w:trPr>
          <w:trHeight w:val="90"/>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00C89CF8"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Hispanic</w:t>
            </w:r>
          </w:p>
        </w:tc>
        <w:tc>
          <w:tcPr>
            <w:tcW w:w="925" w:type="dxa"/>
            <w:tcBorders>
              <w:top w:val="nil"/>
              <w:left w:val="nil"/>
              <w:bottom w:val="single" w:sz="4" w:space="0" w:color="auto"/>
              <w:right w:val="single" w:sz="4" w:space="0" w:color="auto"/>
            </w:tcBorders>
            <w:shd w:val="clear" w:color="auto" w:fill="auto"/>
            <w:vAlign w:val="center"/>
            <w:hideMark/>
          </w:tcPr>
          <w:p w14:paraId="2B3A92B6"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50.30</w:t>
            </w:r>
          </w:p>
        </w:tc>
        <w:tc>
          <w:tcPr>
            <w:tcW w:w="1309" w:type="dxa"/>
            <w:tcBorders>
              <w:top w:val="nil"/>
              <w:left w:val="nil"/>
              <w:bottom w:val="single" w:sz="4" w:space="0" w:color="auto"/>
              <w:right w:val="single" w:sz="4" w:space="0" w:color="auto"/>
            </w:tcBorders>
            <w:shd w:val="clear" w:color="auto" w:fill="auto"/>
            <w:vAlign w:val="center"/>
            <w:hideMark/>
          </w:tcPr>
          <w:p w14:paraId="011B27F0"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43.38</w:t>
            </w:r>
          </w:p>
        </w:tc>
        <w:tc>
          <w:tcPr>
            <w:tcW w:w="949" w:type="dxa"/>
            <w:tcBorders>
              <w:top w:val="nil"/>
              <w:left w:val="nil"/>
              <w:bottom w:val="single" w:sz="4" w:space="0" w:color="auto"/>
              <w:right w:val="single" w:sz="4" w:space="0" w:color="auto"/>
            </w:tcBorders>
            <w:shd w:val="clear" w:color="auto" w:fill="auto"/>
            <w:vAlign w:val="center"/>
            <w:hideMark/>
          </w:tcPr>
          <w:p w14:paraId="09D7DCAC"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76.15</w:t>
            </w:r>
          </w:p>
        </w:tc>
        <w:tc>
          <w:tcPr>
            <w:tcW w:w="1088" w:type="dxa"/>
            <w:tcBorders>
              <w:top w:val="nil"/>
              <w:left w:val="nil"/>
              <w:bottom w:val="single" w:sz="4" w:space="0" w:color="auto"/>
              <w:right w:val="single" w:sz="4" w:space="0" w:color="auto"/>
            </w:tcBorders>
            <w:shd w:val="clear" w:color="auto" w:fill="auto"/>
            <w:vAlign w:val="center"/>
            <w:hideMark/>
          </w:tcPr>
          <w:p w14:paraId="3939705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65.67</w:t>
            </w:r>
          </w:p>
        </w:tc>
        <w:tc>
          <w:tcPr>
            <w:tcW w:w="1584" w:type="dxa"/>
            <w:tcBorders>
              <w:top w:val="nil"/>
              <w:left w:val="nil"/>
              <w:bottom w:val="single" w:sz="4" w:space="0" w:color="auto"/>
              <w:right w:val="single" w:sz="4" w:space="0" w:color="auto"/>
            </w:tcBorders>
            <w:shd w:val="clear" w:color="auto" w:fill="auto"/>
            <w:vAlign w:val="center"/>
            <w:hideMark/>
          </w:tcPr>
          <w:p w14:paraId="6B9789A0"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81.22</w:t>
            </w:r>
          </w:p>
        </w:tc>
        <w:tc>
          <w:tcPr>
            <w:tcW w:w="1335" w:type="dxa"/>
            <w:tcBorders>
              <w:top w:val="nil"/>
              <w:left w:val="nil"/>
              <w:bottom w:val="single" w:sz="4" w:space="0" w:color="auto"/>
              <w:right w:val="single" w:sz="4" w:space="0" w:color="auto"/>
            </w:tcBorders>
            <w:shd w:val="clear" w:color="auto" w:fill="auto"/>
            <w:vAlign w:val="center"/>
            <w:hideMark/>
          </w:tcPr>
          <w:p w14:paraId="2F87BF0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63.15</w:t>
            </w:r>
          </w:p>
        </w:tc>
        <w:tc>
          <w:tcPr>
            <w:tcW w:w="1561" w:type="dxa"/>
            <w:tcBorders>
              <w:top w:val="nil"/>
              <w:left w:val="nil"/>
              <w:bottom w:val="single" w:sz="4" w:space="0" w:color="auto"/>
              <w:right w:val="single" w:sz="4" w:space="0" w:color="auto"/>
            </w:tcBorders>
            <w:shd w:val="clear" w:color="auto" w:fill="auto"/>
            <w:vAlign w:val="center"/>
            <w:hideMark/>
          </w:tcPr>
          <w:p w14:paraId="05B84BC9"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61.86</w:t>
            </w:r>
          </w:p>
        </w:tc>
      </w:tr>
      <w:tr w:rsidR="00EE7037" w:rsidRPr="00D028DF" w14:paraId="297F6A2D" w14:textId="77777777" w:rsidTr="00EE7037">
        <w:trPr>
          <w:trHeight w:val="420"/>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549EC152"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Asian or Pacific Islander, Non-Hispanic</w:t>
            </w:r>
          </w:p>
        </w:tc>
        <w:tc>
          <w:tcPr>
            <w:tcW w:w="925" w:type="dxa"/>
            <w:tcBorders>
              <w:top w:val="nil"/>
              <w:left w:val="nil"/>
              <w:bottom w:val="single" w:sz="4" w:space="0" w:color="auto"/>
              <w:right w:val="single" w:sz="4" w:space="0" w:color="auto"/>
            </w:tcBorders>
            <w:shd w:val="clear" w:color="auto" w:fill="auto"/>
            <w:vAlign w:val="center"/>
            <w:hideMark/>
          </w:tcPr>
          <w:p w14:paraId="696B4100"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43.97</w:t>
            </w:r>
          </w:p>
        </w:tc>
        <w:tc>
          <w:tcPr>
            <w:tcW w:w="1309" w:type="dxa"/>
            <w:tcBorders>
              <w:top w:val="nil"/>
              <w:left w:val="nil"/>
              <w:bottom w:val="single" w:sz="4" w:space="0" w:color="auto"/>
              <w:right w:val="single" w:sz="4" w:space="0" w:color="auto"/>
            </w:tcBorders>
            <w:shd w:val="clear" w:color="auto" w:fill="auto"/>
            <w:vAlign w:val="center"/>
            <w:hideMark/>
          </w:tcPr>
          <w:p w14:paraId="52A9918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33.99</w:t>
            </w:r>
          </w:p>
        </w:tc>
        <w:tc>
          <w:tcPr>
            <w:tcW w:w="949" w:type="dxa"/>
            <w:tcBorders>
              <w:top w:val="nil"/>
              <w:left w:val="nil"/>
              <w:bottom w:val="single" w:sz="4" w:space="0" w:color="auto"/>
              <w:right w:val="single" w:sz="4" w:space="0" w:color="auto"/>
            </w:tcBorders>
            <w:shd w:val="clear" w:color="auto" w:fill="auto"/>
            <w:vAlign w:val="center"/>
            <w:hideMark/>
          </w:tcPr>
          <w:p w14:paraId="4E4039BD"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72.14</w:t>
            </w:r>
          </w:p>
        </w:tc>
        <w:tc>
          <w:tcPr>
            <w:tcW w:w="1088" w:type="dxa"/>
            <w:tcBorders>
              <w:top w:val="nil"/>
              <w:left w:val="nil"/>
              <w:bottom w:val="single" w:sz="4" w:space="0" w:color="auto"/>
              <w:right w:val="single" w:sz="4" w:space="0" w:color="auto"/>
            </w:tcBorders>
            <w:shd w:val="clear" w:color="auto" w:fill="auto"/>
            <w:vAlign w:val="center"/>
            <w:hideMark/>
          </w:tcPr>
          <w:p w14:paraId="10F3D7C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65.59</w:t>
            </w:r>
          </w:p>
        </w:tc>
        <w:tc>
          <w:tcPr>
            <w:tcW w:w="1584" w:type="dxa"/>
            <w:tcBorders>
              <w:top w:val="nil"/>
              <w:left w:val="nil"/>
              <w:bottom w:val="single" w:sz="4" w:space="0" w:color="auto"/>
              <w:right w:val="single" w:sz="4" w:space="0" w:color="auto"/>
            </w:tcBorders>
            <w:shd w:val="clear" w:color="auto" w:fill="auto"/>
            <w:vAlign w:val="center"/>
            <w:hideMark/>
          </w:tcPr>
          <w:p w14:paraId="75A90DFB"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80.26</w:t>
            </w:r>
          </w:p>
        </w:tc>
        <w:tc>
          <w:tcPr>
            <w:tcW w:w="1335" w:type="dxa"/>
            <w:tcBorders>
              <w:top w:val="nil"/>
              <w:left w:val="nil"/>
              <w:bottom w:val="single" w:sz="4" w:space="0" w:color="auto"/>
              <w:right w:val="single" w:sz="4" w:space="0" w:color="auto"/>
            </w:tcBorders>
            <w:shd w:val="clear" w:color="auto" w:fill="auto"/>
            <w:vAlign w:val="center"/>
            <w:hideMark/>
          </w:tcPr>
          <w:p w14:paraId="718A5496"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52.76</w:t>
            </w:r>
          </w:p>
        </w:tc>
        <w:tc>
          <w:tcPr>
            <w:tcW w:w="1561" w:type="dxa"/>
            <w:tcBorders>
              <w:top w:val="nil"/>
              <w:left w:val="nil"/>
              <w:bottom w:val="single" w:sz="4" w:space="0" w:color="auto"/>
              <w:right w:val="single" w:sz="4" w:space="0" w:color="auto"/>
            </w:tcBorders>
            <w:shd w:val="clear" w:color="auto" w:fill="auto"/>
            <w:vAlign w:val="center"/>
            <w:hideMark/>
          </w:tcPr>
          <w:p w14:paraId="62DBE8D0"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64.97</w:t>
            </w:r>
          </w:p>
        </w:tc>
      </w:tr>
      <w:tr w:rsidR="00EE7037" w:rsidRPr="00D028DF" w14:paraId="209BFE87" w14:textId="77777777" w:rsidTr="00EE7037">
        <w:trPr>
          <w:trHeight w:val="420"/>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1819086E"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Native American, Non-Hispanic</w:t>
            </w:r>
          </w:p>
        </w:tc>
        <w:tc>
          <w:tcPr>
            <w:tcW w:w="925" w:type="dxa"/>
            <w:tcBorders>
              <w:top w:val="nil"/>
              <w:left w:val="nil"/>
              <w:bottom w:val="single" w:sz="4" w:space="0" w:color="auto"/>
              <w:right w:val="single" w:sz="4" w:space="0" w:color="auto"/>
            </w:tcBorders>
            <w:shd w:val="clear" w:color="auto" w:fill="auto"/>
            <w:vAlign w:val="center"/>
            <w:hideMark/>
          </w:tcPr>
          <w:p w14:paraId="136533C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38.71</w:t>
            </w:r>
          </w:p>
        </w:tc>
        <w:tc>
          <w:tcPr>
            <w:tcW w:w="1309" w:type="dxa"/>
            <w:tcBorders>
              <w:top w:val="nil"/>
              <w:left w:val="nil"/>
              <w:bottom w:val="single" w:sz="4" w:space="0" w:color="auto"/>
              <w:right w:val="single" w:sz="4" w:space="0" w:color="auto"/>
            </w:tcBorders>
            <w:shd w:val="clear" w:color="auto" w:fill="auto"/>
            <w:vAlign w:val="center"/>
            <w:hideMark/>
          </w:tcPr>
          <w:p w14:paraId="2C7F847A"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40.86</w:t>
            </w:r>
          </w:p>
        </w:tc>
        <w:tc>
          <w:tcPr>
            <w:tcW w:w="949" w:type="dxa"/>
            <w:tcBorders>
              <w:top w:val="nil"/>
              <w:left w:val="nil"/>
              <w:bottom w:val="single" w:sz="4" w:space="0" w:color="auto"/>
              <w:right w:val="single" w:sz="4" w:space="0" w:color="auto"/>
            </w:tcBorders>
            <w:shd w:val="clear" w:color="auto" w:fill="auto"/>
            <w:vAlign w:val="center"/>
            <w:hideMark/>
          </w:tcPr>
          <w:p w14:paraId="3309FE7C"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70.73</w:t>
            </w:r>
          </w:p>
        </w:tc>
        <w:tc>
          <w:tcPr>
            <w:tcW w:w="1088" w:type="dxa"/>
            <w:tcBorders>
              <w:top w:val="nil"/>
              <w:left w:val="nil"/>
              <w:bottom w:val="single" w:sz="4" w:space="0" w:color="auto"/>
              <w:right w:val="single" w:sz="4" w:space="0" w:color="auto"/>
            </w:tcBorders>
            <w:shd w:val="clear" w:color="auto" w:fill="auto"/>
            <w:vAlign w:val="center"/>
            <w:hideMark/>
          </w:tcPr>
          <w:p w14:paraId="21749D6F"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68.68</w:t>
            </w:r>
          </w:p>
        </w:tc>
        <w:tc>
          <w:tcPr>
            <w:tcW w:w="1584" w:type="dxa"/>
            <w:tcBorders>
              <w:top w:val="nil"/>
              <w:left w:val="nil"/>
              <w:bottom w:val="single" w:sz="4" w:space="0" w:color="auto"/>
              <w:right w:val="single" w:sz="4" w:space="0" w:color="auto"/>
            </w:tcBorders>
            <w:shd w:val="clear" w:color="auto" w:fill="auto"/>
            <w:vAlign w:val="center"/>
            <w:hideMark/>
          </w:tcPr>
          <w:p w14:paraId="11C8829E"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84.07</w:t>
            </w:r>
          </w:p>
        </w:tc>
        <w:tc>
          <w:tcPr>
            <w:tcW w:w="1335" w:type="dxa"/>
            <w:tcBorders>
              <w:top w:val="nil"/>
              <w:left w:val="nil"/>
              <w:bottom w:val="single" w:sz="4" w:space="0" w:color="auto"/>
              <w:right w:val="single" w:sz="4" w:space="0" w:color="auto"/>
            </w:tcBorders>
            <w:shd w:val="clear" w:color="auto" w:fill="auto"/>
            <w:vAlign w:val="center"/>
            <w:hideMark/>
          </w:tcPr>
          <w:p w14:paraId="5447B25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62.38</w:t>
            </w:r>
          </w:p>
        </w:tc>
        <w:tc>
          <w:tcPr>
            <w:tcW w:w="1561" w:type="dxa"/>
            <w:tcBorders>
              <w:top w:val="nil"/>
              <w:left w:val="nil"/>
              <w:bottom w:val="single" w:sz="4" w:space="0" w:color="auto"/>
              <w:right w:val="single" w:sz="4" w:space="0" w:color="auto"/>
            </w:tcBorders>
            <w:shd w:val="clear" w:color="auto" w:fill="auto"/>
            <w:vAlign w:val="center"/>
            <w:hideMark/>
          </w:tcPr>
          <w:p w14:paraId="5D910C91"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60.94</w:t>
            </w:r>
          </w:p>
        </w:tc>
      </w:tr>
      <w:tr w:rsidR="00EE7037" w:rsidRPr="00D028DF" w14:paraId="7F4B8207" w14:textId="77777777" w:rsidTr="00EE7037">
        <w:trPr>
          <w:trHeight w:val="420"/>
          <w:jc w:val="center"/>
        </w:trPr>
        <w:tc>
          <w:tcPr>
            <w:tcW w:w="1782" w:type="dxa"/>
            <w:tcBorders>
              <w:top w:val="nil"/>
              <w:left w:val="single" w:sz="4" w:space="0" w:color="auto"/>
              <w:bottom w:val="single" w:sz="4" w:space="0" w:color="auto"/>
              <w:right w:val="single" w:sz="4" w:space="0" w:color="auto"/>
            </w:tcBorders>
            <w:shd w:val="clear" w:color="auto" w:fill="DCE6F1"/>
            <w:vAlign w:val="center"/>
            <w:hideMark/>
          </w:tcPr>
          <w:p w14:paraId="1B805172" w14:textId="77777777" w:rsidR="00B77446" w:rsidRPr="004918AF"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Population below federal poverty line</w:t>
            </w:r>
          </w:p>
        </w:tc>
        <w:tc>
          <w:tcPr>
            <w:tcW w:w="925" w:type="dxa"/>
            <w:tcBorders>
              <w:top w:val="nil"/>
              <w:left w:val="nil"/>
              <w:bottom w:val="single" w:sz="4" w:space="0" w:color="auto"/>
              <w:right w:val="single" w:sz="4" w:space="0" w:color="auto"/>
            </w:tcBorders>
            <w:shd w:val="clear" w:color="auto" w:fill="DCE6F1"/>
            <w:vAlign w:val="center"/>
            <w:hideMark/>
          </w:tcPr>
          <w:p w14:paraId="24C13212" w14:textId="77777777" w:rsidR="00B77446" w:rsidRPr="004918AF" w:rsidRDefault="00B77446" w:rsidP="0025019A">
            <w:pPr>
              <w:spacing w:after="0"/>
              <w:jc w:val="center"/>
              <w:rPr>
                <w:rFonts w:ascii="Calibri" w:eastAsia="Times New Roman" w:hAnsi="Calibri"/>
                <w:i/>
                <w:iCs/>
                <w:color w:val="000000"/>
              </w:rPr>
            </w:pPr>
          </w:p>
        </w:tc>
        <w:tc>
          <w:tcPr>
            <w:tcW w:w="1309" w:type="dxa"/>
            <w:tcBorders>
              <w:top w:val="nil"/>
              <w:left w:val="nil"/>
              <w:bottom w:val="single" w:sz="4" w:space="0" w:color="auto"/>
              <w:right w:val="single" w:sz="4" w:space="0" w:color="auto"/>
            </w:tcBorders>
            <w:shd w:val="clear" w:color="auto" w:fill="DCE6F1"/>
            <w:vAlign w:val="center"/>
            <w:hideMark/>
          </w:tcPr>
          <w:p w14:paraId="22AAA419" w14:textId="77777777" w:rsidR="00B77446" w:rsidRPr="004918AF" w:rsidRDefault="00B77446" w:rsidP="0025019A">
            <w:pPr>
              <w:spacing w:after="0"/>
              <w:jc w:val="center"/>
              <w:rPr>
                <w:rFonts w:ascii="Calibri" w:eastAsia="Times New Roman" w:hAnsi="Calibri"/>
                <w:i/>
                <w:iCs/>
                <w:color w:val="000000"/>
              </w:rPr>
            </w:pPr>
          </w:p>
        </w:tc>
        <w:tc>
          <w:tcPr>
            <w:tcW w:w="949" w:type="dxa"/>
            <w:tcBorders>
              <w:top w:val="nil"/>
              <w:left w:val="nil"/>
              <w:bottom w:val="single" w:sz="4" w:space="0" w:color="auto"/>
              <w:right w:val="single" w:sz="4" w:space="0" w:color="auto"/>
            </w:tcBorders>
            <w:shd w:val="clear" w:color="auto" w:fill="DCE6F1"/>
            <w:vAlign w:val="center"/>
            <w:hideMark/>
          </w:tcPr>
          <w:p w14:paraId="07661878" w14:textId="77777777" w:rsidR="00B77446" w:rsidRPr="004918AF" w:rsidRDefault="00B77446" w:rsidP="0025019A">
            <w:pPr>
              <w:spacing w:after="0"/>
              <w:jc w:val="center"/>
              <w:rPr>
                <w:rFonts w:ascii="Calibri" w:eastAsia="Times New Roman" w:hAnsi="Calibri"/>
                <w:i/>
                <w:iCs/>
                <w:color w:val="000000"/>
              </w:rPr>
            </w:pPr>
          </w:p>
        </w:tc>
        <w:tc>
          <w:tcPr>
            <w:tcW w:w="1088" w:type="dxa"/>
            <w:tcBorders>
              <w:top w:val="nil"/>
              <w:left w:val="nil"/>
              <w:bottom w:val="single" w:sz="4" w:space="0" w:color="auto"/>
              <w:right w:val="single" w:sz="4" w:space="0" w:color="auto"/>
            </w:tcBorders>
            <w:shd w:val="clear" w:color="auto" w:fill="DCE6F1"/>
            <w:vAlign w:val="center"/>
            <w:hideMark/>
          </w:tcPr>
          <w:p w14:paraId="72C56EB6" w14:textId="77777777" w:rsidR="00B77446" w:rsidRPr="004918AF" w:rsidRDefault="00B77446" w:rsidP="0025019A">
            <w:pPr>
              <w:spacing w:after="0"/>
              <w:jc w:val="center"/>
              <w:rPr>
                <w:rFonts w:ascii="Calibri" w:eastAsia="Times New Roman" w:hAnsi="Calibri"/>
                <w:i/>
                <w:iCs/>
                <w:color w:val="000000"/>
              </w:rPr>
            </w:pPr>
          </w:p>
        </w:tc>
        <w:tc>
          <w:tcPr>
            <w:tcW w:w="1584" w:type="dxa"/>
            <w:tcBorders>
              <w:top w:val="nil"/>
              <w:left w:val="nil"/>
              <w:bottom w:val="single" w:sz="4" w:space="0" w:color="auto"/>
              <w:right w:val="single" w:sz="4" w:space="0" w:color="auto"/>
            </w:tcBorders>
            <w:shd w:val="clear" w:color="auto" w:fill="DCE6F1"/>
            <w:vAlign w:val="center"/>
            <w:hideMark/>
          </w:tcPr>
          <w:p w14:paraId="1B352206" w14:textId="77777777" w:rsidR="00B77446" w:rsidRPr="004918AF" w:rsidRDefault="00B77446" w:rsidP="0025019A">
            <w:pPr>
              <w:spacing w:after="0"/>
              <w:jc w:val="center"/>
              <w:rPr>
                <w:rFonts w:ascii="Calibri" w:eastAsia="Times New Roman" w:hAnsi="Calibri"/>
                <w:i/>
                <w:iCs/>
                <w:color w:val="000000"/>
              </w:rPr>
            </w:pPr>
          </w:p>
        </w:tc>
        <w:tc>
          <w:tcPr>
            <w:tcW w:w="1335" w:type="dxa"/>
            <w:tcBorders>
              <w:top w:val="nil"/>
              <w:left w:val="nil"/>
              <w:bottom w:val="single" w:sz="4" w:space="0" w:color="auto"/>
              <w:right w:val="single" w:sz="4" w:space="0" w:color="auto"/>
            </w:tcBorders>
            <w:shd w:val="clear" w:color="auto" w:fill="DCE6F1"/>
            <w:vAlign w:val="center"/>
            <w:hideMark/>
          </w:tcPr>
          <w:p w14:paraId="6066F4DA" w14:textId="77777777" w:rsidR="00B77446" w:rsidRPr="004918AF" w:rsidRDefault="00B77446" w:rsidP="0025019A">
            <w:pPr>
              <w:spacing w:after="0"/>
              <w:jc w:val="center"/>
              <w:rPr>
                <w:rFonts w:ascii="Calibri" w:eastAsia="Times New Roman" w:hAnsi="Calibri"/>
                <w:i/>
                <w:iCs/>
                <w:color w:val="000000"/>
              </w:rPr>
            </w:pPr>
          </w:p>
        </w:tc>
        <w:tc>
          <w:tcPr>
            <w:tcW w:w="1561" w:type="dxa"/>
            <w:tcBorders>
              <w:top w:val="nil"/>
              <w:left w:val="nil"/>
              <w:bottom w:val="single" w:sz="4" w:space="0" w:color="auto"/>
              <w:right w:val="single" w:sz="4" w:space="0" w:color="auto"/>
            </w:tcBorders>
            <w:shd w:val="clear" w:color="auto" w:fill="DCE6F1"/>
            <w:vAlign w:val="center"/>
            <w:hideMark/>
          </w:tcPr>
          <w:p w14:paraId="68CC43A2" w14:textId="77777777" w:rsidR="00B77446" w:rsidRPr="004918AF" w:rsidRDefault="00B77446" w:rsidP="0025019A">
            <w:pPr>
              <w:spacing w:after="0"/>
              <w:jc w:val="center"/>
              <w:rPr>
                <w:rFonts w:ascii="Calibri" w:eastAsia="Times New Roman" w:hAnsi="Calibri"/>
                <w:i/>
                <w:iCs/>
                <w:color w:val="000000"/>
              </w:rPr>
            </w:pPr>
          </w:p>
        </w:tc>
      </w:tr>
      <w:tr w:rsidR="00EE7037" w:rsidRPr="00D028DF" w14:paraId="1CF3F99D" w14:textId="77777777" w:rsidTr="00EE7037">
        <w:trPr>
          <w:trHeight w:val="332"/>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0EC84121"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White, Non-Hispanic</w:t>
            </w:r>
          </w:p>
        </w:tc>
        <w:tc>
          <w:tcPr>
            <w:tcW w:w="925" w:type="dxa"/>
            <w:tcBorders>
              <w:top w:val="nil"/>
              <w:left w:val="nil"/>
              <w:bottom w:val="single" w:sz="4" w:space="0" w:color="auto"/>
              <w:right w:val="single" w:sz="4" w:space="0" w:color="auto"/>
            </w:tcBorders>
            <w:shd w:val="clear" w:color="auto" w:fill="auto"/>
            <w:vAlign w:val="center"/>
            <w:hideMark/>
          </w:tcPr>
          <w:p w14:paraId="337748C2"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44.66</w:t>
            </w:r>
          </w:p>
        </w:tc>
        <w:tc>
          <w:tcPr>
            <w:tcW w:w="1309" w:type="dxa"/>
            <w:tcBorders>
              <w:top w:val="nil"/>
              <w:left w:val="nil"/>
              <w:bottom w:val="single" w:sz="4" w:space="0" w:color="auto"/>
              <w:right w:val="single" w:sz="4" w:space="0" w:color="auto"/>
            </w:tcBorders>
            <w:shd w:val="clear" w:color="auto" w:fill="auto"/>
            <w:vAlign w:val="center"/>
            <w:hideMark/>
          </w:tcPr>
          <w:p w14:paraId="022F160B"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35.14</w:t>
            </w:r>
          </w:p>
        </w:tc>
        <w:tc>
          <w:tcPr>
            <w:tcW w:w="949" w:type="dxa"/>
            <w:tcBorders>
              <w:top w:val="nil"/>
              <w:left w:val="nil"/>
              <w:bottom w:val="single" w:sz="4" w:space="0" w:color="auto"/>
              <w:right w:val="single" w:sz="4" w:space="0" w:color="auto"/>
            </w:tcBorders>
            <w:shd w:val="clear" w:color="auto" w:fill="auto"/>
            <w:vAlign w:val="center"/>
            <w:hideMark/>
          </w:tcPr>
          <w:p w14:paraId="636D561F"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74.36</w:t>
            </w:r>
          </w:p>
        </w:tc>
        <w:tc>
          <w:tcPr>
            <w:tcW w:w="1088" w:type="dxa"/>
            <w:tcBorders>
              <w:top w:val="nil"/>
              <w:left w:val="nil"/>
              <w:bottom w:val="single" w:sz="4" w:space="0" w:color="auto"/>
              <w:right w:val="single" w:sz="4" w:space="0" w:color="auto"/>
            </w:tcBorders>
            <w:shd w:val="clear" w:color="auto" w:fill="auto"/>
            <w:vAlign w:val="center"/>
            <w:hideMark/>
          </w:tcPr>
          <w:p w14:paraId="748DD0F5"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71.69</w:t>
            </w:r>
          </w:p>
        </w:tc>
        <w:tc>
          <w:tcPr>
            <w:tcW w:w="1584" w:type="dxa"/>
            <w:tcBorders>
              <w:top w:val="nil"/>
              <w:left w:val="nil"/>
              <w:bottom w:val="single" w:sz="4" w:space="0" w:color="auto"/>
              <w:right w:val="single" w:sz="4" w:space="0" w:color="auto"/>
            </w:tcBorders>
            <w:shd w:val="clear" w:color="auto" w:fill="auto"/>
            <w:vAlign w:val="center"/>
            <w:hideMark/>
          </w:tcPr>
          <w:p w14:paraId="7F9634D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85.37</w:t>
            </w:r>
          </w:p>
        </w:tc>
        <w:tc>
          <w:tcPr>
            <w:tcW w:w="1335" w:type="dxa"/>
            <w:tcBorders>
              <w:top w:val="nil"/>
              <w:left w:val="nil"/>
              <w:bottom w:val="single" w:sz="4" w:space="0" w:color="auto"/>
              <w:right w:val="single" w:sz="4" w:space="0" w:color="auto"/>
            </w:tcBorders>
            <w:shd w:val="clear" w:color="auto" w:fill="auto"/>
            <w:vAlign w:val="center"/>
            <w:hideMark/>
          </w:tcPr>
          <w:p w14:paraId="40764DC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59.55</w:t>
            </w:r>
          </w:p>
        </w:tc>
        <w:tc>
          <w:tcPr>
            <w:tcW w:w="1561" w:type="dxa"/>
            <w:tcBorders>
              <w:top w:val="nil"/>
              <w:left w:val="nil"/>
              <w:bottom w:val="single" w:sz="4" w:space="0" w:color="auto"/>
              <w:right w:val="single" w:sz="4" w:space="0" w:color="auto"/>
            </w:tcBorders>
            <w:shd w:val="clear" w:color="auto" w:fill="auto"/>
            <w:vAlign w:val="center"/>
            <w:hideMark/>
          </w:tcPr>
          <w:p w14:paraId="1591FF1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52.31</w:t>
            </w:r>
          </w:p>
        </w:tc>
      </w:tr>
      <w:tr w:rsidR="00EE7037" w:rsidRPr="00D028DF" w14:paraId="36A41914" w14:textId="77777777" w:rsidTr="00EE7037">
        <w:trPr>
          <w:trHeight w:val="269"/>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56BBB0DC"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Black, Non-Hispanic</w:t>
            </w:r>
          </w:p>
        </w:tc>
        <w:tc>
          <w:tcPr>
            <w:tcW w:w="925" w:type="dxa"/>
            <w:tcBorders>
              <w:top w:val="nil"/>
              <w:left w:val="nil"/>
              <w:bottom w:val="single" w:sz="4" w:space="0" w:color="auto"/>
              <w:right w:val="single" w:sz="4" w:space="0" w:color="auto"/>
            </w:tcBorders>
            <w:shd w:val="clear" w:color="auto" w:fill="auto"/>
            <w:vAlign w:val="center"/>
            <w:hideMark/>
          </w:tcPr>
          <w:p w14:paraId="797CC3EE"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41.79</w:t>
            </w:r>
          </w:p>
        </w:tc>
        <w:tc>
          <w:tcPr>
            <w:tcW w:w="1309" w:type="dxa"/>
            <w:tcBorders>
              <w:top w:val="nil"/>
              <w:left w:val="nil"/>
              <w:bottom w:val="single" w:sz="4" w:space="0" w:color="auto"/>
              <w:right w:val="single" w:sz="4" w:space="0" w:color="auto"/>
            </w:tcBorders>
            <w:shd w:val="clear" w:color="auto" w:fill="auto"/>
            <w:vAlign w:val="center"/>
            <w:hideMark/>
          </w:tcPr>
          <w:p w14:paraId="427583C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64.16</w:t>
            </w:r>
          </w:p>
        </w:tc>
        <w:tc>
          <w:tcPr>
            <w:tcW w:w="949" w:type="dxa"/>
            <w:tcBorders>
              <w:top w:val="nil"/>
              <w:left w:val="nil"/>
              <w:bottom w:val="single" w:sz="4" w:space="0" w:color="auto"/>
              <w:right w:val="single" w:sz="4" w:space="0" w:color="auto"/>
            </w:tcBorders>
            <w:shd w:val="clear" w:color="auto" w:fill="auto"/>
            <w:vAlign w:val="center"/>
            <w:hideMark/>
          </w:tcPr>
          <w:p w14:paraId="314CA4E2"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85.45</w:t>
            </w:r>
          </w:p>
        </w:tc>
        <w:tc>
          <w:tcPr>
            <w:tcW w:w="1088" w:type="dxa"/>
            <w:tcBorders>
              <w:top w:val="nil"/>
              <w:left w:val="nil"/>
              <w:bottom w:val="single" w:sz="4" w:space="0" w:color="auto"/>
              <w:right w:val="single" w:sz="4" w:space="0" w:color="auto"/>
            </w:tcBorders>
            <w:shd w:val="clear" w:color="auto" w:fill="auto"/>
            <w:vAlign w:val="center"/>
            <w:hideMark/>
          </w:tcPr>
          <w:p w14:paraId="645E522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65.78</w:t>
            </w:r>
          </w:p>
        </w:tc>
        <w:tc>
          <w:tcPr>
            <w:tcW w:w="1584" w:type="dxa"/>
            <w:tcBorders>
              <w:top w:val="nil"/>
              <w:left w:val="nil"/>
              <w:bottom w:val="single" w:sz="4" w:space="0" w:color="auto"/>
              <w:right w:val="single" w:sz="4" w:space="0" w:color="auto"/>
            </w:tcBorders>
            <w:shd w:val="clear" w:color="auto" w:fill="auto"/>
            <w:vAlign w:val="center"/>
            <w:hideMark/>
          </w:tcPr>
          <w:p w14:paraId="1182C37E"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82.64</w:t>
            </w:r>
          </w:p>
        </w:tc>
        <w:tc>
          <w:tcPr>
            <w:tcW w:w="1335" w:type="dxa"/>
            <w:tcBorders>
              <w:top w:val="nil"/>
              <w:left w:val="nil"/>
              <w:bottom w:val="single" w:sz="4" w:space="0" w:color="auto"/>
              <w:right w:val="single" w:sz="4" w:space="0" w:color="auto"/>
            </w:tcBorders>
            <w:shd w:val="clear" w:color="auto" w:fill="auto"/>
            <w:vAlign w:val="center"/>
            <w:hideMark/>
          </w:tcPr>
          <w:p w14:paraId="60926F05"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71.05</w:t>
            </w:r>
          </w:p>
        </w:tc>
        <w:tc>
          <w:tcPr>
            <w:tcW w:w="1561" w:type="dxa"/>
            <w:tcBorders>
              <w:top w:val="nil"/>
              <w:left w:val="nil"/>
              <w:bottom w:val="single" w:sz="4" w:space="0" w:color="auto"/>
              <w:right w:val="single" w:sz="4" w:space="0" w:color="auto"/>
            </w:tcBorders>
            <w:shd w:val="clear" w:color="auto" w:fill="auto"/>
            <w:vAlign w:val="center"/>
            <w:hideMark/>
          </w:tcPr>
          <w:p w14:paraId="6CBA0022"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69.14</w:t>
            </w:r>
          </w:p>
        </w:tc>
      </w:tr>
      <w:tr w:rsidR="00EE7037" w:rsidRPr="00D028DF" w14:paraId="5C301F5C" w14:textId="77777777" w:rsidTr="00EE7037">
        <w:trPr>
          <w:trHeight w:val="90"/>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5062F080"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Hispanic</w:t>
            </w:r>
          </w:p>
        </w:tc>
        <w:tc>
          <w:tcPr>
            <w:tcW w:w="925" w:type="dxa"/>
            <w:tcBorders>
              <w:top w:val="nil"/>
              <w:left w:val="nil"/>
              <w:bottom w:val="single" w:sz="4" w:space="0" w:color="auto"/>
              <w:right w:val="single" w:sz="4" w:space="0" w:color="auto"/>
            </w:tcBorders>
            <w:shd w:val="clear" w:color="auto" w:fill="auto"/>
            <w:vAlign w:val="center"/>
            <w:hideMark/>
          </w:tcPr>
          <w:p w14:paraId="7EB14F5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40.24</w:t>
            </w:r>
          </w:p>
        </w:tc>
        <w:tc>
          <w:tcPr>
            <w:tcW w:w="1309" w:type="dxa"/>
            <w:tcBorders>
              <w:top w:val="nil"/>
              <w:left w:val="nil"/>
              <w:bottom w:val="single" w:sz="4" w:space="0" w:color="auto"/>
              <w:right w:val="single" w:sz="4" w:space="0" w:color="auto"/>
            </w:tcBorders>
            <w:shd w:val="clear" w:color="auto" w:fill="auto"/>
            <w:vAlign w:val="center"/>
            <w:hideMark/>
          </w:tcPr>
          <w:p w14:paraId="733DAB92"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42.33</w:t>
            </w:r>
          </w:p>
        </w:tc>
        <w:tc>
          <w:tcPr>
            <w:tcW w:w="949" w:type="dxa"/>
            <w:tcBorders>
              <w:top w:val="nil"/>
              <w:left w:val="nil"/>
              <w:bottom w:val="single" w:sz="4" w:space="0" w:color="auto"/>
              <w:right w:val="single" w:sz="4" w:space="0" w:color="auto"/>
            </w:tcBorders>
            <w:shd w:val="clear" w:color="auto" w:fill="auto"/>
            <w:vAlign w:val="center"/>
            <w:hideMark/>
          </w:tcPr>
          <w:p w14:paraId="1FEC00B1"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72.30</w:t>
            </w:r>
          </w:p>
        </w:tc>
        <w:tc>
          <w:tcPr>
            <w:tcW w:w="1088" w:type="dxa"/>
            <w:tcBorders>
              <w:top w:val="nil"/>
              <w:left w:val="nil"/>
              <w:bottom w:val="single" w:sz="4" w:space="0" w:color="auto"/>
              <w:right w:val="single" w:sz="4" w:space="0" w:color="auto"/>
            </w:tcBorders>
            <w:shd w:val="clear" w:color="auto" w:fill="auto"/>
            <w:vAlign w:val="center"/>
            <w:hideMark/>
          </w:tcPr>
          <w:p w14:paraId="3BE35B7F"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66.30</w:t>
            </w:r>
          </w:p>
        </w:tc>
        <w:tc>
          <w:tcPr>
            <w:tcW w:w="1584" w:type="dxa"/>
            <w:tcBorders>
              <w:top w:val="nil"/>
              <w:left w:val="nil"/>
              <w:bottom w:val="single" w:sz="4" w:space="0" w:color="auto"/>
              <w:right w:val="single" w:sz="4" w:space="0" w:color="auto"/>
            </w:tcBorders>
            <w:shd w:val="clear" w:color="auto" w:fill="auto"/>
            <w:vAlign w:val="center"/>
            <w:hideMark/>
          </w:tcPr>
          <w:p w14:paraId="1C39DEC5"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81.67</w:t>
            </w:r>
          </w:p>
        </w:tc>
        <w:tc>
          <w:tcPr>
            <w:tcW w:w="1335" w:type="dxa"/>
            <w:tcBorders>
              <w:top w:val="nil"/>
              <w:left w:val="nil"/>
              <w:bottom w:val="single" w:sz="4" w:space="0" w:color="auto"/>
              <w:right w:val="single" w:sz="4" w:space="0" w:color="auto"/>
            </w:tcBorders>
            <w:shd w:val="clear" w:color="auto" w:fill="auto"/>
            <w:vAlign w:val="center"/>
            <w:hideMark/>
          </w:tcPr>
          <w:p w14:paraId="7323F7EA"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52.40</w:t>
            </w:r>
          </w:p>
        </w:tc>
        <w:tc>
          <w:tcPr>
            <w:tcW w:w="1561" w:type="dxa"/>
            <w:tcBorders>
              <w:top w:val="nil"/>
              <w:left w:val="nil"/>
              <w:bottom w:val="single" w:sz="4" w:space="0" w:color="auto"/>
              <w:right w:val="single" w:sz="4" w:space="0" w:color="auto"/>
            </w:tcBorders>
            <w:shd w:val="clear" w:color="auto" w:fill="auto"/>
            <w:vAlign w:val="center"/>
            <w:hideMark/>
          </w:tcPr>
          <w:p w14:paraId="45EACFBB"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63.89</w:t>
            </w:r>
          </w:p>
        </w:tc>
      </w:tr>
      <w:tr w:rsidR="00EE7037" w:rsidRPr="00D028DF" w14:paraId="3DFD3F3A" w14:textId="77777777" w:rsidTr="00EE7037">
        <w:trPr>
          <w:trHeight w:val="420"/>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3D2FF1E0"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Asian or Pacific Islander, Non-Hispanic</w:t>
            </w:r>
          </w:p>
        </w:tc>
        <w:tc>
          <w:tcPr>
            <w:tcW w:w="925" w:type="dxa"/>
            <w:tcBorders>
              <w:top w:val="nil"/>
              <w:left w:val="nil"/>
              <w:bottom w:val="single" w:sz="4" w:space="0" w:color="auto"/>
              <w:right w:val="single" w:sz="4" w:space="0" w:color="auto"/>
            </w:tcBorders>
            <w:shd w:val="clear" w:color="auto" w:fill="auto"/>
            <w:vAlign w:val="center"/>
            <w:hideMark/>
          </w:tcPr>
          <w:p w14:paraId="735EF5F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31.96</w:t>
            </w:r>
          </w:p>
        </w:tc>
        <w:tc>
          <w:tcPr>
            <w:tcW w:w="1309" w:type="dxa"/>
            <w:tcBorders>
              <w:top w:val="nil"/>
              <w:left w:val="nil"/>
              <w:bottom w:val="single" w:sz="4" w:space="0" w:color="auto"/>
              <w:right w:val="single" w:sz="4" w:space="0" w:color="auto"/>
            </w:tcBorders>
            <w:shd w:val="clear" w:color="auto" w:fill="auto"/>
            <w:vAlign w:val="center"/>
            <w:hideMark/>
          </w:tcPr>
          <w:p w14:paraId="1D0EEB89"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24.04</w:t>
            </w:r>
          </w:p>
        </w:tc>
        <w:tc>
          <w:tcPr>
            <w:tcW w:w="949" w:type="dxa"/>
            <w:tcBorders>
              <w:top w:val="nil"/>
              <w:left w:val="nil"/>
              <w:bottom w:val="single" w:sz="4" w:space="0" w:color="auto"/>
              <w:right w:val="single" w:sz="4" w:space="0" w:color="auto"/>
            </w:tcBorders>
            <w:shd w:val="clear" w:color="auto" w:fill="auto"/>
            <w:vAlign w:val="center"/>
            <w:hideMark/>
          </w:tcPr>
          <w:p w14:paraId="606EA256"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68.50</w:t>
            </w:r>
          </w:p>
        </w:tc>
        <w:tc>
          <w:tcPr>
            <w:tcW w:w="1088" w:type="dxa"/>
            <w:tcBorders>
              <w:top w:val="nil"/>
              <w:left w:val="nil"/>
              <w:bottom w:val="single" w:sz="4" w:space="0" w:color="auto"/>
              <w:right w:val="single" w:sz="4" w:space="0" w:color="auto"/>
            </w:tcBorders>
            <w:shd w:val="clear" w:color="auto" w:fill="auto"/>
            <w:vAlign w:val="center"/>
            <w:hideMark/>
          </w:tcPr>
          <w:p w14:paraId="0F56A69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68.82</w:t>
            </w:r>
          </w:p>
        </w:tc>
        <w:tc>
          <w:tcPr>
            <w:tcW w:w="1584" w:type="dxa"/>
            <w:tcBorders>
              <w:top w:val="nil"/>
              <w:left w:val="nil"/>
              <w:bottom w:val="single" w:sz="4" w:space="0" w:color="auto"/>
              <w:right w:val="single" w:sz="4" w:space="0" w:color="auto"/>
            </w:tcBorders>
            <w:shd w:val="clear" w:color="auto" w:fill="auto"/>
            <w:vAlign w:val="center"/>
            <w:hideMark/>
          </w:tcPr>
          <w:p w14:paraId="0A41D789"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83.11</w:t>
            </w:r>
          </w:p>
        </w:tc>
        <w:tc>
          <w:tcPr>
            <w:tcW w:w="1335" w:type="dxa"/>
            <w:tcBorders>
              <w:top w:val="nil"/>
              <w:left w:val="nil"/>
              <w:bottom w:val="single" w:sz="4" w:space="0" w:color="auto"/>
              <w:right w:val="single" w:sz="4" w:space="0" w:color="auto"/>
            </w:tcBorders>
            <w:shd w:val="clear" w:color="auto" w:fill="auto"/>
            <w:vAlign w:val="center"/>
            <w:hideMark/>
          </w:tcPr>
          <w:p w14:paraId="1AF64CBB"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47.98</w:t>
            </w:r>
          </w:p>
        </w:tc>
        <w:tc>
          <w:tcPr>
            <w:tcW w:w="1561" w:type="dxa"/>
            <w:tcBorders>
              <w:top w:val="nil"/>
              <w:left w:val="nil"/>
              <w:bottom w:val="single" w:sz="4" w:space="0" w:color="auto"/>
              <w:right w:val="single" w:sz="4" w:space="0" w:color="auto"/>
            </w:tcBorders>
            <w:shd w:val="clear" w:color="auto" w:fill="auto"/>
            <w:vAlign w:val="center"/>
            <w:hideMark/>
          </w:tcPr>
          <w:p w14:paraId="75EA70FB"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62.11</w:t>
            </w:r>
          </w:p>
        </w:tc>
      </w:tr>
      <w:tr w:rsidR="00EE7037" w:rsidRPr="00D028DF" w14:paraId="7C010BF5" w14:textId="77777777" w:rsidTr="00EE7037">
        <w:trPr>
          <w:trHeight w:val="90"/>
          <w:jc w:val="center"/>
        </w:trPr>
        <w:tc>
          <w:tcPr>
            <w:tcW w:w="1782" w:type="dxa"/>
            <w:tcBorders>
              <w:top w:val="nil"/>
              <w:left w:val="single" w:sz="4" w:space="0" w:color="auto"/>
              <w:bottom w:val="single" w:sz="4" w:space="0" w:color="auto"/>
              <w:right w:val="single" w:sz="4" w:space="0" w:color="auto"/>
            </w:tcBorders>
            <w:shd w:val="clear" w:color="auto" w:fill="auto"/>
            <w:vAlign w:val="center"/>
            <w:hideMark/>
          </w:tcPr>
          <w:p w14:paraId="376F593B"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Native American, Non-Hispanic</w:t>
            </w:r>
          </w:p>
        </w:tc>
        <w:tc>
          <w:tcPr>
            <w:tcW w:w="925" w:type="dxa"/>
            <w:tcBorders>
              <w:top w:val="nil"/>
              <w:left w:val="nil"/>
              <w:bottom w:val="single" w:sz="4" w:space="0" w:color="auto"/>
              <w:right w:val="single" w:sz="4" w:space="0" w:color="auto"/>
            </w:tcBorders>
            <w:shd w:val="clear" w:color="auto" w:fill="auto"/>
            <w:vAlign w:val="center"/>
            <w:hideMark/>
          </w:tcPr>
          <w:p w14:paraId="45BEF90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29.67</w:t>
            </w:r>
          </w:p>
        </w:tc>
        <w:tc>
          <w:tcPr>
            <w:tcW w:w="1309" w:type="dxa"/>
            <w:tcBorders>
              <w:top w:val="nil"/>
              <w:left w:val="nil"/>
              <w:bottom w:val="single" w:sz="4" w:space="0" w:color="auto"/>
              <w:right w:val="single" w:sz="4" w:space="0" w:color="auto"/>
            </w:tcBorders>
            <w:shd w:val="clear" w:color="auto" w:fill="auto"/>
            <w:vAlign w:val="center"/>
            <w:hideMark/>
          </w:tcPr>
          <w:p w14:paraId="4A63B3FE"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32.31</w:t>
            </w:r>
          </w:p>
        </w:tc>
        <w:tc>
          <w:tcPr>
            <w:tcW w:w="949" w:type="dxa"/>
            <w:tcBorders>
              <w:top w:val="nil"/>
              <w:left w:val="nil"/>
              <w:bottom w:val="single" w:sz="4" w:space="0" w:color="auto"/>
              <w:right w:val="single" w:sz="4" w:space="0" w:color="auto"/>
            </w:tcBorders>
            <w:shd w:val="clear" w:color="auto" w:fill="auto"/>
            <w:vAlign w:val="center"/>
            <w:hideMark/>
          </w:tcPr>
          <w:p w14:paraId="6DFCF12F"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64.67</w:t>
            </w:r>
          </w:p>
        </w:tc>
        <w:tc>
          <w:tcPr>
            <w:tcW w:w="1088" w:type="dxa"/>
            <w:tcBorders>
              <w:top w:val="nil"/>
              <w:left w:val="nil"/>
              <w:bottom w:val="single" w:sz="4" w:space="0" w:color="auto"/>
              <w:right w:val="single" w:sz="4" w:space="0" w:color="auto"/>
            </w:tcBorders>
            <w:shd w:val="clear" w:color="auto" w:fill="auto"/>
            <w:vAlign w:val="center"/>
            <w:hideMark/>
          </w:tcPr>
          <w:p w14:paraId="1BBD9715"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76.33</w:t>
            </w:r>
          </w:p>
        </w:tc>
        <w:tc>
          <w:tcPr>
            <w:tcW w:w="1584" w:type="dxa"/>
            <w:tcBorders>
              <w:top w:val="nil"/>
              <w:left w:val="nil"/>
              <w:bottom w:val="single" w:sz="4" w:space="0" w:color="auto"/>
              <w:right w:val="single" w:sz="4" w:space="0" w:color="auto"/>
            </w:tcBorders>
            <w:shd w:val="clear" w:color="auto" w:fill="auto"/>
            <w:vAlign w:val="center"/>
            <w:hideMark/>
          </w:tcPr>
          <w:p w14:paraId="5359AF9C"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90.67</w:t>
            </w:r>
          </w:p>
        </w:tc>
        <w:tc>
          <w:tcPr>
            <w:tcW w:w="1335" w:type="dxa"/>
            <w:tcBorders>
              <w:top w:val="nil"/>
              <w:left w:val="nil"/>
              <w:bottom w:val="single" w:sz="4" w:space="0" w:color="auto"/>
              <w:right w:val="single" w:sz="4" w:space="0" w:color="auto"/>
            </w:tcBorders>
            <w:shd w:val="clear" w:color="auto" w:fill="auto"/>
            <w:vAlign w:val="center"/>
            <w:hideMark/>
          </w:tcPr>
          <w:p w14:paraId="32B2C93E"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65.75</w:t>
            </w:r>
          </w:p>
        </w:tc>
        <w:tc>
          <w:tcPr>
            <w:tcW w:w="1561" w:type="dxa"/>
            <w:tcBorders>
              <w:top w:val="nil"/>
              <w:left w:val="nil"/>
              <w:bottom w:val="single" w:sz="4" w:space="0" w:color="auto"/>
              <w:right w:val="single" w:sz="4" w:space="0" w:color="auto"/>
            </w:tcBorders>
            <w:shd w:val="clear" w:color="auto" w:fill="auto"/>
            <w:vAlign w:val="center"/>
            <w:hideMark/>
          </w:tcPr>
          <w:p w14:paraId="0FDF13A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46.00</w:t>
            </w:r>
          </w:p>
        </w:tc>
      </w:tr>
    </w:tbl>
    <w:p w14:paraId="5EC12800" w14:textId="77777777" w:rsidR="007602BF" w:rsidRDefault="007602BF" w:rsidP="5F884969">
      <w:pPr>
        <w:spacing w:after="0"/>
        <w:rPr>
          <w:b/>
          <w:bCs/>
          <w:i/>
          <w:iCs/>
          <w:sz w:val="20"/>
          <w:szCs w:val="20"/>
        </w:rPr>
      </w:pPr>
    </w:p>
    <w:p w14:paraId="332865D0" w14:textId="77777777" w:rsidR="007602BF" w:rsidRDefault="007602BF" w:rsidP="5F884969">
      <w:pPr>
        <w:spacing w:after="0"/>
        <w:rPr>
          <w:b/>
          <w:bCs/>
          <w:i/>
          <w:iCs/>
          <w:sz w:val="20"/>
          <w:szCs w:val="20"/>
        </w:rPr>
      </w:pPr>
    </w:p>
    <w:p w14:paraId="2FD69FED" w14:textId="77777777" w:rsidR="007602BF" w:rsidRDefault="007602BF" w:rsidP="5F884969">
      <w:pPr>
        <w:spacing w:after="0"/>
        <w:rPr>
          <w:b/>
          <w:bCs/>
          <w:i/>
          <w:iCs/>
          <w:sz w:val="20"/>
          <w:szCs w:val="20"/>
        </w:rPr>
      </w:pPr>
    </w:p>
    <w:p w14:paraId="57C205E3" w14:textId="77777777" w:rsidR="007602BF" w:rsidRDefault="007602BF" w:rsidP="5F884969">
      <w:pPr>
        <w:spacing w:after="0"/>
        <w:rPr>
          <w:b/>
          <w:bCs/>
          <w:i/>
          <w:iCs/>
          <w:sz w:val="20"/>
          <w:szCs w:val="20"/>
        </w:rPr>
      </w:pPr>
    </w:p>
    <w:p w14:paraId="4968B78C" w14:textId="77777777" w:rsidR="007602BF" w:rsidRDefault="007602BF" w:rsidP="5F884969">
      <w:pPr>
        <w:spacing w:after="0"/>
        <w:rPr>
          <w:b/>
          <w:bCs/>
          <w:i/>
          <w:iCs/>
          <w:sz w:val="20"/>
          <w:szCs w:val="20"/>
        </w:rPr>
      </w:pPr>
    </w:p>
    <w:p w14:paraId="515646C8" w14:textId="77777777" w:rsidR="007602BF" w:rsidRDefault="007602BF" w:rsidP="5F884969">
      <w:pPr>
        <w:spacing w:after="0"/>
        <w:rPr>
          <w:b/>
          <w:bCs/>
          <w:i/>
          <w:iCs/>
          <w:sz w:val="20"/>
          <w:szCs w:val="20"/>
        </w:rPr>
      </w:pPr>
    </w:p>
    <w:p w14:paraId="65C8649A" w14:textId="77777777" w:rsidR="00692A2C" w:rsidRDefault="00692A2C" w:rsidP="5F884969">
      <w:pPr>
        <w:spacing w:after="0"/>
        <w:rPr>
          <w:b/>
          <w:bCs/>
          <w:i/>
          <w:iCs/>
          <w:sz w:val="20"/>
          <w:szCs w:val="20"/>
        </w:rPr>
      </w:pPr>
    </w:p>
    <w:p w14:paraId="53C85710" w14:textId="77777777" w:rsidR="00692A2C" w:rsidRDefault="00692A2C" w:rsidP="5F884969">
      <w:pPr>
        <w:spacing w:after="0"/>
        <w:rPr>
          <w:b/>
          <w:bCs/>
          <w:i/>
          <w:iCs/>
          <w:sz w:val="20"/>
          <w:szCs w:val="20"/>
        </w:rPr>
      </w:pPr>
    </w:p>
    <w:p w14:paraId="47C0E8F6" w14:textId="77777777" w:rsidR="00692A2C" w:rsidRDefault="00692A2C" w:rsidP="5F884969">
      <w:pPr>
        <w:spacing w:after="0"/>
        <w:rPr>
          <w:b/>
          <w:bCs/>
          <w:i/>
          <w:iCs/>
          <w:sz w:val="20"/>
          <w:szCs w:val="20"/>
        </w:rPr>
      </w:pPr>
    </w:p>
    <w:p w14:paraId="4EB611A3" w14:textId="77777777" w:rsidR="00692A2C" w:rsidRDefault="00692A2C" w:rsidP="5F884969">
      <w:pPr>
        <w:spacing w:after="0"/>
        <w:rPr>
          <w:b/>
          <w:bCs/>
          <w:i/>
          <w:iCs/>
          <w:sz w:val="20"/>
          <w:szCs w:val="20"/>
        </w:rPr>
      </w:pPr>
    </w:p>
    <w:p w14:paraId="39CF861D" w14:textId="77777777" w:rsidR="00692A2C" w:rsidRDefault="00692A2C" w:rsidP="5F884969">
      <w:pPr>
        <w:spacing w:after="0"/>
        <w:rPr>
          <w:b/>
          <w:bCs/>
          <w:i/>
          <w:iCs/>
          <w:sz w:val="20"/>
          <w:szCs w:val="20"/>
        </w:rPr>
      </w:pPr>
    </w:p>
    <w:p w14:paraId="75E64716" w14:textId="77777777" w:rsidR="007602BF" w:rsidRDefault="007602BF" w:rsidP="5F884969">
      <w:pPr>
        <w:spacing w:after="0"/>
        <w:rPr>
          <w:b/>
          <w:bCs/>
          <w:i/>
          <w:iCs/>
          <w:sz w:val="20"/>
          <w:szCs w:val="20"/>
        </w:rPr>
      </w:pPr>
    </w:p>
    <w:p w14:paraId="1E420E6E" w14:textId="77777777" w:rsidR="007602BF" w:rsidRDefault="007602BF" w:rsidP="5F884969">
      <w:pPr>
        <w:spacing w:after="0"/>
        <w:rPr>
          <w:b/>
          <w:bCs/>
          <w:i/>
          <w:iCs/>
          <w:sz w:val="20"/>
          <w:szCs w:val="20"/>
        </w:rPr>
      </w:pPr>
    </w:p>
    <w:p w14:paraId="2D05513A" w14:textId="3659F29C" w:rsidR="00B77446" w:rsidRDefault="0007699E" w:rsidP="5F884969">
      <w:pPr>
        <w:spacing w:after="0"/>
        <w:rPr>
          <w:sz w:val="20"/>
          <w:szCs w:val="20"/>
        </w:rPr>
      </w:pPr>
      <w:r>
        <w:rPr>
          <w:b/>
          <w:bCs/>
          <w:i/>
          <w:iCs/>
          <w:sz w:val="20"/>
          <w:szCs w:val="20"/>
        </w:rPr>
        <w:t>Table 15</w:t>
      </w:r>
      <w:r w:rsidR="5F884969" w:rsidRPr="5F884969">
        <w:rPr>
          <w:b/>
          <w:bCs/>
          <w:i/>
          <w:iCs/>
          <w:sz w:val="20"/>
          <w:szCs w:val="20"/>
        </w:rPr>
        <w:t>:</w:t>
      </w:r>
      <w:r w:rsidR="5F884969" w:rsidRPr="5F884969">
        <w:rPr>
          <w:sz w:val="20"/>
          <w:szCs w:val="20"/>
        </w:rPr>
        <w:t xml:space="preserve"> Opportunity Indicators by Race/Ethnicity for Burlington-South Burlington Region. </w:t>
      </w:r>
      <w:r w:rsidR="5F884969" w:rsidRPr="5F884969">
        <w:rPr>
          <w:rFonts w:ascii="Calibri" w:eastAsia="Times New Roman" w:hAnsi="Calibri"/>
          <w:color w:val="000000" w:themeColor="text1"/>
          <w:sz w:val="20"/>
          <w:szCs w:val="20"/>
        </w:rPr>
        <w:t>Sources: Decennial Census; ACS; Great Schools; Common Core of Data; SABINS; LAI; LEHD; NATA</w:t>
      </w:r>
      <w:r w:rsidR="5F884969" w:rsidRPr="5F884969">
        <w:rPr>
          <w:sz w:val="20"/>
          <w:szCs w:val="20"/>
        </w:rPr>
        <w:t>.</w:t>
      </w:r>
    </w:p>
    <w:tbl>
      <w:tblPr>
        <w:tblW w:w="10529" w:type="dxa"/>
        <w:jc w:val="center"/>
        <w:tblLook w:val="04A0" w:firstRow="1" w:lastRow="0" w:firstColumn="1" w:lastColumn="0" w:noHBand="0" w:noVBand="1"/>
      </w:tblPr>
      <w:tblGrid>
        <w:gridCol w:w="1748"/>
        <w:gridCol w:w="985"/>
        <w:gridCol w:w="1309"/>
        <w:gridCol w:w="944"/>
        <w:gridCol w:w="901"/>
        <w:gridCol w:w="1698"/>
        <w:gridCol w:w="1383"/>
        <w:gridCol w:w="1561"/>
      </w:tblGrid>
      <w:tr w:rsidR="00B77446" w:rsidRPr="004918AF" w14:paraId="26ED42AF" w14:textId="77777777" w:rsidTr="5F884969">
        <w:trPr>
          <w:trHeight w:val="647"/>
          <w:jc w:val="center"/>
        </w:trPr>
        <w:tc>
          <w:tcPr>
            <w:tcW w:w="10529"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26584" w14:textId="78377DE4" w:rsidR="00B77446" w:rsidRPr="004918AF" w:rsidRDefault="0007699E" w:rsidP="5F884969">
            <w:pPr>
              <w:spacing w:after="0"/>
              <w:rPr>
                <w:rFonts w:ascii="Calibri" w:eastAsia="Times New Roman" w:hAnsi="Calibri"/>
                <w:b/>
                <w:bCs/>
                <w:color w:val="000000" w:themeColor="text1"/>
              </w:rPr>
            </w:pPr>
            <w:r>
              <w:rPr>
                <w:rFonts w:ascii="Calibri" w:eastAsia="Times New Roman" w:hAnsi="Calibri"/>
                <w:b/>
                <w:bCs/>
                <w:color w:val="000000" w:themeColor="text1"/>
              </w:rPr>
              <w:t>Table 15</w:t>
            </w:r>
            <w:r w:rsidR="5F884969" w:rsidRPr="5F884969">
              <w:rPr>
                <w:rFonts w:ascii="Calibri" w:eastAsia="Times New Roman" w:hAnsi="Calibri"/>
                <w:b/>
                <w:bCs/>
                <w:color w:val="000000" w:themeColor="text1"/>
              </w:rPr>
              <w:t>: Opportunity Indicators by Race/Ethnicity (Burlington-South Burlington Region)</w:t>
            </w:r>
          </w:p>
        </w:tc>
      </w:tr>
      <w:tr w:rsidR="00B77446" w:rsidRPr="004918AF" w14:paraId="58F3BEA1" w14:textId="77777777" w:rsidTr="5F884969">
        <w:trPr>
          <w:trHeight w:val="647"/>
          <w:jc w:val="center"/>
        </w:trPr>
        <w:tc>
          <w:tcPr>
            <w:tcW w:w="1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40338" w14:textId="77777777" w:rsidR="00B77446" w:rsidRPr="004918AF" w:rsidRDefault="00B77446" w:rsidP="0025019A">
            <w:pPr>
              <w:spacing w:after="0"/>
              <w:jc w:val="center"/>
              <w:rPr>
                <w:rFonts w:ascii="Calibri" w:eastAsia="Times New Roman" w:hAnsi="Calibri"/>
                <w:b/>
                <w:bCs/>
                <w:color w:val="000000"/>
              </w:rPr>
            </w:pPr>
          </w:p>
        </w:tc>
        <w:tc>
          <w:tcPr>
            <w:tcW w:w="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9C7EC5"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Low Poverty</w:t>
            </w:r>
            <w:r w:rsidR="00B77446">
              <w:br/>
            </w:r>
            <w:r w:rsidRPr="5F884969">
              <w:rPr>
                <w:rFonts w:ascii="Calibri" w:eastAsia="Times New Roman" w:hAnsi="Calibri"/>
                <w:b/>
                <w:bCs/>
                <w:color w:val="000000" w:themeColor="text1"/>
              </w:rPr>
              <w:t>Index</w:t>
            </w:r>
          </w:p>
        </w:tc>
        <w:tc>
          <w:tcPr>
            <w:tcW w:w="13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B8161E"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xml:space="preserve">School </w:t>
            </w:r>
            <w:r w:rsidR="00B77446">
              <w:br/>
            </w:r>
            <w:r w:rsidRPr="5F884969">
              <w:rPr>
                <w:rFonts w:ascii="Calibri" w:eastAsia="Times New Roman" w:hAnsi="Calibri"/>
                <w:b/>
                <w:bCs/>
                <w:color w:val="000000" w:themeColor="text1"/>
              </w:rPr>
              <w:t xml:space="preserve">Proficiency </w:t>
            </w:r>
            <w:r w:rsidR="00B77446">
              <w:br/>
            </w:r>
            <w:r w:rsidRPr="5F884969">
              <w:rPr>
                <w:rFonts w:ascii="Calibri" w:eastAsia="Times New Roman" w:hAnsi="Calibri"/>
                <w:b/>
                <w:bCs/>
                <w:color w:val="000000" w:themeColor="text1"/>
              </w:rPr>
              <w:t>Index</w:t>
            </w:r>
          </w:p>
        </w:tc>
        <w:tc>
          <w:tcPr>
            <w:tcW w:w="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3572D7"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xml:space="preserve">Labor Market </w:t>
            </w:r>
            <w:r w:rsidR="00B77446">
              <w:br/>
            </w:r>
            <w:r w:rsidRPr="5F884969">
              <w:rPr>
                <w:rFonts w:ascii="Calibri" w:eastAsia="Times New Roman" w:hAnsi="Calibri"/>
                <w:b/>
                <w:bCs/>
                <w:color w:val="000000" w:themeColor="text1"/>
              </w:rPr>
              <w:t>Index</w:t>
            </w:r>
          </w:p>
        </w:tc>
        <w:tc>
          <w:tcPr>
            <w:tcW w:w="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8351FD"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xml:space="preserve">Transit  </w:t>
            </w:r>
            <w:r w:rsidR="00B77446">
              <w:br/>
            </w:r>
            <w:r w:rsidRPr="5F884969">
              <w:rPr>
                <w:rFonts w:ascii="Calibri" w:eastAsia="Times New Roman" w:hAnsi="Calibri"/>
                <w:b/>
                <w:bCs/>
                <w:color w:val="000000" w:themeColor="text1"/>
              </w:rPr>
              <w:t>Index</w:t>
            </w:r>
          </w:p>
        </w:tc>
        <w:tc>
          <w:tcPr>
            <w:tcW w:w="1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D0D02"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Low Transportation Cost Index</w:t>
            </w:r>
          </w:p>
        </w:tc>
        <w:tc>
          <w:tcPr>
            <w:tcW w:w="1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18E51D"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xml:space="preserve">Jobs </w:t>
            </w:r>
            <w:r w:rsidR="00B77446">
              <w:br/>
            </w:r>
            <w:r w:rsidRPr="5F884969">
              <w:rPr>
                <w:rFonts w:ascii="Calibri" w:eastAsia="Times New Roman" w:hAnsi="Calibri"/>
                <w:b/>
                <w:bCs/>
                <w:color w:val="000000" w:themeColor="text1"/>
              </w:rPr>
              <w:t>Proximity Index</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1A45C8" w14:textId="77777777" w:rsidR="00B77446" w:rsidRPr="004918AF"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Environmental Health Index</w:t>
            </w:r>
          </w:p>
        </w:tc>
      </w:tr>
      <w:tr w:rsidR="00B77446" w:rsidRPr="004918AF" w14:paraId="2E8FD7C9"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DCE6F1"/>
            <w:vAlign w:val="center"/>
            <w:hideMark/>
          </w:tcPr>
          <w:p w14:paraId="19E51071" w14:textId="77777777" w:rsidR="00B77446" w:rsidRPr="004918AF"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Total Population</w:t>
            </w:r>
          </w:p>
        </w:tc>
        <w:tc>
          <w:tcPr>
            <w:tcW w:w="985" w:type="dxa"/>
            <w:tcBorders>
              <w:top w:val="nil"/>
              <w:left w:val="nil"/>
              <w:bottom w:val="single" w:sz="4" w:space="0" w:color="auto"/>
              <w:right w:val="single" w:sz="4" w:space="0" w:color="auto"/>
            </w:tcBorders>
            <w:shd w:val="clear" w:color="auto" w:fill="DCE6F1"/>
            <w:vAlign w:val="center"/>
            <w:hideMark/>
          </w:tcPr>
          <w:p w14:paraId="03B46C63" w14:textId="77777777" w:rsidR="00B77446" w:rsidRPr="004918AF" w:rsidRDefault="00B77446" w:rsidP="0025019A">
            <w:pPr>
              <w:spacing w:after="0"/>
              <w:jc w:val="center"/>
              <w:rPr>
                <w:rFonts w:ascii="Calibri" w:eastAsia="Times New Roman" w:hAnsi="Calibri"/>
                <w:i/>
                <w:iCs/>
                <w:color w:val="000000"/>
              </w:rPr>
            </w:pPr>
          </w:p>
        </w:tc>
        <w:tc>
          <w:tcPr>
            <w:tcW w:w="1309" w:type="dxa"/>
            <w:tcBorders>
              <w:top w:val="nil"/>
              <w:left w:val="nil"/>
              <w:bottom w:val="single" w:sz="4" w:space="0" w:color="auto"/>
              <w:right w:val="single" w:sz="4" w:space="0" w:color="auto"/>
            </w:tcBorders>
            <w:shd w:val="clear" w:color="auto" w:fill="DCE6F1"/>
            <w:vAlign w:val="center"/>
            <w:hideMark/>
          </w:tcPr>
          <w:p w14:paraId="3BAEC152" w14:textId="77777777" w:rsidR="00B77446" w:rsidRPr="004918AF" w:rsidRDefault="00B77446" w:rsidP="0025019A">
            <w:pPr>
              <w:spacing w:after="0"/>
              <w:jc w:val="center"/>
              <w:rPr>
                <w:rFonts w:ascii="Calibri" w:eastAsia="Times New Roman" w:hAnsi="Calibri"/>
                <w:i/>
                <w:iCs/>
                <w:color w:val="000000"/>
              </w:rPr>
            </w:pPr>
          </w:p>
        </w:tc>
        <w:tc>
          <w:tcPr>
            <w:tcW w:w="944" w:type="dxa"/>
            <w:tcBorders>
              <w:top w:val="nil"/>
              <w:left w:val="nil"/>
              <w:bottom w:val="single" w:sz="4" w:space="0" w:color="auto"/>
              <w:right w:val="single" w:sz="4" w:space="0" w:color="auto"/>
            </w:tcBorders>
            <w:shd w:val="clear" w:color="auto" w:fill="DCE6F1"/>
            <w:vAlign w:val="center"/>
            <w:hideMark/>
          </w:tcPr>
          <w:p w14:paraId="3A3B38D6" w14:textId="77777777" w:rsidR="00B77446" w:rsidRPr="004918AF" w:rsidRDefault="00B77446" w:rsidP="0025019A">
            <w:pPr>
              <w:spacing w:after="0"/>
              <w:jc w:val="center"/>
              <w:rPr>
                <w:rFonts w:ascii="Calibri" w:eastAsia="Times New Roman" w:hAnsi="Calibri"/>
                <w:i/>
                <w:iCs/>
                <w:color w:val="000000"/>
              </w:rPr>
            </w:pPr>
          </w:p>
        </w:tc>
        <w:tc>
          <w:tcPr>
            <w:tcW w:w="901" w:type="dxa"/>
            <w:tcBorders>
              <w:top w:val="nil"/>
              <w:left w:val="nil"/>
              <w:bottom w:val="single" w:sz="4" w:space="0" w:color="auto"/>
              <w:right w:val="single" w:sz="4" w:space="0" w:color="auto"/>
            </w:tcBorders>
            <w:shd w:val="clear" w:color="auto" w:fill="DCE6F1"/>
            <w:vAlign w:val="center"/>
            <w:hideMark/>
          </w:tcPr>
          <w:p w14:paraId="0D003F9D" w14:textId="77777777" w:rsidR="00B77446" w:rsidRPr="004918AF" w:rsidRDefault="00B77446" w:rsidP="0025019A">
            <w:pPr>
              <w:spacing w:after="0"/>
              <w:jc w:val="center"/>
              <w:rPr>
                <w:rFonts w:ascii="Calibri" w:eastAsia="Times New Roman" w:hAnsi="Calibri"/>
                <w:i/>
                <w:iCs/>
                <w:color w:val="000000"/>
              </w:rPr>
            </w:pPr>
          </w:p>
        </w:tc>
        <w:tc>
          <w:tcPr>
            <w:tcW w:w="1698" w:type="dxa"/>
            <w:tcBorders>
              <w:top w:val="nil"/>
              <w:left w:val="nil"/>
              <w:bottom w:val="single" w:sz="4" w:space="0" w:color="auto"/>
              <w:right w:val="single" w:sz="4" w:space="0" w:color="auto"/>
            </w:tcBorders>
            <w:shd w:val="clear" w:color="auto" w:fill="DCE6F1"/>
            <w:vAlign w:val="center"/>
            <w:hideMark/>
          </w:tcPr>
          <w:p w14:paraId="5D9523A7" w14:textId="77777777" w:rsidR="00B77446" w:rsidRPr="004918AF" w:rsidRDefault="00B77446" w:rsidP="0025019A">
            <w:pPr>
              <w:spacing w:after="0"/>
              <w:jc w:val="center"/>
              <w:rPr>
                <w:rFonts w:ascii="Calibri" w:eastAsia="Times New Roman" w:hAnsi="Calibri"/>
                <w:i/>
                <w:iCs/>
                <w:color w:val="000000"/>
              </w:rPr>
            </w:pPr>
          </w:p>
        </w:tc>
        <w:tc>
          <w:tcPr>
            <w:tcW w:w="1383" w:type="dxa"/>
            <w:tcBorders>
              <w:top w:val="nil"/>
              <w:left w:val="nil"/>
              <w:bottom w:val="single" w:sz="4" w:space="0" w:color="auto"/>
              <w:right w:val="single" w:sz="4" w:space="0" w:color="auto"/>
            </w:tcBorders>
            <w:shd w:val="clear" w:color="auto" w:fill="DCE6F1"/>
            <w:vAlign w:val="center"/>
            <w:hideMark/>
          </w:tcPr>
          <w:p w14:paraId="3D85B1A8" w14:textId="77777777" w:rsidR="00B77446" w:rsidRPr="004918AF" w:rsidRDefault="00B77446" w:rsidP="0025019A">
            <w:pPr>
              <w:spacing w:after="0"/>
              <w:jc w:val="center"/>
              <w:rPr>
                <w:rFonts w:ascii="Calibri" w:eastAsia="Times New Roman" w:hAnsi="Calibri"/>
                <w:i/>
                <w:iCs/>
                <w:color w:val="000000"/>
              </w:rPr>
            </w:pPr>
          </w:p>
        </w:tc>
        <w:tc>
          <w:tcPr>
            <w:tcW w:w="1561" w:type="dxa"/>
            <w:tcBorders>
              <w:top w:val="nil"/>
              <w:left w:val="nil"/>
              <w:bottom w:val="single" w:sz="4" w:space="0" w:color="auto"/>
              <w:right w:val="single" w:sz="4" w:space="0" w:color="auto"/>
            </w:tcBorders>
            <w:shd w:val="clear" w:color="auto" w:fill="DCE6F1"/>
            <w:vAlign w:val="center"/>
            <w:hideMark/>
          </w:tcPr>
          <w:p w14:paraId="4CFD5AC3" w14:textId="77777777" w:rsidR="00B77446" w:rsidRPr="004918AF" w:rsidRDefault="00B77446" w:rsidP="0025019A">
            <w:pPr>
              <w:spacing w:after="0"/>
              <w:jc w:val="center"/>
              <w:rPr>
                <w:rFonts w:ascii="Calibri" w:eastAsia="Times New Roman" w:hAnsi="Calibri"/>
                <w:i/>
                <w:iCs/>
                <w:color w:val="000000"/>
              </w:rPr>
            </w:pPr>
          </w:p>
        </w:tc>
      </w:tr>
      <w:tr w:rsidR="00B77446" w:rsidRPr="004918AF" w14:paraId="33063ABE"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5F5617E7"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White, Non-Hispanic</w:t>
            </w:r>
          </w:p>
        </w:tc>
        <w:tc>
          <w:tcPr>
            <w:tcW w:w="985" w:type="dxa"/>
            <w:tcBorders>
              <w:top w:val="nil"/>
              <w:left w:val="nil"/>
              <w:bottom w:val="single" w:sz="4" w:space="0" w:color="auto"/>
              <w:right w:val="single" w:sz="4" w:space="0" w:color="auto"/>
            </w:tcBorders>
            <w:shd w:val="clear" w:color="auto" w:fill="auto"/>
            <w:vAlign w:val="center"/>
            <w:hideMark/>
          </w:tcPr>
          <w:p w14:paraId="04DFE99D"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68.23</w:t>
            </w:r>
          </w:p>
        </w:tc>
        <w:tc>
          <w:tcPr>
            <w:tcW w:w="1309" w:type="dxa"/>
            <w:tcBorders>
              <w:top w:val="nil"/>
              <w:left w:val="nil"/>
              <w:bottom w:val="single" w:sz="4" w:space="0" w:color="auto"/>
              <w:right w:val="single" w:sz="4" w:space="0" w:color="auto"/>
            </w:tcBorders>
            <w:shd w:val="clear" w:color="auto" w:fill="auto"/>
            <w:vAlign w:val="center"/>
            <w:hideMark/>
          </w:tcPr>
          <w:p w14:paraId="1D11E6B5"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41.88</w:t>
            </w:r>
          </w:p>
        </w:tc>
        <w:tc>
          <w:tcPr>
            <w:tcW w:w="944" w:type="dxa"/>
            <w:tcBorders>
              <w:top w:val="nil"/>
              <w:left w:val="nil"/>
              <w:bottom w:val="single" w:sz="4" w:space="0" w:color="auto"/>
              <w:right w:val="single" w:sz="4" w:space="0" w:color="auto"/>
            </w:tcBorders>
            <w:shd w:val="clear" w:color="auto" w:fill="auto"/>
            <w:vAlign w:val="center"/>
            <w:hideMark/>
          </w:tcPr>
          <w:p w14:paraId="52CC69D8" w14:textId="77777777" w:rsidR="00B77446" w:rsidRPr="00E46DF6"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79.02</w:t>
            </w:r>
          </w:p>
        </w:tc>
        <w:tc>
          <w:tcPr>
            <w:tcW w:w="901" w:type="dxa"/>
            <w:tcBorders>
              <w:top w:val="nil"/>
              <w:left w:val="nil"/>
              <w:bottom w:val="single" w:sz="4" w:space="0" w:color="auto"/>
              <w:right w:val="single" w:sz="4" w:space="0" w:color="auto"/>
            </w:tcBorders>
            <w:shd w:val="clear" w:color="auto" w:fill="auto"/>
            <w:vAlign w:val="center"/>
            <w:hideMark/>
          </w:tcPr>
          <w:p w14:paraId="0705773D"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37.77</w:t>
            </w:r>
          </w:p>
        </w:tc>
        <w:tc>
          <w:tcPr>
            <w:tcW w:w="1698" w:type="dxa"/>
            <w:tcBorders>
              <w:top w:val="nil"/>
              <w:left w:val="nil"/>
              <w:bottom w:val="single" w:sz="4" w:space="0" w:color="auto"/>
              <w:right w:val="single" w:sz="4" w:space="0" w:color="auto"/>
            </w:tcBorders>
            <w:shd w:val="clear" w:color="auto" w:fill="auto"/>
            <w:vAlign w:val="center"/>
            <w:hideMark/>
          </w:tcPr>
          <w:p w14:paraId="77BC049F"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62.05</w:t>
            </w:r>
          </w:p>
        </w:tc>
        <w:tc>
          <w:tcPr>
            <w:tcW w:w="1383" w:type="dxa"/>
            <w:tcBorders>
              <w:top w:val="nil"/>
              <w:left w:val="nil"/>
              <w:bottom w:val="single" w:sz="4" w:space="0" w:color="auto"/>
              <w:right w:val="single" w:sz="4" w:space="0" w:color="auto"/>
            </w:tcBorders>
            <w:shd w:val="clear" w:color="auto" w:fill="auto"/>
            <w:vAlign w:val="center"/>
            <w:hideMark/>
          </w:tcPr>
          <w:p w14:paraId="030A4113" w14:textId="77777777" w:rsidR="00B77446" w:rsidRPr="00703EE0"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59.45</w:t>
            </w:r>
          </w:p>
        </w:tc>
        <w:tc>
          <w:tcPr>
            <w:tcW w:w="1561" w:type="dxa"/>
            <w:tcBorders>
              <w:top w:val="nil"/>
              <w:left w:val="nil"/>
              <w:bottom w:val="single" w:sz="4" w:space="0" w:color="auto"/>
              <w:right w:val="single" w:sz="4" w:space="0" w:color="auto"/>
            </w:tcBorders>
            <w:shd w:val="clear" w:color="auto" w:fill="auto"/>
            <w:vAlign w:val="center"/>
            <w:hideMark/>
          </w:tcPr>
          <w:p w14:paraId="3B6F2C60"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85.45</w:t>
            </w:r>
          </w:p>
        </w:tc>
      </w:tr>
      <w:tr w:rsidR="00B77446" w:rsidRPr="004918AF" w14:paraId="0187D2CE"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110849AB"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Black, Non-Hispanic</w:t>
            </w:r>
          </w:p>
        </w:tc>
        <w:tc>
          <w:tcPr>
            <w:tcW w:w="985" w:type="dxa"/>
            <w:tcBorders>
              <w:top w:val="nil"/>
              <w:left w:val="nil"/>
              <w:bottom w:val="single" w:sz="4" w:space="0" w:color="auto"/>
              <w:right w:val="single" w:sz="4" w:space="0" w:color="auto"/>
            </w:tcBorders>
            <w:shd w:val="clear" w:color="auto" w:fill="auto"/>
            <w:vAlign w:val="center"/>
            <w:hideMark/>
          </w:tcPr>
          <w:p w14:paraId="05FED2E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52.54</w:t>
            </w:r>
          </w:p>
        </w:tc>
        <w:tc>
          <w:tcPr>
            <w:tcW w:w="1309" w:type="dxa"/>
            <w:tcBorders>
              <w:top w:val="nil"/>
              <w:left w:val="nil"/>
              <w:bottom w:val="single" w:sz="4" w:space="0" w:color="auto"/>
              <w:right w:val="single" w:sz="4" w:space="0" w:color="auto"/>
            </w:tcBorders>
            <w:shd w:val="clear" w:color="auto" w:fill="auto"/>
            <w:vAlign w:val="center"/>
            <w:hideMark/>
          </w:tcPr>
          <w:p w14:paraId="1BEDC116"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35.06</w:t>
            </w:r>
          </w:p>
        </w:tc>
        <w:tc>
          <w:tcPr>
            <w:tcW w:w="944" w:type="dxa"/>
            <w:tcBorders>
              <w:top w:val="nil"/>
              <w:left w:val="nil"/>
              <w:bottom w:val="single" w:sz="4" w:space="0" w:color="auto"/>
              <w:right w:val="single" w:sz="4" w:space="0" w:color="auto"/>
            </w:tcBorders>
            <w:shd w:val="clear" w:color="auto" w:fill="auto"/>
            <w:vAlign w:val="center"/>
            <w:hideMark/>
          </w:tcPr>
          <w:p w14:paraId="0B152251" w14:textId="77777777" w:rsidR="00B77446" w:rsidRPr="00E46DF6"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76.28</w:t>
            </w:r>
          </w:p>
        </w:tc>
        <w:tc>
          <w:tcPr>
            <w:tcW w:w="901" w:type="dxa"/>
            <w:tcBorders>
              <w:top w:val="nil"/>
              <w:left w:val="nil"/>
              <w:bottom w:val="single" w:sz="4" w:space="0" w:color="auto"/>
              <w:right w:val="single" w:sz="4" w:space="0" w:color="auto"/>
            </w:tcBorders>
            <w:shd w:val="clear" w:color="auto" w:fill="auto"/>
            <w:vAlign w:val="center"/>
            <w:hideMark/>
          </w:tcPr>
          <w:p w14:paraId="44D22F2E"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54.91</w:t>
            </w:r>
          </w:p>
        </w:tc>
        <w:tc>
          <w:tcPr>
            <w:tcW w:w="1698" w:type="dxa"/>
            <w:tcBorders>
              <w:top w:val="nil"/>
              <w:left w:val="nil"/>
              <w:bottom w:val="single" w:sz="4" w:space="0" w:color="auto"/>
              <w:right w:val="single" w:sz="4" w:space="0" w:color="auto"/>
            </w:tcBorders>
            <w:shd w:val="clear" w:color="auto" w:fill="auto"/>
            <w:vAlign w:val="center"/>
            <w:hideMark/>
          </w:tcPr>
          <w:p w14:paraId="4E68C290"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74.47</w:t>
            </w:r>
          </w:p>
        </w:tc>
        <w:tc>
          <w:tcPr>
            <w:tcW w:w="1383" w:type="dxa"/>
            <w:tcBorders>
              <w:top w:val="nil"/>
              <w:left w:val="nil"/>
              <w:bottom w:val="single" w:sz="4" w:space="0" w:color="auto"/>
              <w:right w:val="single" w:sz="4" w:space="0" w:color="auto"/>
            </w:tcBorders>
            <w:shd w:val="clear" w:color="auto" w:fill="auto"/>
            <w:vAlign w:val="center"/>
            <w:hideMark/>
          </w:tcPr>
          <w:p w14:paraId="23FCF9C3" w14:textId="77777777" w:rsidR="00B77446" w:rsidRPr="00703EE0"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55.13</w:t>
            </w:r>
          </w:p>
        </w:tc>
        <w:tc>
          <w:tcPr>
            <w:tcW w:w="1561" w:type="dxa"/>
            <w:tcBorders>
              <w:top w:val="nil"/>
              <w:left w:val="nil"/>
              <w:bottom w:val="single" w:sz="4" w:space="0" w:color="auto"/>
              <w:right w:val="single" w:sz="4" w:space="0" w:color="auto"/>
            </w:tcBorders>
            <w:shd w:val="clear" w:color="auto" w:fill="auto"/>
            <w:vAlign w:val="center"/>
            <w:hideMark/>
          </w:tcPr>
          <w:p w14:paraId="3B067373"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72.33</w:t>
            </w:r>
          </w:p>
        </w:tc>
      </w:tr>
      <w:tr w:rsidR="00B77446" w:rsidRPr="004918AF" w14:paraId="5BF07D11"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52AEDC03"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Hispanic</w:t>
            </w:r>
          </w:p>
        </w:tc>
        <w:tc>
          <w:tcPr>
            <w:tcW w:w="985" w:type="dxa"/>
            <w:tcBorders>
              <w:top w:val="nil"/>
              <w:left w:val="nil"/>
              <w:bottom w:val="single" w:sz="4" w:space="0" w:color="auto"/>
              <w:right w:val="single" w:sz="4" w:space="0" w:color="auto"/>
            </w:tcBorders>
            <w:shd w:val="clear" w:color="auto" w:fill="auto"/>
            <w:vAlign w:val="center"/>
            <w:hideMark/>
          </w:tcPr>
          <w:p w14:paraId="193B3B41"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64.34</w:t>
            </w:r>
          </w:p>
        </w:tc>
        <w:tc>
          <w:tcPr>
            <w:tcW w:w="1309" w:type="dxa"/>
            <w:tcBorders>
              <w:top w:val="nil"/>
              <w:left w:val="nil"/>
              <w:bottom w:val="single" w:sz="4" w:space="0" w:color="auto"/>
              <w:right w:val="single" w:sz="4" w:space="0" w:color="auto"/>
            </w:tcBorders>
            <w:shd w:val="clear" w:color="auto" w:fill="auto"/>
            <w:vAlign w:val="center"/>
            <w:hideMark/>
          </w:tcPr>
          <w:p w14:paraId="105CFB9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43.38</w:t>
            </w:r>
          </w:p>
        </w:tc>
        <w:tc>
          <w:tcPr>
            <w:tcW w:w="944" w:type="dxa"/>
            <w:tcBorders>
              <w:top w:val="nil"/>
              <w:left w:val="nil"/>
              <w:bottom w:val="single" w:sz="4" w:space="0" w:color="auto"/>
              <w:right w:val="single" w:sz="4" w:space="0" w:color="auto"/>
            </w:tcBorders>
            <w:shd w:val="clear" w:color="auto" w:fill="auto"/>
            <w:vAlign w:val="center"/>
            <w:hideMark/>
          </w:tcPr>
          <w:p w14:paraId="5A2C9490" w14:textId="77777777" w:rsidR="00B77446" w:rsidRPr="00E46DF6"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79.81</w:t>
            </w:r>
          </w:p>
        </w:tc>
        <w:tc>
          <w:tcPr>
            <w:tcW w:w="901" w:type="dxa"/>
            <w:tcBorders>
              <w:top w:val="nil"/>
              <w:left w:val="nil"/>
              <w:bottom w:val="single" w:sz="4" w:space="0" w:color="auto"/>
              <w:right w:val="single" w:sz="4" w:space="0" w:color="auto"/>
            </w:tcBorders>
            <w:shd w:val="clear" w:color="auto" w:fill="auto"/>
            <w:vAlign w:val="center"/>
            <w:hideMark/>
          </w:tcPr>
          <w:p w14:paraId="7B4C47CD"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44.96</w:t>
            </w:r>
          </w:p>
        </w:tc>
        <w:tc>
          <w:tcPr>
            <w:tcW w:w="1698" w:type="dxa"/>
            <w:tcBorders>
              <w:top w:val="nil"/>
              <w:left w:val="nil"/>
              <w:bottom w:val="single" w:sz="4" w:space="0" w:color="auto"/>
              <w:right w:val="single" w:sz="4" w:space="0" w:color="auto"/>
            </w:tcBorders>
            <w:shd w:val="clear" w:color="auto" w:fill="auto"/>
            <w:vAlign w:val="center"/>
            <w:hideMark/>
          </w:tcPr>
          <w:p w14:paraId="386B8E7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67.55</w:t>
            </w:r>
          </w:p>
        </w:tc>
        <w:tc>
          <w:tcPr>
            <w:tcW w:w="1383" w:type="dxa"/>
            <w:tcBorders>
              <w:top w:val="nil"/>
              <w:left w:val="nil"/>
              <w:bottom w:val="single" w:sz="4" w:space="0" w:color="auto"/>
              <w:right w:val="single" w:sz="4" w:space="0" w:color="auto"/>
            </w:tcBorders>
            <w:shd w:val="clear" w:color="auto" w:fill="auto"/>
            <w:vAlign w:val="center"/>
            <w:hideMark/>
          </w:tcPr>
          <w:p w14:paraId="114542FA" w14:textId="77777777" w:rsidR="00B77446" w:rsidRPr="00703EE0"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63.15</w:t>
            </w:r>
          </w:p>
        </w:tc>
        <w:tc>
          <w:tcPr>
            <w:tcW w:w="1561" w:type="dxa"/>
            <w:tcBorders>
              <w:top w:val="nil"/>
              <w:left w:val="nil"/>
              <w:bottom w:val="single" w:sz="4" w:space="0" w:color="auto"/>
              <w:right w:val="single" w:sz="4" w:space="0" w:color="auto"/>
            </w:tcBorders>
            <w:shd w:val="clear" w:color="auto" w:fill="auto"/>
            <w:vAlign w:val="center"/>
            <w:hideMark/>
          </w:tcPr>
          <w:p w14:paraId="292718D5"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79.27</w:t>
            </w:r>
          </w:p>
        </w:tc>
      </w:tr>
      <w:tr w:rsidR="00B77446" w:rsidRPr="004918AF" w14:paraId="58952011"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33FADF46"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Asian or Pacific Islander, Non-Hispanic</w:t>
            </w:r>
          </w:p>
        </w:tc>
        <w:tc>
          <w:tcPr>
            <w:tcW w:w="985" w:type="dxa"/>
            <w:tcBorders>
              <w:top w:val="nil"/>
              <w:left w:val="nil"/>
              <w:bottom w:val="single" w:sz="4" w:space="0" w:color="auto"/>
              <w:right w:val="single" w:sz="4" w:space="0" w:color="auto"/>
            </w:tcBorders>
            <w:shd w:val="clear" w:color="auto" w:fill="auto"/>
            <w:vAlign w:val="center"/>
            <w:hideMark/>
          </w:tcPr>
          <w:p w14:paraId="3A546210"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62.69</w:t>
            </w:r>
          </w:p>
        </w:tc>
        <w:tc>
          <w:tcPr>
            <w:tcW w:w="1309" w:type="dxa"/>
            <w:tcBorders>
              <w:top w:val="nil"/>
              <w:left w:val="nil"/>
              <w:bottom w:val="single" w:sz="4" w:space="0" w:color="auto"/>
              <w:right w:val="single" w:sz="4" w:space="0" w:color="auto"/>
            </w:tcBorders>
            <w:shd w:val="clear" w:color="auto" w:fill="auto"/>
            <w:vAlign w:val="center"/>
            <w:hideMark/>
          </w:tcPr>
          <w:p w14:paraId="5242CD4A"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33.99</w:t>
            </w:r>
          </w:p>
        </w:tc>
        <w:tc>
          <w:tcPr>
            <w:tcW w:w="944" w:type="dxa"/>
            <w:tcBorders>
              <w:top w:val="nil"/>
              <w:left w:val="nil"/>
              <w:bottom w:val="single" w:sz="4" w:space="0" w:color="auto"/>
              <w:right w:val="single" w:sz="4" w:space="0" w:color="auto"/>
            </w:tcBorders>
            <w:shd w:val="clear" w:color="auto" w:fill="auto"/>
            <w:vAlign w:val="center"/>
            <w:hideMark/>
          </w:tcPr>
          <w:p w14:paraId="67CA62AD" w14:textId="77777777" w:rsidR="00B77446" w:rsidRPr="00E46DF6"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81.40</w:t>
            </w:r>
          </w:p>
        </w:tc>
        <w:tc>
          <w:tcPr>
            <w:tcW w:w="901" w:type="dxa"/>
            <w:tcBorders>
              <w:top w:val="nil"/>
              <w:left w:val="nil"/>
              <w:bottom w:val="single" w:sz="4" w:space="0" w:color="auto"/>
              <w:right w:val="single" w:sz="4" w:space="0" w:color="auto"/>
            </w:tcBorders>
            <w:shd w:val="clear" w:color="auto" w:fill="auto"/>
            <w:vAlign w:val="center"/>
            <w:hideMark/>
          </w:tcPr>
          <w:p w14:paraId="5A387C09"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50.37</w:t>
            </w:r>
          </w:p>
        </w:tc>
        <w:tc>
          <w:tcPr>
            <w:tcW w:w="1698" w:type="dxa"/>
            <w:tcBorders>
              <w:top w:val="nil"/>
              <w:left w:val="nil"/>
              <w:bottom w:val="single" w:sz="4" w:space="0" w:color="auto"/>
              <w:right w:val="single" w:sz="4" w:space="0" w:color="auto"/>
            </w:tcBorders>
            <w:shd w:val="clear" w:color="auto" w:fill="auto"/>
            <w:vAlign w:val="center"/>
            <w:hideMark/>
          </w:tcPr>
          <w:p w14:paraId="43FB426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71.52</w:t>
            </w:r>
          </w:p>
        </w:tc>
        <w:tc>
          <w:tcPr>
            <w:tcW w:w="1383" w:type="dxa"/>
            <w:tcBorders>
              <w:top w:val="nil"/>
              <w:left w:val="nil"/>
              <w:bottom w:val="single" w:sz="4" w:space="0" w:color="auto"/>
              <w:right w:val="single" w:sz="4" w:space="0" w:color="auto"/>
            </w:tcBorders>
            <w:shd w:val="clear" w:color="auto" w:fill="auto"/>
            <w:vAlign w:val="center"/>
            <w:hideMark/>
          </w:tcPr>
          <w:p w14:paraId="192F6128" w14:textId="77777777" w:rsidR="00B77446" w:rsidRPr="00703EE0"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52.76</w:t>
            </w:r>
          </w:p>
        </w:tc>
        <w:tc>
          <w:tcPr>
            <w:tcW w:w="1561" w:type="dxa"/>
            <w:tcBorders>
              <w:top w:val="nil"/>
              <w:left w:val="nil"/>
              <w:bottom w:val="single" w:sz="4" w:space="0" w:color="auto"/>
              <w:right w:val="single" w:sz="4" w:space="0" w:color="auto"/>
            </w:tcBorders>
            <w:shd w:val="clear" w:color="auto" w:fill="auto"/>
            <w:vAlign w:val="center"/>
            <w:hideMark/>
          </w:tcPr>
          <w:p w14:paraId="49AEF90C"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74.54</w:t>
            </w:r>
          </w:p>
        </w:tc>
      </w:tr>
      <w:tr w:rsidR="00B77446" w:rsidRPr="004918AF" w14:paraId="747C4FCA"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6BFC1CCA"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Native American, Non-Hispanic</w:t>
            </w:r>
          </w:p>
        </w:tc>
        <w:tc>
          <w:tcPr>
            <w:tcW w:w="985" w:type="dxa"/>
            <w:tcBorders>
              <w:top w:val="nil"/>
              <w:left w:val="nil"/>
              <w:bottom w:val="single" w:sz="4" w:space="0" w:color="auto"/>
              <w:right w:val="single" w:sz="4" w:space="0" w:color="auto"/>
            </w:tcBorders>
            <w:shd w:val="clear" w:color="auto" w:fill="auto"/>
            <w:vAlign w:val="center"/>
            <w:hideMark/>
          </w:tcPr>
          <w:p w14:paraId="41E971CF"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57.17</w:t>
            </w:r>
          </w:p>
        </w:tc>
        <w:tc>
          <w:tcPr>
            <w:tcW w:w="1309" w:type="dxa"/>
            <w:tcBorders>
              <w:top w:val="nil"/>
              <w:left w:val="nil"/>
              <w:bottom w:val="single" w:sz="4" w:space="0" w:color="auto"/>
              <w:right w:val="single" w:sz="4" w:space="0" w:color="auto"/>
            </w:tcBorders>
            <w:shd w:val="clear" w:color="auto" w:fill="auto"/>
            <w:vAlign w:val="center"/>
            <w:hideMark/>
          </w:tcPr>
          <w:p w14:paraId="33BFF8ED"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40.86</w:t>
            </w:r>
          </w:p>
        </w:tc>
        <w:tc>
          <w:tcPr>
            <w:tcW w:w="944" w:type="dxa"/>
            <w:tcBorders>
              <w:top w:val="nil"/>
              <w:left w:val="nil"/>
              <w:bottom w:val="single" w:sz="4" w:space="0" w:color="auto"/>
              <w:right w:val="single" w:sz="4" w:space="0" w:color="auto"/>
            </w:tcBorders>
            <w:shd w:val="clear" w:color="auto" w:fill="auto"/>
            <w:vAlign w:val="center"/>
            <w:hideMark/>
          </w:tcPr>
          <w:p w14:paraId="66BD770F" w14:textId="77777777" w:rsidR="00B77446" w:rsidRPr="00E46DF6"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67.01</w:t>
            </w:r>
          </w:p>
        </w:tc>
        <w:tc>
          <w:tcPr>
            <w:tcW w:w="901" w:type="dxa"/>
            <w:tcBorders>
              <w:top w:val="nil"/>
              <w:left w:val="nil"/>
              <w:bottom w:val="single" w:sz="4" w:space="0" w:color="auto"/>
              <w:right w:val="single" w:sz="4" w:space="0" w:color="auto"/>
            </w:tcBorders>
            <w:shd w:val="clear" w:color="auto" w:fill="auto"/>
            <w:vAlign w:val="center"/>
            <w:hideMark/>
          </w:tcPr>
          <w:p w14:paraId="0D8D67EC"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35.72</w:t>
            </w:r>
          </w:p>
        </w:tc>
        <w:tc>
          <w:tcPr>
            <w:tcW w:w="1698" w:type="dxa"/>
            <w:tcBorders>
              <w:top w:val="nil"/>
              <w:left w:val="nil"/>
              <w:bottom w:val="single" w:sz="4" w:space="0" w:color="auto"/>
              <w:right w:val="single" w:sz="4" w:space="0" w:color="auto"/>
            </w:tcBorders>
            <w:shd w:val="clear" w:color="auto" w:fill="auto"/>
            <w:vAlign w:val="center"/>
            <w:hideMark/>
          </w:tcPr>
          <w:p w14:paraId="04D88AAD"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58.60</w:t>
            </w:r>
          </w:p>
        </w:tc>
        <w:tc>
          <w:tcPr>
            <w:tcW w:w="1383" w:type="dxa"/>
            <w:tcBorders>
              <w:top w:val="nil"/>
              <w:left w:val="nil"/>
              <w:bottom w:val="single" w:sz="4" w:space="0" w:color="auto"/>
              <w:right w:val="single" w:sz="4" w:space="0" w:color="auto"/>
            </w:tcBorders>
            <w:shd w:val="clear" w:color="auto" w:fill="auto"/>
            <w:vAlign w:val="center"/>
            <w:hideMark/>
          </w:tcPr>
          <w:p w14:paraId="024CBC55" w14:textId="77777777" w:rsidR="00B77446" w:rsidRPr="00703EE0"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62.38</w:t>
            </w:r>
          </w:p>
        </w:tc>
        <w:tc>
          <w:tcPr>
            <w:tcW w:w="1561" w:type="dxa"/>
            <w:tcBorders>
              <w:top w:val="nil"/>
              <w:left w:val="nil"/>
              <w:bottom w:val="single" w:sz="4" w:space="0" w:color="auto"/>
              <w:right w:val="single" w:sz="4" w:space="0" w:color="auto"/>
            </w:tcBorders>
            <w:shd w:val="clear" w:color="auto" w:fill="auto"/>
            <w:vAlign w:val="center"/>
            <w:hideMark/>
          </w:tcPr>
          <w:p w14:paraId="54E1C62B"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87.49</w:t>
            </w:r>
          </w:p>
        </w:tc>
      </w:tr>
      <w:tr w:rsidR="00B77446" w:rsidRPr="004918AF" w14:paraId="67CF7990"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DCE6F1"/>
            <w:vAlign w:val="center"/>
            <w:hideMark/>
          </w:tcPr>
          <w:p w14:paraId="600DE600" w14:textId="77777777" w:rsidR="00B77446" w:rsidRPr="004918AF"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Population below federal poverty line</w:t>
            </w:r>
          </w:p>
        </w:tc>
        <w:tc>
          <w:tcPr>
            <w:tcW w:w="985" w:type="dxa"/>
            <w:tcBorders>
              <w:top w:val="nil"/>
              <w:left w:val="nil"/>
              <w:bottom w:val="single" w:sz="4" w:space="0" w:color="auto"/>
              <w:right w:val="single" w:sz="4" w:space="0" w:color="auto"/>
            </w:tcBorders>
            <w:shd w:val="clear" w:color="auto" w:fill="DCE6F1"/>
            <w:vAlign w:val="center"/>
            <w:hideMark/>
          </w:tcPr>
          <w:p w14:paraId="103D8451" w14:textId="77777777" w:rsidR="00B77446" w:rsidRPr="004918AF" w:rsidRDefault="00B77446" w:rsidP="0025019A">
            <w:pPr>
              <w:spacing w:after="0"/>
              <w:jc w:val="center"/>
              <w:rPr>
                <w:rFonts w:ascii="Calibri" w:eastAsia="Times New Roman" w:hAnsi="Calibri"/>
                <w:i/>
                <w:iCs/>
                <w:color w:val="000000"/>
              </w:rPr>
            </w:pPr>
          </w:p>
        </w:tc>
        <w:tc>
          <w:tcPr>
            <w:tcW w:w="1309" w:type="dxa"/>
            <w:tcBorders>
              <w:top w:val="nil"/>
              <w:left w:val="nil"/>
              <w:bottom w:val="single" w:sz="4" w:space="0" w:color="auto"/>
              <w:right w:val="single" w:sz="4" w:space="0" w:color="auto"/>
            </w:tcBorders>
            <w:shd w:val="clear" w:color="auto" w:fill="DCE6F1"/>
            <w:vAlign w:val="center"/>
            <w:hideMark/>
          </w:tcPr>
          <w:p w14:paraId="2309C3A3" w14:textId="77777777" w:rsidR="00B77446" w:rsidRPr="004918AF" w:rsidRDefault="00B77446" w:rsidP="0025019A">
            <w:pPr>
              <w:spacing w:after="0"/>
              <w:jc w:val="center"/>
              <w:rPr>
                <w:rFonts w:ascii="Calibri" w:eastAsia="Times New Roman" w:hAnsi="Calibri"/>
                <w:i/>
                <w:iCs/>
                <w:color w:val="000000"/>
              </w:rPr>
            </w:pPr>
          </w:p>
        </w:tc>
        <w:tc>
          <w:tcPr>
            <w:tcW w:w="944" w:type="dxa"/>
            <w:tcBorders>
              <w:top w:val="nil"/>
              <w:left w:val="nil"/>
              <w:bottom w:val="single" w:sz="4" w:space="0" w:color="auto"/>
              <w:right w:val="single" w:sz="4" w:space="0" w:color="auto"/>
            </w:tcBorders>
            <w:shd w:val="clear" w:color="auto" w:fill="DCE6F1"/>
            <w:vAlign w:val="center"/>
            <w:hideMark/>
          </w:tcPr>
          <w:p w14:paraId="48A2FE22" w14:textId="77777777" w:rsidR="00B77446" w:rsidRPr="004918AF" w:rsidRDefault="00B77446" w:rsidP="0025019A">
            <w:pPr>
              <w:spacing w:after="0"/>
              <w:jc w:val="center"/>
              <w:rPr>
                <w:rFonts w:ascii="Calibri" w:eastAsia="Times New Roman" w:hAnsi="Calibri"/>
                <w:i/>
                <w:iCs/>
                <w:color w:val="000000"/>
              </w:rPr>
            </w:pPr>
          </w:p>
        </w:tc>
        <w:tc>
          <w:tcPr>
            <w:tcW w:w="901" w:type="dxa"/>
            <w:tcBorders>
              <w:top w:val="nil"/>
              <w:left w:val="nil"/>
              <w:bottom w:val="single" w:sz="4" w:space="0" w:color="auto"/>
              <w:right w:val="single" w:sz="4" w:space="0" w:color="auto"/>
            </w:tcBorders>
            <w:shd w:val="clear" w:color="auto" w:fill="DCE6F1"/>
            <w:vAlign w:val="center"/>
            <w:hideMark/>
          </w:tcPr>
          <w:p w14:paraId="2FFC47DA" w14:textId="77777777" w:rsidR="00B77446" w:rsidRPr="004918AF" w:rsidRDefault="00B77446" w:rsidP="0025019A">
            <w:pPr>
              <w:spacing w:after="0"/>
              <w:jc w:val="center"/>
              <w:rPr>
                <w:rFonts w:ascii="Calibri" w:eastAsia="Times New Roman" w:hAnsi="Calibri"/>
                <w:i/>
                <w:iCs/>
                <w:color w:val="000000"/>
              </w:rPr>
            </w:pPr>
          </w:p>
        </w:tc>
        <w:tc>
          <w:tcPr>
            <w:tcW w:w="1698" w:type="dxa"/>
            <w:tcBorders>
              <w:top w:val="nil"/>
              <w:left w:val="nil"/>
              <w:bottom w:val="single" w:sz="4" w:space="0" w:color="auto"/>
              <w:right w:val="single" w:sz="4" w:space="0" w:color="auto"/>
            </w:tcBorders>
            <w:shd w:val="clear" w:color="auto" w:fill="DCE6F1"/>
            <w:vAlign w:val="center"/>
            <w:hideMark/>
          </w:tcPr>
          <w:p w14:paraId="7C5D4671" w14:textId="77777777" w:rsidR="00B77446" w:rsidRPr="004918AF" w:rsidRDefault="00B77446" w:rsidP="0025019A">
            <w:pPr>
              <w:spacing w:after="0"/>
              <w:jc w:val="center"/>
              <w:rPr>
                <w:rFonts w:ascii="Calibri" w:eastAsia="Times New Roman" w:hAnsi="Calibri"/>
                <w:i/>
                <w:iCs/>
                <w:color w:val="000000"/>
              </w:rPr>
            </w:pPr>
          </w:p>
        </w:tc>
        <w:tc>
          <w:tcPr>
            <w:tcW w:w="1383" w:type="dxa"/>
            <w:tcBorders>
              <w:top w:val="nil"/>
              <w:left w:val="nil"/>
              <w:bottom w:val="single" w:sz="4" w:space="0" w:color="auto"/>
              <w:right w:val="single" w:sz="4" w:space="0" w:color="auto"/>
            </w:tcBorders>
            <w:shd w:val="clear" w:color="auto" w:fill="DCE6F1"/>
            <w:vAlign w:val="center"/>
            <w:hideMark/>
          </w:tcPr>
          <w:p w14:paraId="21644B7F" w14:textId="77777777" w:rsidR="00B77446" w:rsidRPr="004918AF" w:rsidRDefault="00B77446" w:rsidP="0025019A">
            <w:pPr>
              <w:spacing w:after="0"/>
              <w:jc w:val="center"/>
              <w:rPr>
                <w:rFonts w:ascii="Calibri" w:eastAsia="Times New Roman" w:hAnsi="Calibri"/>
                <w:i/>
                <w:iCs/>
                <w:color w:val="000000"/>
              </w:rPr>
            </w:pPr>
          </w:p>
        </w:tc>
        <w:tc>
          <w:tcPr>
            <w:tcW w:w="1561" w:type="dxa"/>
            <w:tcBorders>
              <w:top w:val="nil"/>
              <w:left w:val="nil"/>
              <w:bottom w:val="single" w:sz="4" w:space="0" w:color="auto"/>
              <w:right w:val="single" w:sz="4" w:space="0" w:color="auto"/>
            </w:tcBorders>
            <w:shd w:val="clear" w:color="auto" w:fill="DCE6F1"/>
            <w:vAlign w:val="center"/>
            <w:hideMark/>
          </w:tcPr>
          <w:p w14:paraId="1FB11716" w14:textId="77777777" w:rsidR="00B77446" w:rsidRPr="004918AF" w:rsidRDefault="00B77446" w:rsidP="0025019A">
            <w:pPr>
              <w:spacing w:after="0"/>
              <w:jc w:val="center"/>
              <w:rPr>
                <w:rFonts w:ascii="Calibri" w:eastAsia="Times New Roman" w:hAnsi="Calibri"/>
                <w:i/>
                <w:iCs/>
                <w:color w:val="000000"/>
              </w:rPr>
            </w:pPr>
          </w:p>
        </w:tc>
      </w:tr>
      <w:tr w:rsidR="00B77446" w:rsidRPr="004918AF" w14:paraId="12901A83"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1D776999"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White, Non-Hispanic</w:t>
            </w:r>
          </w:p>
        </w:tc>
        <w:tc>
          <w:tcPr>
            <w:tcW w:w="985" w:type="dxa"/>
            <w:tcBorders>
              <w:top w:val="nil"/>
              <w:left w:val="nil"/>
              <w:bottom w:val="single" w:sz="4" w:space="0" w:color="auto"/>
              <w:right w:val="single" w:sz="4" w:space="0" w:color="auto"/>
            </w:tcBorders>
            <w:shd w:val="clear" w:color="auto" w:fill="auto"/>
            <w:vAlign w:val="center"/>
            <w:hideMark/>
          </w:tcPr>
          <w:p w14:paraId="091AD5B9"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54.72</w:t>
            </w:r>
          </w:p>
        </w:tc>
        <w:tc>
          <w:tcPr>
            <w:tcW w:w="1309" w:type="dxa"/>
            <w:tcBorders>
              <w:top w:val="nil"/>
              <w:left w:val="nil"/>
              <w:bottom w:val="single" w:sz="4" w:space="0" w:color="auto"/>
              <w:right w:val="single" w:sz="4" w:space="0" w:color="auto"/>
            </w:tcBorders>
            <w:shd w:val="clear" w:color="auto" w:fill="auto"/>
            <w:vAlign w:val="center"/>
            <w:hideMark/>
          </w:tcPr>
          <w:p w14:paraId="6585C41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42.38</w:t>
            </w:r>
          </w:p>
        </w:tc>
        <w:tc>
          <w:tcPr>
            <w:tcW w:w="944" w:type="dxa"/>
            <w:tcBorders>
              <w:top w:val="nil"/>
              <w:left w:val="nil"/>
              <w:bottom w:val="single" w:sz="4" w:space="0" w:color="auto"/>
              <w:right w:val="single" w:sz="4" w:space="0" w:color="auto"/>
            </w:tcBorders>
            <w:shd w:val="clear" w:color="auto" w:fill="auto"/>
            <w:vAlign w:val="center"/>
            <w:hideMark/>
          </w:tcPr>
          <w:p w14:paraId="57C094CC"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73.02</w:t>
            </w:r>
          </w:p>
        </w:tc>
        <w:tc>
          <w:tcPr>
            <w:tcW w:w="901" w:type="dxa"/>
            <w:tcBorders>
              <w:top w:val="nil"/>
              <w:left w:val="nil"/>
              <w:bottom w:val="single" w:sz="4" w:space="0" w:color="auto"/>
              <w:right w:val="single" w:sz="4" w:space="0" w:color="auto"/>
            </w:tcBorders>
            <w:shd w:val="clear" w:color="auto" w:fill="auto"/>
            <w:vAlign w:val="center"/>
            <w:hideMark/>
          </w:tcPr>
          <w:p w14:paraId="12194C46"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49.83</w:t>
            </w:r>
          </w:p>
        </w:tc>
        <w:tc>
          <w:tcPr>
            <w:tcW w:w="1698" w:type="dxa"/>
            <w:tcBorders>
              <w:top w:val="nil"/>
              <w:left w:val="nil"/>
              <w:bottom w:val="single" w:sz="4" w:space="0" w:color="auto"/>
              <w:right w:val="single" w:sz="4" w:space="0" w:color="auto"/>
            </w:tcBorders>
            <w:shd w:val="clear" w:color="auto" w:fill="auto"/>
            <w:vAlign w:val="center"/>
            <w:hideMark/>
          </w:tcPr>
          <w:p w14:paraId="6F8FDE10"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69.85</w:t>
            </w:r>
          </w:p>
        </w:tc>
        <w:tc>
          <w:tcPr>
            <w:tcW w:w="1383" w:type="dxa"/>
            <w:tcBorders>
              <w:top w:val="nil"/>
              <w:left w:val="nil"/>
              <w:bottom w:val="single" w:sz="4" w:space="0" w:color="auto"/>
              <w:right w:val="single" w:sz="4" w:space="0" w:color="auto"/>
            </w:tcBorders>
            <w:shd w:val="clear" w:color="auto" w:fill="auto"/>
            <w:vAlign w:val="center"/>
            <w:hideMark/>
          </w:tcPr>
          <w:p w14:paraId="7D46F456"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51.49</w:t>
            </w:r>
          </w:p>
        </w:tc>
        <w:tc>
          <w:tcPr>
            <w:tcW w:w="1561" w:type="dxa"/>
            <w:tcBorders>
              <w:top w:val="nil"/>
              <w:left w:val="nil"/>
              <w:bottom w:val="single" w:sz="4" w:space="0" w:color="auto"/>
              <w:right w:val="single" w:sz="4" w:space="0" w:color="auto"/>
            </w:tcBorders>
            <w:shd w:val="clear" w:color="auto" w:fill="auto"/>
            <w:vAlign w:val="center"/>
            <w:hideMark/>
          </w:tcPr>
          <w:p w14:paraId="26187012"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72.82</w:t>
            </w:r>
          </w:p>
        </w:tc>
      </w:tr>
      <w:tr w:rsidR="00B77446" w:rsidRPr="004918AF" w14:paraId="12D40190"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3D55E15E"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Black, Non-Hispanic</w:t>
            </w:r>
          </w:p>
        </w:tc>
        <w:tc>
          <w:tcPr>
            <w:tcW w:w="985" w:type="dxa"/>
            <w:tcBorders>
              <w:top w:val="nil"/>
              <w:left w:val="nil"/>
              <w:bottom w:val="single" w:sz="4" w:space="0" w:color="auto"/>
              <w:right w:val="single" w:sz="4" w:space="0" w:color="auto"/>
            </w:tcBorders>
            <w:shd w:val="clear" w:color="auto" w:fill="auto"/>
            <w:vAlign w:val="center"/>
            <w:hideMark/>
          </w:tcPr>
          <w:p w14:paraId="22B39B75"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40.24</w:t>
            </w:r>
          </w:p>
        </w:tc>
        <w:tc>
          <w:tcPr>
            <w:tcW w:w="1309" w:type="dxa"/>
            <w:tcBorders>
              <w:top w:val="nil"/>
              <w:left w:val="nil"/>
              <w:bottom w:val="single" w:sz="4" w:space="0" w:color="auto"/>
              <w:right w:val="single" w:sz="4" w:space="0" w:color="auto"/>
            </w:tcBorders>
            <w:shd w:val="clear" w:color="auto" w:fill="auto"/>
            <w:vAlign w:val="center"/>
            <w:hideMark/>
          </w:tcPr>
          <w:p w14:paraId="5F5F95D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49.30</w:t>
            </w:r>
          </w:p>
        </w:tc>
        <w:tc>
          <w:tcPr>
            <w:tcW w:w="944" w:type="dxa"/>
            <w:tcBorders>
              <w:top w:val="nil"/>
              <w:left w:val="nil"/>
              <w:bottom w:val="single" w:sz="4" w:space="0" w:color="auto"/>
              <w:right w:val="single" w:sz="4" w:space="0" w:color="auto"/>
            </w:tcBorders>
            <w:shd w:val="clear" w:color="auto" w:fill="auto"/>
            <w:vAlign w:val="center"/>
            <w:hideMark/>
          </w:tcPr>
          <w:p w14:paraId="71045E1A"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82.99</w:t>
            </w:r>
          </w:p>
        </w:tc>
        <w:tc>
          <w:tcPr>
            <w:tcW w:w="901" w:type="dxa"/>
            <w:tcBorders>
              <w:top w:val="nil"/>
              <w:left w:val="nil"/>
              <w:bottom w:val="single" w:sz="4" w:space="0" w:color="auto"/>
              <w:right w:val="single" w:sz="4" w:space="0" w:color="auto"/>
            </w:tcBorders>
            <w:shd w:val="clear" w:color="auto" w:fill="auto"/>
            <w:vAlign w:val="center"/>
            <w:hideMark/>
          </w:tcPr>
          <w:p w14:paraId="4F9AF51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60.54</w:t>
            </w:r>
          </w:p>
        </w:tc>
        <w:tc>
          <w:tcPr>
            <w:tcW w:w="1698" w:type="dxa"/>
            <w:tcBorders>
              <w:top w:val="nil"/>
              <w:left w:val="nil"/>
              <w:bottom w:val="single" w:sz="4" w:space="0" w:color="auto"/>
              <w:right w:val="single" w:sz="4" w:space="0" w:color="auto"/>
            </w:tcBorders>
            <w:shd w:val="clear" w:color="auto" w:fill="auto"/>
            <w:vAlign w:val="center"/>
            <w:hideMark/>
          </w:tcPr>
          <w:p w14:paraId="06B9780F"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77.38</w:t>
            </w:r>
          </w:p>
        </w:tc>
        <w:tc>
          <w:tcPr>
            <w:tcW w:w="1383" w:type="dxa"/>
            <w:tcBorders>
              <w:top w:val="nil"/>
              <w:left w:val="nil"/>
              <w:bottom w:val="single" w:sz="4" w:space="0" w:color="auto"/>
              <w:right w:val="single" w:sz="4" w:space="0" w:color="auto"/>
            </w:tcBorders>
            <w:shd w:val="clear" w:color="auto" w:fill="auto"/>
            <w:vAlign w:val="center"/>
            <w:hideMark/>
          </w:tcPr>
          <w:p w14:paraId="143F7EDD"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55.83</w:t>
            </w:r>
          </w:p>
        </w:tc>
        <w:tc>
          <w:tcPr>
            <w:tcW w:w="1561" w:type="dxa"/>
            <w:tcBorders>
              <w:top w:val="nil"/>
              <w:left w:val="nil"/>
              <w:bottom w:val="single" w:sz="4" w:space="0" w:color="auto"/>
              <w:right w:val="single" w:sz="4" w:space="0" w:color="auto"/>
            </w:tcBorders>
            <w:shd w:val="clear" w:color="auto" w:fill="auto"/>
            <w:vAlign w:val="center"/>
            <w:hideMark/>
          </w:tcPr>
          <w:p w14:paraId="62F2AC97"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72.74</w:t>
            </w:r>
          </w:p>
        </w:tc>
      </w:tr>
      <w:tr w:rsidR="00B77446" w:rsidRPr="004918AF" w14:paraId="4ABF2A65"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6A4CA995"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Hispanic</w:t>
            </w:r>
          </w:p>
        </w:tc>
        <w:tc>
          <w:tcPr>
            <w:tcW w:w="985" w:type="dxa"/>
            <w:tcBorders>
              <w:top w:val="nil"/>
              <w:left w:val="nil"/>
              <w:bottom w:val="single" w:sz="4" w:space="0" w:color="auto"/>
              <w:right w:val="single" w:sz="4" w:space="0" w:color="auto"/>
            </w:tcBorders>
            <w:shd w:val="clear" w:color="auto" w:fill="auto"/>
            <w:vAlign w:val="center"/>
            <w:hideMark/>
          </w:tcPr>
          <w:p w14:paraId="1A12A2C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57.25</w:t>
            </w:r>
          </w:p>
        </w:tc>
        <w:tc>
          <w:tcPr>
            <w:tcW w:w="1309" w:type="dxa"/>
            <w:tcBorders>
              <w:top w:val="nil"/>
              <w:left w:val="nil"/>
              <w:bottom w:val="single" w:sz="4" w:space="0" w:color="auto"/>
              <w:right w:val="single" w:sz="4" w:space="0" w:color="auto"/>
            </w:tcBorders>
            <w:shd w:val="clear" w:color="auto" w:fill="auto"/>
            <w:vAlign w:val="center"/>
            <w:hideMark/>
          </w:tcPr>
          <w:p w14:paraId="57FB8A7A"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52.91</w:t>
            </w:r>
          </w:p>
        </w:tc>
        <w:tc>
          <w:tcPr>
            <w:tcW w:w="944" w:type="dxa"/>
            <w:tcBorders>
              <w:top w:val="nil"/>
              <w:left w:val="nil"/>
              <w:bottom w:val="single" w:sz="4" w:space="0" w:color="auto"/>
              <w:right w:val="single" w:sz="4" w:space="0" w:color="auto"/>
            </w:tcBorders>
            <w:shd w:val="clear" w:color="auto" w:fill="auto"/>
            <w:vAlign w:val="center"/>
            <w:hideMark/>
          </w:tcPr>
          <w:p w14:paraId="67FC5085"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80.77</w:t>
            </w:r>
          </w:p>
        </w:tc>
        <w:tc>
          <w:tcPr>
            <w:tcW w:w="901" w:type="dxa"/>
            <w:tcBorders>
              <w:top w:val="nil"/>
              <w:left w:val="nil"/>
              <w:bottom w:val="single" w:sz="4" w:space="0" w:color="auto"/>
              <w:right w:val="single" w:sz="4" w:space="0" w:color="auto"/>
            </w:tcBorders>
            <w:shd w:val="clear" w:color="auto" w:fill="auto"/>
            <w:vAlign w:val="center"/>
            <w:hideMark/>
          </w:tcPr>
          <w:p w14:paraId="55A9F53A"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48.31</w:t>
            </w:r>
          </w:p>
        </w:tc>
        <w:tc>
          <w:tcPr>
            <w:tcW w:w="1698" w:type="dxa"/>
            <w:tcBorders>
              <w:top w:val="nil"/>
              <w:left w:val="nil"/>
              <w:bottom w:val="single" w:sz="4" w:space="0" w:color="auto"/>
              <w:right w:val="single" w:sz="4" w:space="0" w:color="auto"/>
            </w:tcBorders>
            <w:shd w:val="clear" w:color="auto" w:fill="auto"/>
            <w:vAlign w:val="center"/>
            <w:hideMark/>
          </w:tcPr>
          <w:p w14:paraId="74319606"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67.64</w:t>
            </w:r>
          </w:p>
        </w:tc>
        <w:tc>
          <w:tcPr>
            <w:tcW w:w="1383" w:type="dxa"/>
            <w:tcBorders>
              <w:top w:val="nil"/>
              <w:left w:val="nil"/>
              <w:bottom w:val="single" w:sz="4" w:space="0" w:color="auto"/>
              <w:right w:val="single" w:sz="4" w:space="0" w:color="auto"/>
            </w:tcBorders>
            <w:shd w:val="clear" w:color="auto" w:fill="auto"/>
            <w:vAlign w:val="center"/>
            <w:hideMark/>
          </w:tcPr>
          <w:p w14:paraId="2D5549DC"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43.83</w:t>
            </w:r>
          </w:p>
        </w:tc>
        <w:tc>
          <w:tcPr>
            <w:tcW w:w="1561" w:type="dxa"/>
            <w:tcBorders>
              <w:top w:val="nil"/>
              <w:left w:val="nil"/>
              <w:bottom w:val="single" w:sz="4" w:space="0" w:color="auto"/>
              <w:right w:val="single" w:sz="4" w:space="0" w:color="auto"/>
            </w:tcBorders>
            <w:shd w:val="clear" w:color="auto" w:fill="auto"/>
            <w:vAlign w:val="center"/>
            <w:hideMark/>
          </w:tcPr>
          <w:p w14:paraId="3BFF4321"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79.26</w:t>
            </w:r>
          </w:p>
        </w:tc>
      </w:tr>
      <w:tr w:rsidR="00B77446" w:rsidRPr="004918AF" w14:paraId="7E80B623"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22CA43A1"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Asian or Pacific Islander, Non-Hispanic</w:t>
            </w:r>
          </w:p>
        </w:tc>
        <w:tc>
          <w:tcPr>
            <w:tcW w:w="985" w:type="dxa"/>
            <w:tcBorders>
              <w:top w:val="nil"/>
              <w:left w:val="nil"/>
              <w:bottom w:val="single" w:sz="4" w:space="0" w:color="auto"/>
              <w:right w:val="single" w:sz="4" w:space="0" w:color="auto"/>
            </w:tcBorders>
            <w:shd w:val="clear" w:color="auto" w:fill="auto"/>
            <w:vAlign w:val="center"/>
            <w:hideMark/>
          </w:tcPr>
          <w:p w14:paraId="44913049"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43.64</w:t>
            </w:r>
          </w:p>
        </w:tc>
        <w:tc>
          <w:tcPr>
            <w:tcW w:w="1309" w:type="dxa"/>
            <w:tcBorders>
              <w:top w:val="nil"/>
              <w:left w:val="nil"/>
              <w:bottom w:val="single" w:sz="4" w:space="0" w:color="auto"/>
              <w:right w:val="single" w:sz="4" w:space="0" w:color="auto"/>
            </w:tcBorders>
            <w:shd w:val="clear" w:color="auto" w:fill="auto"/>
            <w:vAlign w:val="center"/>
            <w:hideMark/>
          </w:tcPr>
          <w:p w14:paraId="10F62E39"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35.83</w:t>
            </w:r>
          </w:p>
        </w:tc>
        <w:tc>
          <w:tcPr>
            <w:tcW w:w="944" w:type="dxa"/>
            <w:tcBorders>
              <w:top w:val="nil"/>
              <w:left w:val="nil"/>
              <w:bottom w:val="single" w:sz="4" w:space="0" w:color="auto"/>
              <w:right w:val="single" w:sz="4" w:space="0" w:color="auto"/>
            </w:tcBorders>
            <w:shd w:val="clear" w:color="auto" w:fill="auto"/>
            <w:vAlign w:val="center"/>
            <w:hideMark/>
          </w:tcPr>
          <w:p w14:paraId="4F58020B"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74.14</w:t>
            </w:r>
          </w:p>
        </w:tc>
        <w:tc>
          <w:tcPr>
            <w:tcW w:w="901" w:type="dxa"/>
            <w:tcBorders>
              <w:top w:val="nil"/>
              <w:left w:val="nil"/>
              <w:bottom w:val="single" w:sz="4" w:space="0" w:color="auto"/>
              <w:right w:val="single" w:sz="4" w:space="0" w:color="auto"/>
            </w:tcBorders>
            <w:shd w:val="clear" w:color="auto" w:fill="auto"/>
            <w:vAlign w:val="center"/>
            <w:hideMark/>
          </w:tcPr>
          <w:p w14:paraId="7E5348D1"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61.94</w:t>
            </w:r>
          </w:p>
        </w:tc>
        <w:tc>
          <w:tcPr>
            <w:tcW w:w="1698" w:type="dxa"/>
            <w:tcBorders>
              <w:top w:val="nil"/>
              <w:left w:val="nil"/>
              <w:bottom w:val="single" w:sz="4" w:space="0" w:color="auto"/>
              <w:right w:val="single" w:sz="4" w:space="0" w:color="auto"/>
            </w:tcBorders>
            <w:shd w:val="clear" w:color="auto" w:fill="auto"/>
            <w:vAlign w:val="center"/>
            <w:hideMark/>
          </w:tcPr>
          <w:p w14:paraId="5C1D7E8C"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79.71</w:t>
            </w:r>
          </w:p>
        </w:tc>
        <w:tc>
          <w:tcPr>
            <w:tcW w:w="1383" w:type="dxa"/>
            <w:tcBorders>
              <w:top w:val="nil"/>
              <w:left w:val="nil"/>
              <w:bottom w:val="single" w:sz="4" w:space="0" w:color="auto"/>
              <w:right w:val="single" w:sz="4" w:space="0" w:color="auto"/>
            </w:tcBorders>
            <w:shd w:val="clear" w:color="auto" w:fill="auto"/>
            <w:vAlign w:val="center"/>
            <w:hideMark/>
          </w:tcPr>
          <w:p w14:paraId="728CAE2D"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53.58</w:t>
            </w:r>
          </w:p>
        </w:tc>
        <w:tc>
          <w:tcPr>
            <w:tcW w:w="1561" w:type="dxa"/>
            <w:tcBorders>
              <w:top w:val="nil"/>
              <w:left w:val="nil"/>
              <w:bottom w:val="single" w:sz="4" w:space="0" w:color="auto"/>
              <w:right w:val="single" w:sz="4" w:space="0" w:color="auto"/>
            </w:tcBorders>
            <w:shd w:val="clear" w:color="auto" w:fill="auto"/>
            <w:vAlign w:val="center"/>
            <w:hideMark/>
          </w:tcPr>
          <w:p w14:paraId="1A02F514"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64.32</w:t>
            </w:r>
          </w:p>
        </w:tc>
      </w:tr>
      <w:tr w:rsidR="00B77446" w:rsidRPr="004918AF" w14:paraId="33383B66" w14:textId="77777777" w:rsidTr="5F884969">
        <w:trPr>
          <w:trHeight w:val="420"/>
          <w:jc w:val="center"/>
        </w:trPr>
        <w:tc>
          <w:tcPr>
            <w:tcW w:w="1748" w:type="dxa"/>
            <w:tcBorders>
              <w:top w:val="nil"/>
              <w:left w:val="single" w:sz="4" w:space="0" w:color="auto"/>
              <w:bottom w:val="single" w:sz="4" w:space="0" w:color="auto"/>
              <w:right w:val="single" w:sz="4" w:space="0" w:color="auto"/>
            </w:tcBorders>
            <w:shd w:val="clear" w:color="auto" w:fill="auto"/>
            <w:vAlign w:val="center"/>
            <w:hideMark/>
          </w:tcPr>
          <w:p w14:paraId="2AD84D8F" w14:textId="77777777" w:rsidR="00B77446" w:rsidRPr="004918AF"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Native American, Non-Hispanic</w:t>
            </w:r>
          </w:p>
        </w:tc>
        <w:tc>
          <w:tcPr>
            <w:tcW w:w="985" w:type="dxa"/>
            <w:tcBorders>
              <w:top w:val="nil"/>
              <w:left w:val="nil"/>
              <w:bottom w:val="single" w:sz="4" w:space="0" w:color="auto"/>
              <w:right w:val="single" w:sz="4" w:space="0" w:color="auto"/>
            </w:tcBorders>
            <w:shd w:val="clear" w:color="auto" w:fill="auto"/>
            <w:vAlign w:val="center"/>
            <w:hideMark/>
          </w:tcPr>
          <w:p w14:paraId="47242FB4"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40.85</w:t>
            </w:r>
          </w:p>
        </w:tc>
        <w:tc>
          <w:tcPr>
            <w:tcW w:w="1309" w:type="dxa"/>
            <w:tcBorders>
              <w:top w:val="nil"/>
              <w:left w:val="nil"/>
              <w:bottom w:val="single" w:sz="4" w:space="0" w:color="auto"/>
              <w:right w:val="single" w:sz="4" w:space="0" w:color="auto"/>
            </w:tcBorders>
            <w:shd w:val="clear" w:color="auto" w:fill="auto"/>
            <w:vAlign w:val="center"/>
            <w:hideMark/>
          </w:tcPr>
          <w:p w14:paraId="5246F48A"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22.34</w:t>
            </w:r>
          </w:p>
        </w:tc>
        <w:tc>
          <w:tcPr>
            <w:tcW w:w="944" w:type="dxa"/>
            <w:tcBorders>
              <w:top w:val="nil"/>
              <w:left w:val="nil"/>
              <w:bottom w:val="single" w:sz="4" w:space="0" w:color="auto"/>
              <w:right w:val="single" w:sz="4" w:space="0" w:color="auto"/>
            </w:tcBorders>
            <w:shd w:val="clear" w:color="auto" w:fill="auto"/>
            <w:vAlign w:val="center"/>
            <w:hideMark/>
          </w:tcPr>
          <w:p w14:paraId="07203E68"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62.96</w:t>
            </w:r>
          </w:p>
        </w:tc>
        <w:tc>
          <w:tcPr>
            <w:tcW w:w="901" w:type="dxa"/>
            <w:tcBorders>
              <w:top w:val="nil"/>
              <w:left w:val="nil"/>
              <w:bottom w:val="single" w:sz="4" w:space="0" w:color="auto"/>
              <w:right w:val="single" w:sz="4" w:space="0" w:color="auto"/>
            </w:tcBorders>
            <w:shd w:val="clear" w:color="auto" w:fill="auto"/>
            <w:vAlign w:val="center"/>
            <w:hideMark/>
          </w:tcPr>
          <w:p w14:paraId="7B06E150"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48.33</w:t>
            </w:r>
          </w:p>
        </w:tc>
        <w:tc>
          <w:tcPr>
            <w:tcW w:w="1698" w:type="dxa"/>
            <w:tcBorders>
              <w:top w:val="nil"/>
              <w:left w:val="nil"/>
              <w:bottom w:val="single" w:sz="4" w:space="0" w:color="auto"/>
              <w:right w:val="single" w:sz="4" w:space="0" w:color="auto"/>
            </w:tcBorders>
            <w:shd w:val="clear" w:color="auto" w:fill="auto"/>
            <w:vAlign w:val="center"/>
            <w:hideMark/>
          </w:tcPr>
          <w:p w14:paraId="51FEA97B"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67.96</w:t>
            </w:r>
          </w:p>
        </w:tc>
        <w:tc>
          <w:tcPr>
            <w:tcW w:w="1383" w:type="dxa"/>
            <w:tcBorders>
              <w:top w:val="nil"/>
              <w:left w:val="nil"/>
              <w:bottom w:val="single" w:sz="4" w:space="0" w:color="auto"/>
              <w:right w:val="single" w:sz="4" w:space="0" w:color="auto"/>
            </w:tcBorders>
            <w:shd w:val="clear" w:color="auto" w:fill="auto"/>
            <w:vAlign w:val="center"/>
            <w:hideMark/>
          </w:tcPr>
          <w:p w14:paraId="31B8B16C"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44.14</w:t>
            </w:r>
          </w:p>
        </w:tc>
        <w:tc>
          <w:tcPr>
            <w:tcW w:w="1561" w:type="dxa"/>
            <w:tcBorders>
              <w:top w:val="nil"/>
              <w:left w:val="nil"/>
              <w:bottom w:val="single" w:sz="4" w:space="0" w:color="auto"/>
              <w:right w:val="single" w:sz="4" w:space="0" w:color="auto"/>
            </w:tcBorders>
            <w:shd w:val="clear" w:color="auto" w:fill="auto"/>
            <w:vAlign w:val="center"/>
            <w:hideMark/>
          </w:tcPr>
          <w:p w14:paraId="157B38A1" w14:textId="77777777" w:rsidR="00B77446" w:rsidRPr="004918AF"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73.25</w:t>
            </w:r>
          </w:p>
        </w:tc>
      </w:tr>
    </w:tbl>
    <w:p w14:paraId="4BB2429D" w14:textId="77777777" w:rsidR="00B77446" w:rsidRPr="00B77446" w:rsidRDefault="00B77446" w:rsidP="00B77446">
      <w:pPr>
        <w:spacing w:after="0"/>
        <w:rPr>
          <w:sz w:val="20"/>
          <w:szCs w:val="20"/>
        </w:rPr>
      </w:pPr>
    </w:p>
    <w:p w14:paraId="7042F129" w14:textId="39D598DC" w:rsidR="004121A4" w:rsidRDefault="004121A4" w:rsidP="004121A4">
      <w:pPr>
        <w:pStyle w:val="ListParagraph"/>
        <w:ind w:left="540"/>
      </w:pPr>
    </w:p>
    <w:p w14:paraId="5255F335" w14:textId="25CFF89E" w:rsidR="004121A4" w:rsidRPr="004121A4" w:rsidRDefault="5F884969" w:rsidP="5F884969">
      <w:pPr>
        <w:pStyle w:val="ListParagraph"/>
        <w:numPr>
          <w:ilvl w:val="0"/>
          <w:numId w:val="9"/>
        </w:numPr>
        <w:ind w:left="900"/>
        <w:rPr>
          <w:b/>
          <w:bCs/>
        </w:rPr>
      </w:pPr>
      <w:bookmarkStart w:id="32" w:name="EducationalOpportunities"/>
      <w:r w:rsidRPr="5F884969">
        <w:rPr>
          <w:b/>
          <w:bCs/>
        </w:rPr>
        <w:t>Educational Opportunities</w:t>
      </w:r>
    </w:p>
    <w:bookmarkEnd w:id="32"/>
    <w:p w14:paraId="0AF31D27" w14:textId="1CF60D70" w:rsidR="004121A4" w:rsidRDefault="004121A4" w:rsidP="004121A4">
      <w:pPr>
        <w:pStyle w:val="ListParagraph"/>
        <w:spacing w:after="240"/>
        <w:ind w:left="900"/>
      </w:pPr>
      <w:r w:rsidRPr="6A6D091A">
        <w:rPr>
          <w:rFonts w:ascii="Calibri" w:eastAsia="Calibri" w:hAnsi="Calibri" w:cs="Calibri"/>
          <w:spacing w:val="-1"/>
        </w:rPr>
        <w:t xml:space="preserve">To assess access to educational opportunities, we utilized the School Proficiency Index as provided by HUD. This index is shown in </w:t>
      </w:r>
      <w:r w:rsidR="0007699E">
        <w:rPr>
          <w:rFonts w:ascii="Calibri" w:eastAsia="Calibri" w:hAnsi="Calibri" w:cs="Calibri"/>
          <w:spacing w:val="-1"/>
        </w:rPr>
        <w:t>tables 14 and 15</w:t>
      </w:r>
      <w:r w:rsidR="00954CFD" w:rsidRPr="007602BF">
        <w:rPr>
          <w:rFonts w:ascii="Calibri" w:eastAsia="Calibri" w:hAnsi="Calibri" w:cs="Calibri"/>
          <w:spacing w:val="-1"/>
        </w:rPr>
        <w:t>, figures 19 and 20,</w:t>
      </w:r>
      <w:r w:rsidR="00954CFD" w:rsidRPr="6A6D091A">
        <w:rPr>
          <w:rFonts w:ascii="Calibri" w:eastAsia="Calibri" w:hAnsi="Calibri" w:cs="Calibri"/>
          <w:spacing w:val="-1"/>
        </w:rPr>
        <w:t xml:space="preserve"> and </w:t>
      </w:r>
      <w:r w:rsidR="00080245" w:rsidRPr="007602BF">
        <w:rPr>
          <w:rFonts w:ascii="Calibri" w:eastAsia="Calibri" w:hAnsi="Calibri" w:cs="Calibri"/>
          <w:spacing w:val="-1"/>
        </w:rPr>
        <w:t>map</w:t>
      </w:r>
      <w:r w:rsidRPr="007602BF">
        <w:rPr>
          <w:rFonts w:ascii="Calibri" w:eastAsia="Calibri" w:hAnsi="Calibri" w:cs="Calibri"/>
          <w:spacing w:val="-1"/>
        </w:rPr>
        <w:t xml:space="preserve"> </w:t>
      </w:r>
      <w:r w:rsidR="00954CFD" w:rsidRPr="007602BF">
        <w:rPr>
          <w:rFonts w:ascii="Calibri" w:eastAsia="Calibri" w:hAnsi="Calibri" w:cs="Calibri"/>
          <w:spacing w:val="-1"/>
        </w:rPr>
        <w:t xml:space="preserve">8 </w:t>
      </w:r>
      <w:r w:rsidR="00080245" w:rsidRPr="6A6D091A">
        <w:rPr>
          <w:rFonts w:ascii="Calibri" w:eastAsia="Calibri" w:hAnsi="Calibri" w:cs="Calibri"/>
          <w:spacing w:val="-1"/>
        </w:rPr>
        <w:t>,</w:t>
      </w:r>
      <w:r w:rsidRPr="6A6D091A">
        <w:rPr>
          <w:rFonts w:ascii="Calibri" w:eastAsia="Calibri" w:hAnsi="Calibri" w:cs="Calibri"/>
          <w:spacing w:val="-1"/>
        </w:rPr>
        <w:t xml:space="preserve">for </w:t>
      </w:r>
      <w:r w:rsidRPr="6A6D091A">
        <w:rPr>
          <w:rFonts w:ascii="Calibri" w:eastAsia="Calibri" w:hAnsi="Calibri" w:cs="Calibri"/>
          <w:spacing w:val="-1"/>
        </w:rPr>
        <w:lastRenderedPageBreak/>
        <w:t xml:space="preserve">both the City of Burlington and the Burlington-South Burlington region, and is based on 2012 ACS data.  </w:t>
      </w:r>
      <w:r w:rsidR="000D6AE6">
        <w:t>The School Proficiency I</w:t>
      </w:r>
      <w:r w:rsidRPr="00381358">
        <w:t>ndex is a function of the percent of 4</w:t>
      </w:r>
      <w:r w:rsidRPr="00381358">
        <w:rPr>
          <w:vertAlign w:val="superscript"/>
        </w:rPr>
        <w:t>th</w:t>
      </w:r>
      <w:r w:rsidRPr="00381358">
        <w:t xml:space="preserve"> grade students </w:t>
      </w:r>
      <w:r>
        <w:t xml:space="preserve">proficient in reading and math </w:t>
      </w:r>
      <w:r w:rsidRPr="00381358">
        <w:t>on state test scores for up to three schools within 1.5 miles of the block-group center, combined with enrollment and attendance.  Values are percentile ranked and range from 0 to 100. The higher the score, the higher the school system quality is in a neighborhood.</w:t>
      </w:r>
      <w:r>
        <w:t xml:space="preserve"> The index results, as shown in the tables and figures provided in this section, were used to answer the following questions.</w:t>
      </w:r>
    </w:p>
    <w:p w14:paraId="73051D3F" w14:textId="77777777" w:rsidR="004121A4" w:rsidRPr="007602BF" w:rsidRDefault="004121A4" w:rsidP="004121A4">
      <w:pPr>
        <w:pStyle w:val="ListParagraph"/>
        <w:spacing w:after="240"/>
        <w:ind w:left="900"/>
        <w:rPr>
          <w:rFonts w:eastAsia="Times New Roman" w:cs="Times New Roman"/>
          <w:spacing w:val="-1"/>
          <w:sz w:val="16"/>
          <w:szCs w:val="16"/>
        </w:rPr>
      </w:pPr>
    </w:p>
    <w:p w14:paraId="3786C71E" w14:textId="6958CF97" w:rsidR="00F2671F" w:rsidRPr="004F3444" w:rsidRDefault="5F884969" w:rsidP="007602BF">
      <w:pPr>
        <w:pStyle w:val="ListParagraph"/>
        <w:widowControl w:val="0"/>
        <w:autoSpaceDE w:val="0"/>
        <w:autoSpaceDN w:val="0"/>
        <w:adjustRightInd w:val="0"/>
        <w:spacing w:after="0" w:line="240" w:lineRule="auto"/>
        <w:ind w:left="900"/>
        <w:rPr>
          <w:rFonts w:ascii="Calibri" w:hAnsi="Calibri" w:cs="Calibri"/>
          <w:b/>
          <w:bCs/>
          <w:i/>
          <w:color w:val="000000" w:themeColor="text1"/>
        </w:rPr>
      </w:pPr>
      <w:r w:rsidRPr="004F3444">
        <w:rPr>
          <w:rFonts w:ascii="Calibri" w:hAnsi="Calibri" w:cs="Calibri"/>
          <w:b/>
          <w:bCs/>
          <w:i/>
          <w:color w:val="000000" w:themeColor="text1"/>
        </w:rPr>
        <w:t>For the protected class groups HUD has provided data, describe any disparities in access to proficient schools in the jurisdiction and region.</w:t>
      </w:r>
    </w:p>
    <w:p w14:paraId="5D9E1747" w14:textId="77777777" w:rsidR="007602BF" w:rsidRPr="007602BF" w:rsidRDefault="007602BF" w:rsidP="007602BF">
      <w:pPr>
        <w:pStyle w:val="ListParagraph"/>
        <w:widowControl w:val="0"/>
        <w:autoSpaceDE w:val="0"/>
        <w:autoSpaceDN w:val="0"/>
        <w:adjustRightInd w:val="0"/>
        <w:spacing w:after="0" w:line="240" w:lineRule="auto"/>
        <w:ind w:left="900"/>
        <w:rPr>
          <w:rFonts w:ascii="Calibri" w:hAnsi="Calibri" w:cs="Times"/>
          <w:b/>
          <w:bCs/>
          <w:color w:val="000000" w:themeColor="text1"/>
          <w:sz w:val="16"/>
          <w:szCs w:val="16"/>
        </w:rPr>
      </w:pPr>
    </w:p>
    <w:p w14:paraId="16269CA1" w14:textId="09A12489" w:rsidR="00F2671F" w:rsidRPr="006C3907" w:rsidRDefault="00F2671F" w:rsidP="002F7C2E">
      <w:pPr>
        <w:pStyle w:val="ListParagraph"/>
        <w:widowControl w:val="0"/>
        <w:autoSpaceDE w:val="0"/>
        <w:autoSpaceDN w:val="0"/>
        <w:adjustRightInd w:val="0"/>
        <w:ind w:left="900"/>
        <w:outlineLvl w:val="0"/>
        <w:rPr>
          <w:rFonts w:ascii="Calibri" w:hAnsi="Calibri" w:cs="Times"/>
          <w:b/>
          <w:i/>
          <w:noProof/>
          <w:color w:val="000000"/>
        </w:rPr>
      </w:pPr>
      <w:r w:rsidRPr="008A1630">
        <w:rPr>
          <w:rFonts w:ascii="Calibri" w:hAnsi="Calibri" w:cs="Times"/>
          <w:b/>
          <w:i/>
          <w:noProof/>
          <w:color w:val="000000"/>
        </w:rPr>
        <w:t>Burlington</w:t>
      </w:r>
    </w:p>
    <w:p w14:paraId="6253825C" w14:textId="56ACB684" w:rsidR="00F2671F" w:rsidRDefault="00F2671F" w:rsidP="6A6D091A">
      <w:pPr>
        <w:pStyle w:val="ListParagraph"/>
        <w:spacing w:after="240"/>
        <w:ind w:left="900"/>
        <w:rPr>
          <w:rFonts w:ascii="Calibri" w:eastAsia="Calibri" w:hAnsi="Calibri" w:cs="Calibri"/>
        </w:rPr>
      </w:pPr>
      <w:r>
        <w:rPr>
          <w:rFonts w:ascii="Calibri" w:hAnsi="Calibri" w:cs="Times"/>
          <w:noProof/>
          <w:color w:val="000000"/>
        </w:rPr>
        <w:t>Considering the total population of each race/ethnic group, there are not large disparities in access to proficient schools across these groups</w:t>
      </w:r>
      <w:r w:rsidR="00954CFD">
        <w:rPr>
          <w:rFonts w:ascii="Calibri" w:hAnsi="Calibri" w:cs="Times"/>
          <w:noProof/>
          <w:color w:val="000000"/>
        </w:rPr>
        <w:t xml:space="preserve"> (see </w:t>
      </w:r>
      <w:r w:rsidR="00954CFD" w:rsidRPr="007602BF">
        <w:rPr>
          <w:rFonts w:ascii="Calibri" w:hAnsi="Calibri" w:cs="Times"/>
          <w:noProof/>
          <w:color w:val="000000"/>
        </w:rPr>
        <w:t>figure 19</w:t>
      </w:r>
      <w:r w:rsidR="00954CFD">
        <w:rPr>
          <w:rFonts w:ascii="Calibri" w:hAnsi="Calibri" w:cs="Times"/>
          <w:noProof/>
          <w:color w:val="000000"/>
        </w:rPr>
        <w:t>)</w:t>
      </w:r>
      <w:r w:rsidR="004F3444">
        <w:rPr>
          <w:rFonts w:ascii="Calibri" w:hAnsi="Calibri" w:cs="Times"/>
          <w:noProof/>
          <w:color w:val="000000"/>
        </w:rPr>
        <w:t>. That said, the Hispanic po</w:t>
      </w:r>
      <w:r>
        <w:rPr>
          <w:rFonts w:ascii="Calibri" w:hAnsi="Calibri" w:cs="Times"/>
          <w:noProof/>
          <w:color w:val="000000"/>
        </w:rPr>
        <w:t xml:space="preserve">pulation has the highest level of access to proficient schools within the Burlington jurisdiction, while the Asian or Pacific Islander  population has the lowest level of access. The difference in access level between these two groups is approximately 10 index points. </w:t>
      </w:r>
      <w:r w:rsidRPr="6A6D091A">
        <w:rPr>
          <w:rFonts w:ascii="Calibri" w:eastAsia="Calibri" w:hAnsi="Calibri" w:cs="Calibri"/>
          <w:spacing w:val="-1"/>
        </w:rPr>
        <w:t xml:space="preserve">In Burlington, White, Native American, and Hispanic students have similar school proficiency index scores at 41.88, 40.86, and 43.38 respectively.   The index scores for Black and Asian/Pacific Islander students are lower at 35.06 and 33.99.  Students below the federal poverty line had index scores lower than that of the total population across all races with the exception of Black students.  Black, Non-Hispanic students below the federal poverty line had an index score of 64.16, higher than any other student group across the board and twice as high as Black students across all income categories.  </w:t>
      </w:r>
    </w:p>
    <w:p w14:paraId="38BCF444" w14:textId="77777777" w:rsidR="00F2671F" w:rsidRPr="008347E7" w:rsidRDefault="00F2671F" w:rsidP="00F2671F">
      <w:pPr>
        <w:pStyle w:val="ListParagraph"/>
        <w:spacing w:after="240"/>
        <w:ind w:left="900"/>
        <w:rPr>
          <w:rFonts w:eastAsia="Times New Roman"/>
          <w:spacing w:val="-1"/>
        </w:rPr>
      </w:pPr>
    </w:p>
    <w:p w14:paraId="0069D7FE" w14:textId="3AE2C556" w:rsidR="00A62C24" w:rsidRDefault="00F2671F" w:rsidP="007602BF">
      <w:pPr>
        <w:pStyle w:val="ListParagraph"/>
        <w:widowControl w:val="0"/>
        <w:autoSpaceDE w:val="0"/>
        <w:autoSpaceDN w:val="0"/>
        <w:adjustRightInd w:val="0"/>
        <w:ind w:left="900"/>
        <w:rPr>
          <w:rFonts w:ascii="Calibri" w:hAnsi="Calibri" w:cs="Times"/>
          <w:noProof/>
          <w:color w:val="000000"/>
        </w:rPr>
      </w:pPr>
      <w:r>
        <w:rPr>
          <w:rFonts w:ascii="Calibri" w:hAnsi="Calibri" w:cs="Times"/>
          <w:noProof/>
          <w:color w:val="000000"/>
        </w:rPr>
        <w:t>There is a higher degree of disparity between these racial/ethnic groups when considering the portion of the population that</w:t>
      </w:r>
      <w:r w:rsidR="004F3444">
        <w:rPr>
          <w:rFonts w:ascii="Calibri" w:hAnsi="Calibri" w:cs="Times"/>
          <w:noProof/>
          <w:color w:val="000000"/>
        </w:rPr>
        <w:t xml:space="preserve"> fall</w:t>
      </w:r>
      <w:r>
        <w:rPr>
          <w:rFonts w:ascii="Calibri" w:hAnsi="Calibri" w:cs="Times"/>
          <w:noProof/>
          <w:color w:val="000000"/>
        </w:rPr>
        <w:t xml:space="preserve"> below the federal poverty line</w:t>
      </w:r>
      <w:r w:rsidR="00954CFD">
        <w:rPr>
          <w:rFonts w:ascii="Calibri" w:hAnsi="Calibri" w:cs="Times"/>
          <w:noProof/>
          <w:color w:val="000000"/>
        </w:rPr>
        <w:t xml:space="preserve"> (</w:t>
      </w:r>
      <w:r w:rsidR="00954CFD" w:rsidRPr="007602BF">
        <w:rPr>
          <w:rFonts w:ascii="Calibri" w:hAnsi="Calibri" w:cs="Times"/>
          <w:noProof/>
          <w:color w:val="000000"/>
        </w:rPr>
        <w:t>figure 19</w:t>
      </w:r>
      <w:r w:rsidR="00954CFD">
        <w:rPr>
          <w:rFonts w:ascii="Calibri" w:hAnsi="Calibri" w:cs="Times"/>
          <w:noProof/>
          <w:color w:val="000000"/>
        </w:rPr>
        <w:t>)</w:t>
      </w:r>
      <w:r>
        <w:rPr>
          <w:rFonts w:ascii="Calibri" w:hAnsi="Calibri" w:cs="Times"/>
          <w:noProof/>
          <w:color w:val="000000"/>
        </w:rPr>
        <w:t>. With this consideration, we see the portion of the Asian or Pacific Islander population that is living in poverty having the lowest level of access to proficient schools, while the Black population living poverty has the highest. The difference in access between these two groups is roughly 40 index points, showing a high level of disparity across racial/ethnic populations that are living at or below the federal poverty line.</w:t>
      </w:r>
    </w:p>
    <w:p w14:paraId="28B956D9"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69459E2B"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2ED1C192"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3FFBD1BC"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3AA9EF04"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24433E80"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42C18A5E"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15E61822"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37389DFA"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1211608E"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3FB1EE2B" w14:textId="77777777" w:rsidR="004F3444" w:rsidRDefault="004F3444" w:rsidP="007602BF">
      <w:pPr>
        <w:pStyle w:val="ListParagraph"/>
        <w:widowControl w:val="0"/>
        <w:autoSpaceDE w:val="0"/>
        <w:autoSpaceDN w:val="0"/>
        <w:adjustRightInd w:val="0"/>
        <w:ind w:left="900"/>
        <w:rPr>
          <w:rFonts w:ascii="Calibri" w:hAnsi="Calibri" w:cs="Times"/>
          <w:noProof/>
          <w:color w:val="000000"/>
        </w:rPr>
      </w:pPr>
    </w:p>
    <w:p w14:paraId="280AC582" w14:textId="77777777" w:rsidR="004F3444" w:rsidRPr="007602BF" w:rsidRDefault="004F3444" w:rsidP="007602BF">
      <w:pPr>
        <w:pStyle w:val="ListParagraph"/>
        <w:widowControl w:val="0"/>
        <w:autoSpaceDE w:val="0"/>
        <w:autoSpaceDN w:val="0"/>
        <w:adjustRightInd w:val="0"/>
        <w:ind w:left="900"/>
        <w:rPr>
          <w:rFonts w:ascii="Calibri" w:hAnsi="Calibri" w:cs="Times"/>
          <w:noProof/>
          <w:color w:val="000000"/>
        </w:rPr>
      </w:pPr>
    </w:p>
    <w:p w14:paraId="28197399" w14:textId="77777777" w:rsidR="00460EE5" w:rsidRPr="00460EE5" w:rsidRDefault="5F884969" w:rsidP="5F884969">
      <w:pPr>
        <w:spacing w:after="0"/>
        <w:ind w:left="900"/>
        <w:rPr>
          <w:sz w:val="20"/>
          <w:szCs w:val="20"/>
        </w:rPr>
      </w:pPr>
      <w:r w:rsidRPr="5F884969">
        <w:rPr>
          <w:b/>
          <w:bCs/>
          <w:i/>
          <w:iCs/>
          <w:sz w:val="20"/>
          <w:szCs w:val="20"/>
        </w:rPr>
        <w:lastRenderedPageBreak/>
        <w:t>Figure 19</w:t>
      </w:r>
      <w:r w:rsidRPr="5F884969">
        <w:rPr>
          <w:sz w:val="20"/>
          <w:szCs w:val="20"/>
        </w:rPr>
        <w:t xml:space="preserve">: School Proficiency Index </w:t>
      </w:r>
      <w:proofErr w:type="gramStart"/>
      <w:r w:rsidRPr="5F884969">
        <w:rPr>
          <w:sz w:val="20"/>
          <w:szCs w:val="20"/>
        </w:rPr>
        <w:t>Among</w:t>
      </w:r>
      <w:proofErr w:type="gramEnd"/>
      <w:r w:rsidRPr="5F884969">
        <w:rPr>
          <w:sz w:val="20"/>
          <w:szCs w:val="20"/>
        </w:rPr>
        <w:t xml:space="preserve"> Racial/Ethnic Groups in Burlington, VT. Source: Great </w:t>
      </w:r>
      <w:proofErr w:type="gramStart"/>
      <w:r w:rsidRPr="5F884969">
        <w:rPr>
          <w:sz w:val="20"/>
          <w:szCs w:val="20"/>
        </w:rPr>
        <w:t>Schools(</w:t>
      </w:r>
      <w:proofErr w:type="gramEnd"/>
      <w:r w:rsidRPr="5F884969">
        <w:rPr>
          <w:sz w:val="20"/>
          <w:szCs w:val="20"/>
        </w:rPr>
        <w:t xml:space="preserve">proficiency data), 2013-14; Common Core of Data (4th grade enrollment and school addresses), 2013-14; </w:t>
      </w:r>
      <w:proofErr w:type="spellStart"/>
      <w:r w:rsidRPr="5F884969">
        <w:rPr>
          <w:sz w:val="20"/>
          <w:szCs w:val="20"/>
        </w:rPr>
        <w:t>Maponics</w:t>
      </w:r>
      <w:proofErr w:type="spellEnd"/>
      <w:r w:rsidRPr="5F884969">
        <w:rPr>
          <w:sz w:val="20"/>
          <w:szCs w:val="20"/>
        </w:rPr>
        <w:t xml:space="preserve"> School Attendance Zone database, 2016.</w:t>
      </w:r>
    </w:p>
    <w:p w14:paraId="73747684" w14:textId="66F49CFE" w:rsidR="00460EE5" w:rsidRDefault="00460EE5" w:rsidP="00460EE5">
      <w:pPr>
        <w:spacing w:after="0"/>
        <w:ind w:left="900"/>
      </w:pPr>
      <w:r>
        <w:rPr>
          <w:noProof/>
          <w:lang w:eastAsia="en-US"/>
        </w:rPr>
        <w:drawing>
          <wp:inline distT="0" distB="0" distL="0" distR="0" wp14:anchorId="51379F1A" wp14:editId="4944C8AE">
            <wp:extent cx="5194935" cy="2504440"/>
            <wp:effectExtent l="0" t="0" r="12065" b="1016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1A07BA6" w14:textId="77777777" w:rsidR="00460EE5" w:rsidRDefault="00460EE5" w:rsidP="00F2671F">
      <w:pPr>
        <w:pStyle w:val="ListParagraph"/>
        <w:widowControl w:val="0"/>
        <w:autoSpaceDE w:val="0"/>
        <w:autoSpaceDN w:val="0"/>
        <w:adjustRightInd w:val="0"/>
        <w:ind w:left="900"/>
        <w:rPr>
          <w:rFonts w:ascii="Calibri" w:hAnsi="Calibri" w:cs="Times"/>
          <w:noProof/>
          <w:color w:val="000000"/>
        </w:rPr>
      </w:pPr>
    </w:p>
    <w:p w14:paraId="0E41B8F6" w14:textId="579ED9EF" w:rsidR="00F2671F" w:rsidRDefault="00F2671F" w:rsidP="00F2671F">
      <w:pPr>
        <w:pStyle w:val="ListParagraph"/>
        <w:widowControl w:val="0"/>
        <w:autoSpaceDE w:val="0"/>
        <w:autoSpaceDN w:val="0"/>
        <w:adjustRightInd w:val="0"/>
        <w:ind w:left="900"/>
        <w:rPr>
          <w:rFonts w:ascii="Calibri" w:hAnsi="Calibri" w:cs="Times"/>
          <w:noProof/>
          <w:color w:val="000000"/>
        </w:rPr>
      </w:pPr>
      <w:r>
        <w:rPr>
          <w:rFonts w:ascii="Calibri" w:hAnsi="Calibri" w:cs="Times"/>
          <w:noProof/>
          <w:color w:val="000000"/>
        </w:rPr>
        <w:t xml:space="preserve">Based on </w:t>
      </w:r>
      <w:r w:rsidR="00602E8C" w:rsidRPr="007602BF">
        <w:rPr>
          <w:rFonts w:ascii="Calibri" w:hAnsi="Calibri" w:cs="Times"/>
          <w:noProof/>
          <w:color w:val="000000"/>
        </w:rPr>
        <w:t>map 8</w:t>
      </w:r>
      <w:r>
        <w:rPr>
          <w:rFonts w:ascii="Calibri" w:hAnsi="Calibri" w:cs="Times"/>
          <w:noProof/>
          <w:color w:val="000000"/>
        </w:rPr>
        <w:t xml:space="preserve">, it appears that areas with higher diversity in national origin generally have lower access to proficient schools. This appears to be true in census tracts 1, 3 and 4. </w:t>
      </w:r>
    </w:p>
    <w:p w14:paraId="0A617EE0" w14:textId="77777777" w:rsidR="00F2671F" w:rsidRDefault="00F2671F" w:rsidP="00F2671F">
      <w:pPr>
        <w:pStyle w:val="ListParagraph"/>
        <w:widowControl w:val="0"/>
        <w:autoSpaceDE w:val="0"/>
        <w:autoSpaceDN w:val="0"/>
        <w:adjustRightInd w:val="0"/>
        <w:ind w:left="900"/>
        <w:rPr>
          <w:rFonts w:ascii="Calibri" w:hAnsi="Calibri" w:cs="Times"/>
          <w:noProof/>
          <w:color w:val="000000"/>
        </w:rPr>
      </w:pPr>
    </w:p>
    <w:p w14:paraId="65E39AEB" w14:textId="77777777" w:rsidR="00F2671F" w:rsidRPr="00917F46" w:rsidRDefault="00F2671F" w:rsidP="002F7C2E">
      <w:pPr>
        <w:pStyle w:val="ListParagraph"/>
        <w:widowControl w:val="0"/>
        <w:autoSpaceDE w:val="0"/>
        <w:autoSpaceDN w:val="0"/>
        <w:adjustRightInd w:val="0"/>
        <w:ind w:left="900"/>
        <w:outlineLvl w:val="0"/>
        <w:rPr>
          <w:rFonts w:ascii="Calibri" w:hAnsi="Calibri" w:cs="Times"/>
          <w:b/>
          <w:i/>
          <w:noProof/>
          <w:color w:val="000000"/>
        </w:rPr>
      </w:pPr>
      <w:r w:rsidRPr="008A1630">
        <w:rPr>
          <w:rFonts w:ascii="Calibri" w:hAnsi="Calibri" w:cs="Times"/>
          <w:b/>
          <w:i/>
          <w:noProof/>
          <w:color w:val="000000"/>
        </w:rPr>
        <w:t>Burlington-South Burlington Region</w:t>
      </w:r>
    </w:p>
    <w:p w14:paraId="0F905C99" w14:textId="721C190D" w:rsidR="00F2671F"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 xml:space="preserve">Access to proficient schools by the total populations of various racial/ethnic group in the Burlington South Burlington region exactly mirror those found within the Burlington jurisdiction, as described above. </w:t>
      </w:r>
    </w:p>
    <w:p w14:paraId="3AF9F1AC" w14:textId="77777777" w:rsidR="006C3907" w:rsidRPr="00B11686" w:rsidRDefault="006C3907" w:rsidP="006C3907">
      <w:pPr>
        <w:pStyle w:val="ListParagraph"/>
        <w:widowControl w:val="0"/>
        <w:autoSpaceDE w:val="0"/>
        <w:autoSpaceDN w:val="0"/>
        <w:adjustRightInd w:val="0"/>
        <w:ind w:left="900"/>
        <w:rPr>
          <w:rFonts w:ascii="Calibri" w:hAnsi="Calibri" w:cs="Times"/>
          <w:color w:val="000000"/>
        </w:rPr>
      </w:pPr>
    </w:p>
    <w:p w14:paraId="303D1A19" w14:textId="77777777" w:rsidR="00F2671F" w:rsidRDefault="00F2671F" w:rsidP="00F2671F">
      <w:pPr>
        <w:pStyle w:val="ListParagraph"/>
        <w:widowControl w:val="0"/>
        <w:autoSpaceDE w:val="0"/>
        <w:autoSpaceDN w:val="0"/>
        <w:adjustRightInd w:val="0"/>
        <w:ind w:left="900"/>
        <w:rPr>
          <w:rFonts w:ascii="Calibri" w:hAnsi="Calibri" w:cs="Times"/>
          <w:color w:val="000000"/>
        </w:rPr>
      </w:pPr>
      <w:r>
        <w:rPr>
          <w:rFonts w:ascii="Calibri" w:hAnsi="Calibri" w:cs="Times"/>
          <w:noProof/>
          <w:color w:val="000000"/>
        </w:rPr>
        <w:t>When considering the the portion of these populations that fall below the poverty line, however, a different story emerges. The portion of the Native American population  that is living  below the federal poverty line in the Burlington-South Burlington region has the lowest level of access to proficient schools, while the Hispanic population living in poverty has the highest. The difference in access between these two groups is approximately 30 index points, showing a relatively high level of disparity in access to profiecient schools among racial and ethnic groups living in poverty.</w:t>
      </w:r>
    </w:p>
    <w:p w14:paraId="7BF4C951" w14:textId="77777777" w:rsidR="00460EE5" w:rsidRDefault="00460EE5" w:rsidP="00460EE5">
      <w:pPr>
        <w:spacing w:after="0"/>
        <w:ind w:left="900"/>
        <w:rPr>
          <w:rFonts w:ascii="Calibri" w:hAnsi="Calibri" w:cs="Times"/>
          <w:noProof/>
          <w:sz w:val="20"/>
          <w:szCs w:val="20"/>
        </w:rPr>
      </w:pPr>
      <w:r w:rsidRPr="00460EE5">
        <w:rPr>
          <w:rFonts w:ascii="Calibri" w:hAnsi="Calibri" w:cs="Times"/>
          <w:b/>
          <w:i/>
          <w:noProof/>
          <w:sz w:val="20"/>
          <w:szCs w:val="20"/>
        </w:rPr>
        <w:t>Figure 2</w:t>
      </w:r>
      <w:r w:rsidRPr="00080245">
        <w:rPr>
          <w:rFonts w:ascii="Calibri" w:hAnsi="Calibri" w:cs="Times"/>
          <w:b/>
          <w:i/>
          <w:noProof/>
          <w:sz w:val="20"/>
          <w:szCs w:val="20"/>
        </w:rPr>
        <w:t xml:space="preserve">0: </w:t>
      </w:r>
      <w:r w:rsidRPr="00460EE5">
        <w:rPr>
          <w:rFonts w:ascii="Calibri" w:hAnsi="Calibri" w:cs="Times"/>
          <w:noProof/>
          <w:sz w:val="20"/>
          <w:szCs w:val="20"/>
        </w:rPr>
        <w:t>School Proficiency Index Among Racial/Ethnic Groups in the Burlington-South Burlington Region. Source: Great Schools(proficiency data), 2013-14; Common Core of Data (4th grade enrollment and school addresses), 2013-14; Maponics School Attendance Zone database, 2016.</w:t>
      </w:r>
    </w:p>
    <w:p w14:paraId="78DC167E" w14:textId="08D4BE8F" w:rsidR="00460EE5" w:rsidRDefault="00460EE5" w:rsidP="00460EE5">
      <w:pPr>
        <w:spacing w:after="0"/>
        <w:ind w:left="900"/>
        <w:rPr>
          <w:rFonts w:ascii="Calibri" w:hAnsi="Calibri" w:cs="Times"/>
          <w:noProof/>
        </w:rPr>
      </w:pPr>
      <w:r>
        <w:rPr>
          <w:noProof/>
          <w:lang w:eastAsia="en-US"/>
        </w:rPr>
        <w:lastRenderedPageBreak/>
        <w:drawing>
          <wp:inline distT="0" distB="0" distL="0" distR="0" wp14:anchorId="649F1930" wp14:editId="6142147E">
            <wp:extent cx="5309235" cy="2631440"/>
            <wp:effectExtent l="0" t="0" r="24765" b="1016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E57D989" w14:textId="77777777" w:rsidR="00460EE5" w:rsidRPr="00460EE5" w:rsidRDefault="00460EE5" w:rsidP="00460EE5">
      <w:pPr>
        <w:spacing w:after="0"/>
        <w:ind w:left="900"/>
        <w:rPr>
          <w:rFonts w:ascii="Calibri" w:hAnsi="Calibri" w:cs="Times"/>
          <w:noProof/>
        </w:rPr>
      </w:pPr>
    </w:p>
    <w:p w14:paraId="06C555CE" w14:textId="5E8AC87C" w:rsidR="00FD6C4F" w:rsidRDefault="00D73EAD" w:rsidP="00A62C24">
      <w:pPr>
        <w:pStyle w:val="ListParagraph"/>
        <w:widowControl w:val="0"/>
        <w:autoSpaceDE w:val="0"/>
        <w:autoSpaceDN w:val="0"/>
        <w:adjustRightInd w:val="0"/>
        <w:ind w:left="900"/>
        <w:rPr>
          <w:rFonts w:ascii="Calibri" w:hAnsi="Calibri" w:cs="Times"/>
          <w:noProof/>
          <w:color w:val="000000"/>
        </w:rPr>
      </w:pPr>
      <w:r>
        <w:rPr>
          <w:rFonts w:ascii="Calibri" w:hAnsi="Calibri" w:cs="Times"/>
          <w:noProof/>
          <w:color w:val="000000"/>
        </w:rPr>
        <w:t xml:space="preserve">In contrast to Burlington, </w:t>
      </w:r>
      <w:r w:rsidR="00602E8C" w:rsidRPr="007602BF">
        <w:rPr>
          <w:rFonts w:ascii="Calibri" w:hAnsi="Calibri" w:cs="Times"/>
          <w:noProof/>
          <w:color w:val="000000"/>
        </w:rPr>
        <w:t>map 8</w:t>
      </w:r>
      <w:r>
        <w:rPr>
          <w:rFonts w:ascii="Calibri" w:hAnsi="Calibri" w:cs="Times"/>
          <w:noProof/>
          <w:color w:val="000000"/>
        </w:rPr>
        <w:t xml:space="preserve"> does not seem to show any strong correlations between national origin and access to school proficiency at the regional level.</w:t>
      </w:r>
    </w:p>
    <w:p w14:paraId="0D3A1AB6" w14:textId="77777777" w:rsidR="00A62C24" w:rsidRPr="004F3444" w:rsidRDefault="00A62C24" w:rsidP="00A62C24">
      <w:pPr>
        <w:pStyle w:val="ListParagraph"/>
        <w:widowControl w:val="0"/>
        <w:autoSpaceDE w:val="0"/>
        <w:autoSpaceDN w:val="0"/>
        <w:adjustRightInd w:val="0"/>
        <w:ind w:left="900"/>
        <w:rPr>
          <w:rFonts w:ascii="Calibri" w:hAnsi="Calibri" w:cs="Times"/>
          <w:i/>
          <w:noProof/>
          <w:color w:val="000000"/>
        </w:rPr>
      </w:pPr>
    </w:p>
    <w:p w14:paraId="1659E8C1" w14:textId="312FA2D7" w:rsidR="00AD4833" w:rsidRPr="004F3444" w:rsidRDefault="5F884969" w:rsidP="5F884969">
      <w:pPr>
        <w:pStyle w:val="ListParagraph"/>
        <w:widowControl w:val="0"/>
        <w:autoSpaceDE w:val="0"/>
        <w:autoSpaceDN w:val="0"/>
        <w:adjustRightInd w:val="0"/>
        <w:spacing w:after="0" w:line="240" w:lineRule="auto"/>
        <w:ind w:left="900"/>
        <w:rPr>
          <w:rFonts w:ascii="Calibri" w:hAnsi="Calibri" w:cs="Calibri"/>
          <w:b/>
          <w:bCs/>
          <w:i/>
          <w:color w:val="000000" w:themeColor="text1"/>
        </w:rPr>
      </w:pPr>
      <w:r w:rsidRPr="004F3444">
        <w:rPr>
          <w:rFonts w:ascii="Calibri" w:hAnsi="Calibri" w:cs="Calibri"/>
          <w:b/>
          <w:bCs/>
          <w:i/>
          <w:color w:val="000000" w:themeColor="text1"/>
        </w:rPr>
        <w:t>For the protected class groups HUD has provided data, describe how the disparities in access to proficient schools relate to residential living patterns in the jurisdiction and region.</w:t>
      </w:r>
    </w:p>
    <w:p w14:paraId="6018DD55" w14:textId="66445BE9" w:rsidR="00D87AB9" w:rsidRDefault="5F884969" w:rsidP="5F884969">
      <w:pPr>
        <w:pStyle w:val="ListParagraph"/>
        <w:ind w:left="900"/>
        <w:rPr>
          <w:rFonts w:ascii="Calibri" w:hAnsi="Calibri"/>
        </w:rPr>
      </w:pPr>
      <w:r w:rsidRPr="007602BF">
        <w:rPr>
          <w:rFonts w:ascii="Calibri" w:hAnsi="Calibri"/>
        </w:rPr>
        <w:t>Map</w:t>
      </w:r>
      <w:r w:rsidRPr="5F884969">
        <w:rPr>
          <w:rFonts w:ascii="Calibri" w:hAnsi="Calibri"/>
        </w:rPr>
        <w:t xml:space="preserve"> 8 below shows the School Proficiency Index throughout the Burlington, VT area. The </w:t>
      </w:r>
      <w:r w:rsidRPr="5F884969">
        <w:rPr>
          <w:rFonts w:ascii="Calibri" w:eastAsia="Calibri" w:hAnsi="Calibri" w:cs="Calibri"/>
        </w:rPr>
        <w:t>dark</w:t>
      </w:r>
      <w:r w:rsidRPr="5F884969">
        <w:rPr>
          <w:rFonts w:ascii="Calibri" w:hAnsi="Calibri"/>
        </w:rPr>
        <w:t xml:space="preserve"> grey tracts have the highest School Proficiency Index scores and the light grey areas have the lowest index scores.   </w:t>
      </w:r>
    </w:p>
    <w:p w14:paraId="48A698EE" w14:textId="77777777" w:rsidR="00602E8C" w:rsidRPr="00602E8C" w:rsidRDefault="00602E8C" w:rsidP="00602E8C">
      <w:pPr>
        <w:pStyle w:val="ListParagraph"/>
        <w:ind w:left="900"/>
        <w:rPr>
          <w:rFonts w:ascii="Calibri" w:hAnsi="Calibri"/>
        </w:rPr>
      </w:pPr>
    </w:p>
    <w:p w14:paraId="07E3DA8E" w14:textId="77777777" w:rsidR="00D87AB9" w:rsidRPr="00882079" w:rsidRDefault="5F884969" w:rsidP="002F7C2E">
      <w:pPr>
        <w:pStyle w:val="ListParagraph"/>
        <w:widowControl w:val="0"/>
        <w:autoSpaceDE w:val="0"/>
        <w:autoSpaceDN w:val="0"/>
        <w:adjustRightInd w:val="0"/>
        <w:spacing w:after="0"/>
        <w:ind w:left="907"/>
        <w:outlineLvl w:val="0"/>
        <w:rPr>
          <w:rFonts w:ascii="Calibri" w:hAnsi="Calibri" w:cs="Calibri"/>
          <w:b/>
          <w:bCs/>
          <w:i/>
          <w:iCs/>
          <w:color w:val="000000" w:themeColor="text1"/>
        </w:rPr>
      </w:pPr>
      <w:r w:rsidRPr="5F884969">
        <w:rPr>
          <w:rFonts w:ascii="Calibri" w:hAnsi="Calibri" w:cs="Calibri"/>
          <w:b/>
          <w:bCs/>
          <w:i/>
          <w:iCs/>
          <w:color w:val="000000" w:themeColor="text1"/>
        </w:rPr>
        <w:t>Burlington</w:t>
      </w:r>
    </w:p>
    <w:p w14:paraId="2965091E" w14:textId="40246495" w:rsidR="00D87AB9" w:rsidRPr="00D87AB9" w:rsidRDefault="6A6D091A" w:rsidP="00807790">
      <w:pPr>
        <w:spacing w:after="0" w:line="240" w:lineRule="auto"/>
        <w:ind w:left="907"/>
        <w:rPr>
          <w:rFonts w:ascii="Calibri" w:hAnsi="Calibri"/>
        </w:rPr>
      </w:pPr>
      <w:r w:rsidRPr="6A6D091A">
        <w:rPr>
          <w:rFonts w:ascii="Calibri" w:hAnsi="Calibri"/>
        </w:rPr>
        <w:t>Census tracts 4, 5, and parts of tract 3 have th</w:t>
      </w:r>
      <w:r w:rsidR="007602BF">
        <w:rPr>
          <w:rFonts w:ascii="Calibri" w:hAnsi="Calibri"/>
        </w:rPr>
        <w:t>e highest concentration of non-W</w:t>
      </w:r>
      <w:r w:rsidRPr="6A6D091A">
        <w:rPr>
          <w:rFonts w:ascii="Calibri" w:hAnsi="Calibri"/>
        </w:rPr>
        <w:t xml:space="preserve">hite residents.  Census tract 4 has the highest concentration of Black residents in the City of Burlington.  Census tracts 3, 4, and 5 have the lowest School Proficiency Index scores at a range of 0-10, and block groups in census tracts 11 and 8 have the highest with an index score of 50.1-60.  Census tract 39 is in the mid-range with an Index of 30.1- 40.  </w:t>
      </w:r>
    </w:p>
    <w:p w14:paraId="1F306E02" w14:textId="77777777" w:rsidR="00FA20F9" w:rsidRDefault="00FA20F9" w:rsidP="00807790">
      <w:pPr>
        <w:pStyle w:val="ListParagraph"/>
        <w:widowControl w:val="0"/>
        <w:autoSpaceDE w:val="0"/>
        <w:autoSpaceDN w:val="0"/>
        <w:adjustRightInd w:val="0"/>
        <w:spacing w:after="0" w:line="240" w:lineRule="auto"/>
        <w:ind w:left="907"/>
        <w:rPr>
          <w:rFonts w:ascii="Calibri" w:hAnsi="Calibri" w:cs="Calibri"/>
          <w:color w:val="000000" w:themeColor="text1"/>
        </w:rPr>
      </w:pPr>
    </w:p>
    <w:p w14:paraId="5DDE9DB4" w14:textId="6BB32E0C" w:rsidR="00D87AB9" w:rsidRDefault="5F884969" w:rsidP="00807790">
      <w:pPr>
        <w:pStyle w:val="ListParagraph"/>
        <w:widowControl w:val="0"/>
        <w:autoSpaceDE w:val="0"/>
        <w:autoSpaceDN w:val="0"/>
        <w:adjustRightInd w:val="0"/>
        <w:spacing w:after="0" w:line="240" w:lineRule="auto"/>
        <w:ind w:left="907"/>
        <w:rPr>
          <w:rFonts w:ascii="Calibri" w:hAnsi="Calibri" w:cs="Calibri"/>
          <w:color w:val="000000" w:themeColor="text1"/>
        </w:rPr>
      </w:pPr>
      <w:r w:rsidRPr="5F884969">
        <w:rPr>
          <w:rFonts w:ascii="Calibri" w:hAnsi="Calibri" w:cs="Calibri"/>
          <w:color w:val="000000" w:themeColor="text1"/>
        </w:rPr>
        <w:t>As described earlier, it appears that the census tracts with the most diversity in national origin tend to be in areas with lower access to proficient schools.</w:t>
      </w:r>
    </w:p>
    <w:p w14:paraId="2AE7C242" w14:textId="77777777" w:rsidR="0043095C" w:rsidRPr="00D430BD" w:rsidRDefault="0043095C" w:rsidP="0043095C">
      <w:pPr>
        <w:pStyle w:val="ListParagraph"/>
        <w:widowControl w:val="0"/>
        <w:autoSpaceDE w:val="0"/>
        <w:autoSpaceDN w:val="0"/>
        <w:adjustRightInd w:val="0"/>
        <w:ind w:left="900"/>
        <w:rPr>
          <w:rFonts w:ascii="Calibri" w:hAnsi="Calibri" w:cs="Calibri"/>
          <w:bCs/>
          <w:color w:val="000000"/>
        </w:rPr>
      </w:pPr>
    </w:p>
    <w:p w14:paraId="15FB6DCB" w14:textId="1678DB99" w:rsidR="00D87AB9" w:rsidRPr="0043095C" w:rsidRDefault="5F884969" w:rsidP="002F7C2E">
      <w:pPr>
        <w:pStyle w:val="ListParagraph"/>
        <w:widowControl w:val="0"/>
        <w:autoSpaceDE w:val="0"/>
        <w:autoSpaceDN w:val="0"/>
        <w:adjustRightInd w:val="0"/>
        <w:ind w:left="900"/>
        <w:outlineLvl w:val="0"/>
        <w:rPr>
          <w:rFonts w:ascii="Calibri" w:hAnsi="Calibri" w:cs="Calibri"/>
          <w:b/>
          <w:bCs/>
          <w:i/>
          <w:iCs/>
          <w:color w:val="000000" w:themeColor="text1"/>
        </w:rPr>
      </w:pPr>
      <w:r w:rsidRPr="5F884969">
        <w:rPr>
          <w:rFonts w:ascii="Calibri" w:hAnsi="Calibri" w:cs="Calibri"/>
          <w:b/>
          <w:bCs/>
          <w:i/>
          <w:iCs/>
          <w:color w:val="000000" w:themeColor="text1"/>
        </w:rPr>
        <w:t>Burlington-South Burlington Region</w:t>
      </w:r>
    </w:p>
    <w:p w14:paraId="1723DE65" w14:textId="0408700C" w:rsidR="00D87AB9" w:rsidRPr="00C62C55" w:rsidRDefault="5F884969" w:rsidP="5F884969">
      <w:pPr>
        <w:pStyle w:val="ListParagraph"/>
        <w:widowControl w:val="0"/>
        <w:autoSpaceDE w:val="0"/>
        <w:autoSpaceDN w:val="0"/>
        <w:adjustRightInd w:val="0"/>
        <w:ind w:left="900"/>
        <w:rPr>
          <w:rFonts w:ascii="Calibri" w:hAnsi="Calibri" w:cs="Calibri"/>
          <w:color w:val="000000" w:themeColor="text1"/>
        </w:rPr>
      </w:pPr>
      <w:r w:rsidRPr="5F884969">
        <w:rPr>
          <w:rFonts w:ascii="Calibri" w:hAnsi="Calibri" w:cs="Calibri"/>
          <w:color w:val="000000" w:themeColor="text1"/>
        </w:rPr>
        <w:t xml:space="preserve">According </w:t>
      </w:r>
      <w:r w:rsidRPr="007602BF">
        <w:rPr>
          <w:rFonts w:ascii="Calibri" w:hAnsi="Calibri" w:cs="Calibri"/>
          <w:color w:val="000000" w:themeColor="text1"/>
        </w:rPr>
        <w:t>to map 8</w:t>
      </w:r>
      <w:r w:rsidRPr="5F884969">
        <w:rPr>
          <w:rFonts w:ascii="Calibri" w:hAnsi="Calibri" w:cs="Calibri"/>
          <w:color w:val="000000" w:themeColor="text1"/>
        </w:rPr>
        <w:t xml:space="preserve"> below, Winooski (census tracts 24 and 25) has the lowest access to proficient schools, and also appears to have the </w:t>
      </w:r>
      <w:r w:rsidR="007602BF">
        <w:rPr>
          <w:rFonts w:ascii="Calibri" w:hAnsi="Calibri" w:cs="Calibri"/>
          <w:color w:val="000000" w:themeColor="text1"/>
        </w:rPr>
        <w:t>highest Black, n</w:t>
      </w:r>
      <w:r w:rsidRPr="5F884969">
        <w:rPr>
          <w:rFonts w:ascii="Calibri" w:hAnsi="Calibri" w:cs="Calibri"/>
          <w:color w:val="000000" w:themeColor="text1"/>
        </w:rPr>
        <w:t>on-Hispanic population density outside of the city of Burlington. South Burlington has the highest access to proficient schools, and also shows the lowest concentration of nonwhite residents.</w:t>
      </w:r>
    </w:p>
    <w:p w14:paraId="62309F2F" w14:textId="77777777" w:rsidR="00D87AB9" w:rsidRDefault="00D87AB9" w:rsidP="00D87AB9">
      <w:pPr>
        <w:pStyle w:val="ListParagraph"/>
        <w:widowControl w:val="0"/>
        <w:autoSpaceDE w:val="0"/>
        <w:autoSpaceDN w:val="0"/>
        <w:adjustRightInd w:val="0"/>
        <w:ind w:left="900"/>
        <w:rPr>
          <w:rFonts w:ascii="Calibri" w:hAnsi="Calibri" w:cs="Calibri"/>
          <w:bCs/>
          <w:color w:val="000000"/>
        </w:rPr>
      </w:pPr>
    </w:p>
    <w:p w14:paraId="721F0578" w14:textId="33E21DDB" w:rsidR="00602E8C" w:rsidRDefault="6A6D091A" w:rsidP="6A6D091A">
      <w:pPr>
        <w:pStyle w:val="ListParagraph"/>
        <w:widowControl w:val="0"/>
        <w:autoSpaceDE w:val="0"/>
        <w:autoSpaceDN w:val="0"/>
        <w:adjustRightInd w:val="0"/>
        <w:ind w:left="900"/>
        <w:rPr>
          <w:rFonts w:ascii="Calibri" w:hAnsi="Calibri" w:cs="Calibri"/>
          <w:color w:val="000000" w:themeColor="text1"/>
        </w:rPr>
      </w:pPr>
      <w:r w:rsidRPr="6A6D091A">
        <w:rPr>
          <w:rFonts w:ascii="Calibri" w:hAnsi="Calibri" w:cs="Calibri"/>
          <w:color w:val="000000" w:themeColor="text1"/>
        </w:rPr>
        <w:t xml:space="preserve">Again, Winooski has </w:t>
      </w:r>
      <w:r w:rsidR="004F3444">
        <w:rPr>
          <w:rFonts w:ascii="Calibri" w:hAnsi="Calibri" w:cs="Calibri"/>
          <w:color w:val="000000" w:themeColor="text1"/>
        </w:rPr>
        <w:t>the highest concentration of Limited English Speakers</w:t>
      </w:r>
      <w:r w:rsidRPr="6A6D091A">
        <w:rPr>
          <w:rFonts w:ascii="Calibri" w:hAnsi="Calibri" w:cs="Calibri"/>
          <w:color w:val="000000" w:themeColor="text1"/>
        </w:rPr>
        <w:t xml:space="preserve"> and non-European national origin residents, and also shows one of the lowest access to proficient schools outside the city of Burlington.</w:t>
      </w:r>
    </w:p>
    <w:p w14:paraId="4047D68E" w14:textId="77777777" w:rsidR="004F3444" w:rsidRPr="00460EE5" w:rsidRDefault="004F3444" w:rsidP="6A6D091A">
      <w:pPr>
        <w:pStyle w:val="ListParagraph"/>
        <w:widowControl w:val="0"/>
        <w:autoSpaceDE w:val="0"/>
        <w:autoSpaceDN w:val="0"/>
        <w:adjustRightInd w:val="0"/>
        <w:ind w:left="900"/>
        <w:rPr>
          <w:rFonts w:ascii="Calibri" w:hAnsi="Calibri" w:cs="Calibri"/>
          <w:color w:val="000000" w:themeColor="text1"/>
        </w:rPr>
      </w:pPr>
    </w:p>
    <w:p w14:paraId="0EC13937" w14:textId="77777777" w:rsidR="00602E8C" w:rsidRPr="00602E8C" w:rsidRDefault="5F884969" w:rsidP="5F884969">
      <w:pPr>
        <w:spacing w:after="0"/>
        <w:ind w:left="900"/>
        <w:rPr>
          <w:rFonts w:ascii="Calibri" w:hAnsi="Calibri" w:cs="Calibri"/>
          <w:sz w:val="20"/>
          <w:szCs w:val="20"/>
        </w:rPr>
      </w:pPr>
      <w:r w:rsidRPr="5F884969">
        <w:rPr>
          <w:rFonts w:ascii="Calibri" w:hAnsi="Calibri" w:cs="Calibri"/>
          <w:b/>
          <w:bCs/>
          <w:i/>
          <w:iCs/>
          <w:sz w:val="20"/>
          <w:szCs w:val="20"/>
        </w:rPr>
        <w:lastRenderedPageBreak/>
        <w:t>Map 8</w:t>
      </w:r>
      <w:r w:rsidRPr="5F884969">
        <w:rPr>
          <w:rFonts w:ascii="Calibri" w:hAnsi="Calibri" w:cs="Calibri"/>
          <w:sz w:val="20"/>
          <w:szCs w:val="20"/>
        </w:rPr>
        <w:t>: Map showing School Proficiency Index in the Burlington, VT area. (HUD Map 7)</w:t>
      </w:r>
    </w:p>
    <w:p w14:paraId="6A265C70" w14:textId="674E7DBE" w:rsidR="007602BF" w:rsidRDefault="00602E8C" w:rsidP="007602BF">
      <w:pPr>
        <w:spacing w:after="0"/>
        <w:ind w:left="900"/>
        <w:rPr>
          <w:rFonts w:ascii="Calibri" w:eastAsia="Times New Roman" w:hAnsi="Calibri"/>
        </w:rPr>
      </w:pPr>
      <w:r>
        <w:rPr>
          <w:rFonts w:ascii="Calibri" w:eastAsia="Times New Roman" w:hAnsi="Calibri"/>
          <w:noProof/>
          <w:lang w:eastAsia="en-US"/>
        </w:rPr>
        <w:drawing>
          <wp:inline distT="0" distB="0" distL="0" distR="0" wp14:anchorId="507BB17D" wp14:editId="42B11CF6">
            <wp:extent cx="5287991" cy="3114040"/>
            <wp:effectExtent l="25400" t="25400" r="20955" b="35560"/>
            <wp:docPr id="10" name="Picture 10" descr="../Desktop/New%20HUD%20Maps/HUDMap7_SchoolProf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New%20HUD%20Maps/HUDMap7_SchoolProfIndex.jpg"/>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306990" cy="3125228"/>
                    </a:xfrm>
                    <a:prstGeom prst="rect">
                      <a:avLst/>
                    </a:prstGeom>
                    <a:noFill/>
                    <a:ln>
                      <a:solidFill>
                        <a:schemeClr val="tx1"/>
                      </a:solidFill>
                    </a:ln>
                  </pic:spPr>
                </pic:pic>
              </a:graphicData>
            </a:graphic>
          </wp:inline>
        </w:drawing>
      </w:r>
    </w:p>
    <w:p w14:paraId="493ACDC5" w14:textId="77777777" w:rsidR="007602BF" w:rsidRDefault="007602BF" w:rsidP="007602BF">
      <w:pPr>
        <w:spacing w:after="0"/>
        <w:ind w:left="900"/>
        <w:rPr>
          <w:rFonts w:ascii="Calibri" w:eastAsia="Times New Roman" w:hAnsi="Calibri"/>
        </w:rPr>
      </w:pPr>
    </w:p>
    <w:p w14:paraId="0B86CF07" w14:textId="77777777" w:rsidR="008D536D" w:rsidRDefault="008D536D" w:rsidP="007602BF">
      <w:pPr>
        <w:spacing w:after="0"/>
        <w:rPr>
          <w:rFonts w:ascii="Calibri" w:eastAsia="Times New Roman" w:hAnsi="Calibri"/>
        </w:rPr>
      </w:pPr>
    </w:p>
    <w:p w14:paraId="4DC0E681" w14:textId="77777777" w:rsidR="008D536D" w:rsidRDefault="008D536D" w:rsidP="007602BF">
      <w:pPr>
        <w:spacing w:after="0"/>
        <w:rPr>
          <w:rFonts w:ascii="Calibri" w:eastAsia="Times New Roman" w:hAnsi="Calibri"/>
        </w:rPr>
      </w:pPr>
    </w:p>
    <w:p w14:paraId="63BFB239" w14:textId="77777777" w:rsidR="00807790" w:rsidRPr="007602BF" w:rsidRDefault="00807790" w:rsidP="007602BF">
      <w:pPr>
        <w:spacing w:after="0"/>
        <w:rPr>
          <w:rFonts w:ascii="Calibri" w:eastAsia="Times New Roman" w:hAnsi="Calibri"/>
        </w:rPr>
      </w:pPr>
    </w:p>
    <w:p w14:paraId="786D2B84" w14:textId="4F89F90F" w:rsidR="00AD4833" w:rsidRDefault="5F884969" w:rsidP="5F884969">
      <w:pPr>
        <w:pStyle w:val="ListParagraph"/>
        <w:widowControl w:val="0"/>
        <w:autoSpaceDE w:val="0"/>
        <w:autoSpaceDN w:val="0"/>
        <w:adjustRightInd w:val="0"/>
        <w:spacing w:after="0" w:line="240" w:lineRule="auto"/>
        <w:ind w:left="900"/>
        <w:rPr>
          <w:rFonts w:ascii="Calibri" w:hAnsi="Calibri" w:cs="Calibri"/>
          <w:b/>
          <w:bCs/>
          <w:color w:val="000000" w:themeColor="text1"/>
        </w:rPr>
      </w:pPr>
      <w:r w:rsidRPr="5F884969">
        <w:rPr>
          <w:rFonts w:ascii="Calibri" w:hAnsi="Calibri" w:cs="Calibri"/>
          <w:b/>
          <w:bCs/>
          <w:color w:val="000000" w:themeColor="text1"/>
        </w:rPr>
        <w:t>Informed by community participation, any consultation with other relevant government agencies, and the participant’s own local data and local knowledge, discuss programs, policies, or funding mechanisms that affect disparities in access to proficient schools.</w:t>
      </w:r>
    </w:p>
    <w:p w14:paraId="1BFF675A" w14:textId="77777777" w:rsidR="006C5C19" w:rsidRPr="00F2671F" w:rsidRDefault="006C5C19" w:rsidP="00F2671F">
      <w:pPr>
        <w:pStyle w:val="ListParagraph"/>
        <w:widowControl w:val="0"/>
        <w:autoSpaceDE w:val="0"/>
        <w:autoSpaceDN w:val="0"/>
        <w:adjustRightInd w:val="0"/>
        <w:spacing w:after="0" w:line="240" w:lineRule="auto"/>
        <w:ind w:left="900"/>
        <w:rPr>
          <w:rFonts w:ascii="Calibri" w:hAnsi="Calibri" w:cs="Times"/>
          <w:b/>
          <w:color w:val="000000"/>
        </w:rPr>
      </w:pPr>
    </w:p>
    <w:p w14:paraId="0F0759D9" w14:textId="77777777" w:rsidR="006C5C19" w:rsidRPr="006C5C19" w:rsidRDefault="6A6D091A" w:rsidP="6A6D091A">
      <w:pPr>
        <w:pStyle w:val="ListParagraph"/>
        <w:widowControl w:val="0"/>
        <w:autoSpaceDE w:val="0"/>
        <w:autoSpaceDN w:val="0"/>
        <w:adjustRightInd w:val="0"/>
        <w:spacing w:after="0" w:line="240" w:lineRule="auto"/>
        <w:ind w:left="900"/>
        <w:rPr>
          <w:rFonts w:ascii="Calibri" w:hAnsi="Calibri" w:cs="Times"/>
          <w:color w:val="000000" w:themeColor="text1"/>
        </w:rPr>
      </w:pPr>
      <w:r w:rsidRPr="6A6D091A">
        <w:rPr>
          <w:rFonts w:ascii="Calibri" w:hAnsi="Calibri" w:cs="Times"/>
          <w:color w:val="000000" w:themeColor="text1"/>
        </w:rPr>
        <w:t>Much of elementary enrollment is geographic but the introduction of the magnet schools opened up ‘school choice’ and competition for places in the Old North End to the magnet schools located there. Since 2012, each student can choose any of the 6 elementary schools in order of preference. The school assigns places according to the following:</w:t>
      </w:r>
    </w:p>
    <w:p w14:paraId="73C76D6B" w14:textId="1AC5BA7A" w:rsidR="6A6D091A" w:rsidRDefault="6A6D091A" w:rsidP="6A6D091A">
      <w:pPr>
        <w:pStyle w:val="ListParagraph"/>
        <w:spacing w:after="0" w:line="240" w:lineRule="auto"/>
        <w:ind w:left="900"/>
        <w:rPr>
          <w:rFonts w:ascii="Calibri" w:hAnsi="Calibri" w:cs="Times"/>
          <w:color w:val="000000" w:themeColor="text1"/>
        </w:rPr>
      </w:pPr>
    </w:p>
    <w:p w14:paraId="280E8EF5" w14:textId="07D75C2E" w:rsidR="006C5C19" w:rsidRPr="006C5C19" w:rsidRDefault="5F884969" w:rsidP="5F884969">
      <w:pPr>
        <w:pStyle w:val="ListParagraph"/>
        <w:widowControl w:val="0"/>
        <w:autoSpaceDE w:val="0"/>
        <w:autoSpaceDN w:val="0"/>
        <w:adjustRightInd w:val="0"/>
        <w:spacing w:after="0" w:line="240" w:lineRule="auto"/>
        <w:ind w:left="900"/>
        <w:rPr>
          <w:rFonts w:ascii="Calibri" w:hAnsi="Calibri" w:cs="Times"/>
          <w:color w:val="000000" w:themeColor="text1"/>
        </w:rPr>
      </w:pPr>
      <w:r w:rsidRPr="5F884969">
        <w:rPr>
          <w:rFonts w:ascii="Calibri" w:hAnsi="Calibri" w:cs="Times"/>
          <w:color w:val="000000" w:themeColor="text1"/>
        </w:rPr>
        <w:t>1)</w:t>
      </w:r>
      <w:r w:rsidR="00B102CC">
        <w:rPr>
          <w:rFonts w:ascii="Calibri" w:hAnsi="Calibri" w:cs="Times"/>
          <w:color w:val="000000" w:themeColor="text1"/>
        </w:rPr>
        <w:t xml:space="preserve"> </w:t>
      </w:r>
      <w:r w:rsidRPr="5F884969">
        <w:rPr>
          <w:rFonts w:ascii="Calibri" w:hAnsi="Calibri" w:cs="Times"/>
          <w:color w:val="000000" w:themeColor="text1"/>
        </w:rPr>
        <w:t>Sibling already at the school</w:t>
      </w:r>
    </w:p>
    <w:p w14:paraId="518F1E86" w14:textId="6BF8108D" w:rsidR="006C5C19" w:rsidRPr="006C5C19" w:rsidRDefault="5F884969" w:rsidP="5F884969">
      <w:pPr>
        <w:pStyle w:val="ListParagraph"/>
        <w:widowControl w:val="0"/>
        <w:autoSpaceDE w:val="0"/>
        <w:autoSpaceDN w:val="0"/>
        <w:adjustRightInd w:val="0"/>
        <w:spacing w:after="0" w:line="240" w:lineRule="auto"/>
        <w:ind w:left="900"/>
        <w:rPr>
          <w:rFonts w:ascii="Calibri" w:hAnsi="Calibri" w:cs="Times"/>
          <w:color w:val="000000" w:themeColor="text1"/>
        </w:rPr>
      </w:pPr>
      <w:r w:rsidRPr="5F884969">
        <w:rPr>
          <w:rFonts w:ascii="Calibri" w:hAnsi="Calibri" w:cs="Times"/>
          <w:color w:val="000000" w:themeColor="text1"/>
        </w:rPr>
        <w:t>2)</w:t>
      </w:r>
      <w:r w:rsidR="00B102CC">
        <w:rPr>
          <w:rFonts w:ascii="Calibri" w:hAnsi="Calibri" w:cs="Times"/>
          <w:color w:val="000000" w:themeColor="text1"/>
        </w:rPr>
        <w:t xml:space="preserve"> </w:t>
      </w:r>
      <w:r w:rsidRPr="5F884969">
        <w:rPr>
          <w:rFonts w:ascii="Calibri" w:hAnsi="Calibri" w:cs="Times"/>
          <w:color w:val="000000" w:themeColor="text1"/>
        </w:rPr>
        <w:t>Distance to home from school</w:t>
      </w:r>
    </w:p>
    <w:p w14:paraId="7A92EC7E" w14:textId="77777777" w:rsidR="006C5C19" w:rsidRPr="006C5C19" w:rsidRDefault="006C5C19" w:rsidP="006C5C19">
      <w:pPr>
        <w:pStyle w:val="ListParagraph"/>
        <w:widowControl w:val="0"/>
        <w:autoSpaceDE w:val="0"/>
        <w:autoSpaceDN w:val="0"/>
        <w:adjustRightInd w:val="0"/>
        <w:spacing w:after="0" w:line="240" w:lineRule="auto"/>
        <w:ind w:left="900"/>
        <w:rPr>
          <w:rFonts w:ascii="Calibri" w:hAnsi="Calibri" w:cs="Times"/>
          <w:color w:val="000000"/>
        </w:rPr>
      </w:pPr>
    </w:p>
    <w:p w14:paraId="71879A9A" w14:textId="5F116204" w:rsidR="006C5C19" w:rsidRPr="006C5C19" w:rsidRDefault="00B83232" w:rsidP="5F884969">
      <w:pPr>
        <w:pStyle w:val="ListParagraph"/>
        <w:widowControl w:val="0"/>
        <w:autoSpaceDE w:val="0"/>
        <w:autoSpaceDN w:val="0"/>
        <w:adjustRightInd w:val="0"/>
        <w:spacing w:after="0" w:line="240" w:lineRule="auto"/>
        <w:ind w:left="900"/>
        <w:rPr>
          <w:rFonts w:ascii="Calibri" w:hAnsi="Calibri" w:cs="Times"/>
          <w:color w:val="000000" w:themeColor="text1"/>
        </w:rPr>
      </w:pPr>
      <w:r>
        <w:rPr>
          <w:rFonts w:ascii="Calibri" w:hAnsi="Calibri" w:cs="Times"/>
          <w:color w:val="000000" w:themeColor="text1"/>
        </w:rPr>
        <w:t>Except</w:t>
      </w:r>
      <w:r w:rsidR="5F884969" w:rsidRPr="5F884969">
        <w:rPr>
          <w:rFonts w:ascii="Calibri" w:hAnsi="Calibri" w:cs="Times"/>
          <w:color w:val="000000" w:themeColor="text1"/>
        </w:rPr>
        <w:t xml:space="preserve"> the two magnet schools have a 50/50 free and reduced lunch/non-free and reduced lunch requirement.  So places will be filled according to that balance first. Previous competition was for places at Edmunds and Champlain Schools where Burlington has a higher proportion of white and higher income students. </w:t>
      </w:r>
    </w:p>
    <w:p w14:paraId="7A42F775" w14:textId="77777777" w:rsidR="006C5C19" w:rsidRPr="006C5C19" w:rsidRDefault="006C5C19" w:rsidP="006C5C19">
      <w:pPr>
        <w:pStyle w:val="ListParagraph"/>
        <w:widowControl w:val="0"/>
        <w:autoSpaceDE w:val="0"/>
        <w:autoSpaceDN w:val="0"/>
        <w:adjustRightInd w:val="0"/>
        <w:spacing w:after="0" w:line="240" w:lineRule="auto"/>
        <w:ind w:left="900"/>
        <w:rPr>
          <w:rFonts w:ascii="Calibri" w:hAnsi="Calibri" w:cs="Times"/>
          <w:color w:val="000000"/>
        </w:rPr>
      </w:pPr>
    </w:p>
    <w:p w14:paraId="761C4AE5" w14:textId="77777777" w:rsidR="006C5C19" w:rsidRPr="006C5C19" w:rsidRDefault="5F884969" w:rsidP="5F884969">
      <w:pPr>
        <w:pStyle w:val="ListParagraph"/>
        <w:widowControl w:val="0"/>
        <w:autoSpaceDE w:val="0"/>
        <w:autoSpaceDN w:val="0"/>
        <w:adjustRightInd w:val="0"/>
        <w:spacing w:after="0" w:line="240" w:lineRule="auto"/>
        <w:ind w:left="900"/>
        <w:rPr>
          <w:rFonts w:ascii="Calibri" w:hAnsi="Calibri" w:cs="Times"/>
          <w:color w:val="000000" w:themeColor="text1"/>
        </w:rPr>
      </w:pPr>
      <w:r w:rsidRPr="5F884969">
        <w:rPr>
          <w:rFonts w:ascii="Calibri" w:hAnsi="Calibri" w:cs="Times"/>
          <w:color w:val="000000" w:themeColor="text1"/>
        </w:rPr>
        <w:t>Prior to magnet schools (when this data was derived) there would have been more low income students of color in the two Old North End schools and then conversely fewer low income kids of color at Champlain (still like that) and Edmunds (less like that).</w:t>
      </w:r>
    </w:p>
    <w:p w14:paraId="36723C16" w14:textId="77777777" w:rsidR="006C5C19" w:rsidRPr="006C5C19" w:rsidRDefault="006C5C19" w:rsidP="006C5C19">
      <w:pPr>
        <w:pStyle w:val="ListParagraph"/>
        <w:widowControl w:val="0"/>
        <w:autoSpaceDE w:val="0"/>
        <w:autoSpaceDN w:val="0"/>
        <w:adjustRightInd w:val="0"/>
        <w:spacing w:after="0" w:line="240" w:lineRule="auto"/>
        <w:ind w:left="900"/>
        <w:rPr>
          <w:rFonts w:ascii="Calibri" w:hAnsi="Calibri" w:cs="Times"/>
          <w:color w:val="000000"/>
        </w:rPr>
      </w:pPr>
    </w:p>
    <w:p w14:paraId="5777EC6F" w14:textId="5FA878B7" w:rsidR="006C5C19" w:rsidRPr="006C5C19" w:rsidRDefault="5F884969" w:rsidP="5F884969">
      <w:pPr>
        <w:pStyle w:val="ListParagraph"/>
        <w:widowControl w:val="0"/>
        <w:autoSpaceDE w:val="0"/>
        <w:autoSpaceDN w:val="0"/>
        <w:adjustRightInd w:val="0"/>
        <w:spacing w:after="0" w:line="240" w:lineRule="auto"/>
        <w:ind w:left="900"/>
        <w:rPr>
          <w:rFonts w:ascii="Calibri" w:hAnsi="Calibri" w:cs="Times"/>
          <w:color w:val="000000" w:themeColor="text1"/>
        </w:rPr>
      </w:pPr>
      <w:r w:rsidRPr="5F884969">
        <w:rPr>
          <w:rFonts w:ascii="Calibri" w:hAnsi="Calibri" w:cs="Times"/>
          <w:color w:val="000000" w:themeColor="text1"/>
        </w:rPr>
        <w:t>School enrollment policy used to be</w:t>
      </w:r>
      <w:r w:rsidR="00BD6AD3">
        <w:rPr>
          <w:rFonts w:ascii="Calibri" w:hAnsi="Calibri" w:cs="Times"/>
          <w:color w:val="000000" w:themeColor="text1"/>
        </w:rPr>
        <w:t xml:space="preserve"> that</w:t>
      </w:r>
      <w:r w:rsidRPr="5F884969">
        <w:rPr>
          <w:rFonts w:ascii="Calibri" w:hAnsi="Calibri" w:cs="Times"/>
          <w:color w:val="000000" w:themeColor="text1"/>
        </w:rPr>
        <w:t xml:space="preserve"> siblings and those not closest to school would have to get a waiver to attend anything other than the closest school; this was not common.</w:t>
      </w:r>
    </w:p>
    <w:p w14:paraId="7602F402" w14:textId="5EB9F1C0" w:rsidR="6A6D091A" w:rsidRDefault="6A6D091A" w:rsidP="6A6D091A">
      <w:pPr>
        <w:pStyle w:val="ListParagraph"/>
        <w:spacing w:after="0" w:line="240" w:lineRule="auto"/>
        <w:ind w:left="900"/>
        <w:rPr>
          <w:rFonts w:ascii="Calibri" w:hAnsi="Calibri" w:cs="Times"/>
          <w:color w:val="000000" w:themeColor="text1"/>
        </w:rPr>
      </w:pPr>
    </w:p>
    <w:p w14:paraId="2EB6535D" w14:textId="77777777" w:rsidR="006C5C19" w:rsidRPr="006C5C19" w:rsidRDefault="5F884969" w:rsidP="5F884969">
      <w:pPr>
        <w:pStyle w:val="ListParagraph"/>
        <w:widowControl w:val="0"/>
        <w:autoSpaceDE w:val="0"/>
        <w:autoSpaceDN w:val="0"/>
        <w:adjustRightInd w:val="0"/>
        <w:spacing w:after="0" w:line="240" w:lineRule="auto"/>
        <w:ind w:left="900"/>
        <w:rPr>
          <w:rFonts w:ascii="Calibri" w:hAnsi="Calibri" w:cs="Times"/>
          <w:color w:val="000000" w:themeColor="text1"/>
        </w:rPr>
      </w:pPr>
      <w:r w:rsidRPr="5F884969">
        <w:rPr>
          <w:rFonts w:ascii="Calibri" w:hAnsi="Calibri" w:cs="Times"/>
          <w:color w:val="000000" w:themeColor="text1"/>
        </w:rPr>
        <w:lastRenderedPageBreak/>
        <w:t>The creation of the magnet schools was a direct policy response to ‘failing’ schools with higher than district average of low income and youth of color.  The desirability of these additionally resourced magnet schools and the accompanying change to prioritize economic status over geography to balance recruitment has reduced the number of low income students in these schools and simultaneously the redistribution of students has increased the number of low income and/or students of color at other elementary schools.</w:t>
      </w:r>
    </w:p>
    <w:p w14:paraId="23A8E5FD" w14:textId="77777777" w:rsidR="006C5C19" w:rsidRPr="006C5C19" w:rsidRDefault="006C5C19" w:rsidP="006C5C19">
      <w:pPr>
        <w:pStyle w:val="ListParagraph"/>
        <w:widowControl w:val="0"/>
        <w:autoSpaceDE w:val="0"/>
        <w:autoSpaceDN w:val="0"/>
        <w:adjustRightInd w:val="0"/>
        <w:spacing w:after="0" w:line="240" w:lineRule="auto"/>
        <w:ind w:left="900"/>
        <w:rPr>
          <w:rFonts w:ascii="Calibri" w:hAnsi="Calibri" w:cs="Times"/>
          <w:color w:val="000000"/>
        </w:rPr>
      </w:pPr>
    </w:p>
    <w:p w14:paraId="218BCE2A" w14:textId="252D45FE" w:rsidR="006C5C19" w:rsidRPr="006C5C19" w:rsidRDefault="6A6D091A" w:rsidP="6A6D091A">
      <w:pPr>
        <w:pStyle w:val="ListParagraph"/>
        <w:widowControl w:val="0"/>
        <w:autoSpaceDE w:val="0"/>
        <w:autoSpaceDN w:val="0"/>
        <w:adjustRightInd w:val="0"/>
        <w:spacing w:after="0" w:line="240" w:lineRule="auto"/>
        <w:ind w:left="900"/>
        <w:rPr>
          <w:rFonts w:ascii="Calibri" w:hAnsi="Calibri" w:cs="Times"/>
          <w:color w:val="000000" w:themeColor="text1"/>
        </w:rPr>
      </w:pPr>
      <w:r w:rsidRPr="6A6D091A">
        <w:rPr>
          <w:rFonts w:ascii="Calibri" w:hAnsi="Calibri" w:cs="Times"/>
          <w:color w:val="000000" w:themeColor="text1"/>
        </w:rPr>
        <w:t>The Burlington School District also implemented an Equity and Diversity Strategic Plan which includes staff training and data collection on outcomes based on race, ethnicity, economic status, IEP etc.  This collection of equity data has been very important in supporting data based decision making for policy on equity.</w:t>
      </w:r>
    </w:p>
    <w:p w14:paraId="0B70DE07" w14:textId="77777777" w:rsidR="006C5C19" w:rsidRPr="006C5C19" w:rsidRDefault="006C5C19" w:rsidP="006C5C19">
      <w:pPr>
        <w:pStyle w:val="ListParagraph"/>
        <w:widowControl w:val="0"/>
        <w:autoSpaceDE w:val="0"/>
        <w:autoSpaceDN w:val="0"/>
        <w:adjustRightInd w:val="0"/>
        <w:spacing w:after="0" w:line="240" w:lineRule="auto"/>
        <w:ind w:left="900"/>
        <w:rPr>
          <w:rFonts w:ascii="Calibri" w:hAnsi="Calibri" w:cs="Times"/>
          <w:color w:val="000000"/>
        </w:rPr>
      </w:pPr>
    </w:p>
    <w:p w14:paraId="040271F0" w14:textId="398BC53C" w:rsidR="006C5C19" w:rsidRPr="006C5C19" w:rsidRDefault="6A6D091A" w:rsidP="6A6D091A">
      <w:pPr>
        <w:pStyle w:val="ListParagraph"/>
        <w:widowControl w:val="0"/>
        <w:autoSpaceDE w:val="0"/>
        <w:autoSpaceDN w:val="0"/>
        <w:adjustRightInd w:val="0"/>
        <w:spacing w:after="0" w:line="240" w:lineRule="auto"/>
        <w:ind w:left="900"/>
        <w:rPr>
          <w:rFonts w:ascii="Calibri" w:hAnsi="Calibri" w:cs="Times"/>
          <w:color w:val="000000" w:themeColor="text1"/>
        </w:rPr>
      </w:pPr>
      <w:r w:rsidRPr="6A6D091A">
        <w:rPr>
          <w:rFonts w:ascii="Calibri" w:hAnsi="Calibri" w:cs="Times"/>
          <w:color w:val="000000" w:themeColor="text1"/>
        </w:rPr>
        <w:t>As a result of data collection, changes in disciplinary procedures and recognition of disproportionate impact of suspension on youth of color and low-income youth and youth on IEP – the district is in early implementation of positive behavior implementation systems and restorative practices at middle and high schools is in early implementation.</w:t>
      </w:r>
    </w:p>
    <w:p w14:paraId="2871F1F0" w14:textId="77777777" w:rsidR="006C5C19" w:rsidRDefault="006C5C19" w:rsidP="006C5C19">
      <w:pPr>
        <w:pStyle w:val="ListParagraph"/>
        <w:widowControl w:val="0"/>
        <w:autoSpaceDE w:val="0"/>
        <w:autoSpaceDN w:val="0"/>
        <w:adjustRightInd w:val="0"/>
        <w:spacing w:after="0" w:line="240" w:lineRule="auto"/>
        <w:ind w:left="900"/>
        <w:rPr>
          <w:rFonts w:ascii="Calibri" w:hAnsi="Calibri" w:cs="Times"/>
          <w:color w:val="000000" w:themeColor="text1"/>
        </w:rPr>
      </w:pPr>
    </w:p>
    <w:p w14:paraId="4DAE132D" w14:textId="64C8DE14" w:rsidR="00CF48E7" w:rsidRDefault="00CF48E7" w:rsidP="00B83232">
      <w:pPr>
        <w:ind w:left="900"/>
      </w:pPr>
      <w:r>
        <w:t>The City of Burlington announced its acceptance of President Obama’s My Brother’s Keeper (MBK) Challenge in May 2016. MBK addresses opportunity gaps facing American youth, particularly boys and young men of color. MBK has been a movement that has led to action by all levels of government, schools, non-profits, private, and individuals to take meaningful steps to improve opportunities. Burlington’s MBK overarching goals are to ensure that all youth are safe, on track to graduate from high school, ready for college or career, and given opportunities to lead and thrive</w:t>
      </w:r>
      <w:r w:rsidR="00B83232">
        <w:t>.</w:t>
      </w:r>
    </w:p>
    <w:p w14:paraId="19D89BFA" w14:textId="77777777" w:rsidR="00CF48E7" w:rsidRPr="006C5C19" w:rsidRDefault="00CF48E7" w:rsidP="006C5C19">
      <w:pPr>
        <w:pStyle w:val="ListParagraph"/>
        <w:widowControl w:val="0"/>
        <w:autoSpaceDE w:val="0"/>
        <w:autoSpaceDN w:val="0"/>
        <w:adjustRightInd w:val="0"/>
        <w:spacing w:after="0" w:line="240" w:lineRule="auto"/>
        <w:ind w:left="900"/>
        <w:rPr>
          <w:rFonts w:ascii="Calibri" w:hAnsi="Calibri" w:cs="Times"/>
          <w:color w:val="000000"/>
        </w:rPr>
      </w:pPr>
    </w:p>
    <w:p w14:paraId="3898D114" w14:textId="18739AE1" w:rsidR="00D87AB9" w:rsidRDefault="00BD6AD3" w:rsidP="5F884969">
      <w:pPr>
        <w:pStyle w:val="ListParagraph"/>
        <w:widowControl w:val="0"/>
        <w:autoSpaceDE w:val="0"/>
        <w:autoSpaceDN w:val="0"/>
        <w:adjustRightInd w:val="0"/>
        <w:spacing w:after="0" w:line="240" w:lineRule="auto"/>
        <w:ind w:left="900"/>
        <w:rPr>
          <w:rFonts w:ascii="Calibri" w:hAnsi="Calibri" w:cs="Times"/>
          <w:color w:val="000000" w:themeColor="text1"/>
        </w:rPr>
      </w:pPr>
      <w:r>
        <w:rPr>
          <w:rFonts w:ascii="Calibri" w:hAnsi="Calibri" w:cs="Times"/>
          <w:color w:val="000000" w:themeColor="text1"/>
        </w:rPr>
        <w:t xml:space="preserve">The City has a relatively small youth of color </w:t>
      </w:r>
      <w:r w:rsidR="5F884969" w:rsidRPr="5F884969">
        <w:rPr>
          <w:rFonts w:ascii="Calibri" w:hAnsi="Calibri" w:cs="Times"/>
          <w:color w:val="000000" w:themeColor="text1"/>
        </w:rPr>
        <w:t>population of students and probably should be targeting resources better to those individuals – this is underway – the City is also seeking to partner of internships and other partnerships with business etc. to improve access to opportunity for older students (MBK)</w:t>
      </w:r>
      <w:r w:rsidR="007602BF">
        <w:rPr>
          <w:rFonts w:ascii="Calibri" w:hAnsi="Calibri" w:cs="Times"/>
          <w:color w:val="000000" w:themeColor="text1"/>
        </w:rPr>
        <w:t>.</w:t>
      </w:r>
    </w:p>
    <w:p w14:paraId="331EECCF" w14:textId="77777777" w:rsidR="00B2524E" w:rsidRDefault="00B2524E" w:rsidP="5F884969">
      <w:pPr>
        <w:pStyle w:val="ListParagraph"/>
        <w:widowControl w:val="0"/>
        <w:autoSpaceDE w:val="0"/>
        <w:autoSpaceDN w:val="0"/>
        <w:adjustRightInd w:val="0"/>
        <w:spacing w:after="0" w:line="240" w:lineRule="auto"/>
        <w:ind w:left="900"/>
        <w:rPr>
          <w:rFonts w:ascii="Calibri" w:hAnsi="Calibri" w:cs="Times"/>
          <w:color w:val="000000" w:themeColor="text1"/>
        </w:rPr>
      </w:pPr>
    </w:p>
    <w:p w14:paraId="446F974B" w14:textId="6EF66DC9" w:rsidR="00B2524E" w:rsidRPr="006C5C19" w:rsidRDefault="00B2524E" w:rsidP="5F884969">
      <w:pPr>
        <w:pStyle w:val="ListParagraph"/>
        <w:widowControl w:val="0"/>
        <w:autoSpaceDE w:val="0"/>
        <w:autoSpaceDN w:val="0"/>
        <w:adjustRightInd w:val="0"/>
        <w:spacing w:after="0" w:line="240" w:lineRule="auto"/>
        <w:ind w:left="900"/>
        <w:rPr>
          <w:rFonts w:ascii="Calibri" w:hAnsi="Calibri" w:cs="Times"/>
          <w:color w:val="000000" w:themeColor="text1"/>
        </w:rPr>
      </w:pPr>
      <w:r>
        <w:rPr>
          <w:rFonts w:ascii="Calibri" w:hAnsi="Calibri" w:cs="Times"/>
          <w:color w:val="000000" w:themeColor="text1"/>
        </w:rPr>
        <w:t>For our community survey respondents, access to schools in their neighborhood was rated at 72% fair and above with 28% noting poor access.</w:t>
      </w:r>
    </w:p>
    <w:p w14:paraId="47888055" w14:textId="77777777" w:rsidR="006C5C19" w:rsidRPr="008A1630" w:rsidRDefault="006C5C19" w:rsidP="006C5C19">
      <w:pPr>
        <w:pStyle w:val="ListParagraph"/>
        <w:widowControl w:val="0"/>
        <w:autoSpaceDE w:val="0"/>
        <w:autoSpaceDN w:val="0"/>
        <w:adjustRightInd w:val="0"/>
        <w:spacing w:after="0" w:line="240" w:lineRule="auto"/>
        <w:ind w:left="900"/>
        <w:rPr>
          <w:rFonts w:ascii="Calibri" w:hAnsi="Calibri" w:cs="Times"/>
          <w:b/>
          <w:color w:val="000000"/>
        </w:rPr>
      </w:pPr>
    </w:p>
    <w:p w14:paraId="0CD4616E" w14:textId="3BFF879A" w:rsidR="004121A4" w:rsidRPr="00E6668E" w:rsidRDefault="5F884969" w:rsidP="5F884969">
      <w:pPr>
        <w:pStyle w:val="ListParagraph"/>
        <w:numPr>
          <w:ilvl w:val="0"/>
          <w:numId w:val="9"/>
        </w:numPr>
        <w:ind w:left="900"/>
        <w:rPr>
          <w:b/>
          <w:bCs/>
          <w:i/>
          <w:iCs/>
        </w:rPr>
      </w:pPr>
      <w:bookmarkStart w:id="33" w:name="EmploymentOpportunities"/>
      <w:r w:rsidRPr="5F884969">
        <w:rPr>
          <w:b/>
          <w:bCs/>
        </w:rPr>
        <w:t>Employment Opportunities</w:t>
      </w:r>
    </w:p>
    <w:bookmarkEnd w:id="33"/>
    <w:p w14:paraId="2A019D50" w14:textId="25EB2C10" w:rsidR="00E6668E"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 xml:space="preserve">We use two indices to assess the level of access to employment opportunities various subpopulations have: the Jobs Proximity Index, and the Labor Market Engagement Index. </w:t>
      </w:r>
    </w:p>
    <w:p w14:paraId="1AFCCA7A" w14:textId="77777777" w:rsidR="00E6668E" w:rsidRDefault="00E6668E" w:rsidP="00E6668E">
      <w:pPr>
        <w:pStyle w:val="ListParagraph"/>
        <w:widowControl w:val="0"/>
        <w:autoSpaceDE w:val="0"/>
        <w:autoSpaceDN w:val="0"/>
        <w:adjustRightInd w:val="0"/>
        <w:ind w:left="900"/>
        <w:rPr>
          <w:rFonts w:ascii="Calibri" w:hAnsi="Calibri" w:cs="Times"/>
          <w:color w:val="000000"/>
        </w:rPr>
      </w:pPr>
    </w:p>
    <w:p w14:paraId="6EF05793" w14:textId="1B870583" w:rsidR="00E6668E" w:rsidRDefault="5F884969" w:rsidP="5F884969">
      <w:pPr>
        <w:pStyle w:val="ListParagraph"/>
        <w:widowControl w:val="0"/>
        <w:autoSpaceDE w:val="0"/>
        <w:autoSpaceDN w:val="0"/>
        <w:adjustRightInd w:val="0"/>
        <w:ind w:left="900"/>
        <w:rPr>
          <w:rFonts w:ascii="Calibri" w:hAnsi="Calibri"/>
        </w:rPr>
      </w:pPr>
      <w:r w:rsidRPr="5F884969">
        <w:rPr>
          <w:rFonts w:ascii="Calibri" w:hAnsi="Calibri" w:cs="Times"/>
          <w:color w:val="000000" w:themeColor="text1"/>
        </w:rPr>
        <w:t xml:space="preserve">The Jobs Proximity Index </w:t>
      </w:r>
      <w:r w:rsidRPr="5F884969">
        <w:rPr>
          <w:rFonts w:ascii="Calibri" w:hAnsi="Calibri"/>
        </w:rPr>
        <w:t xml:space="preserve">quantifies the accessibility of a given residential neighborhood as a function of its distance to all job locations within a region, with larger employment centers weighted more heavily than smaller ones. Higher values denote better employment opportunities within a neighborhood. </w:t>
      </w:r>
    </w:p>
    <w:p w14:paraId="155C9785" w14:textId="77777777" w:rsidR="00E6668E" w:rsidRDefault="00E6668E" w:rsidP="00E6668E">
      <w:pPr>
        <w:pStyle w:val="ListParagraph"/>
        <w:widowControl w:val="0"/>
        <w:autoSpaceDE w:val="0"/>
        <w:autoSpaceDN w:val="0"/>
        <w:adjustRightInd w:val="0"/>
        <w:ind w:left="900"/>
        <w:rPr>
          <w:rFonts w:ascii="Calibri" w:hAnsi="Calibri"/>
        </w:rPr>
      </w:pPr>
    </w:p>
    <w:p w14:paraId="1C2D7933" w14:textId="1A4EECE4" w:rsidR="00E6668E" w:rsidRDefault="5F884969" w:rsidP="5F884969">
      <w:pPr>
        <w:pStyle w:val="ListParagraph"/>
        <w:widowControl w:val="0"/>
        <w:autoSpaceDE w:val="0"/>
        <w:autoSpaceDN w:val="0"/>
        <w:adjustRightInd w:val="0"/>
        <w:ind w:left="900"/>
        <w:rPr>
          <w:rFonts w:ascii="Calibri" w:hAnsi="Calibri"/>
        </w:rPr>
      </w:pPr>
      <w:r w:rsidRPr="5F884969">
        <w:rPr>
          <w:rFonts w:ascii="Calibri" w:hAnsi="Calibri"/>
        </w:rPr>
        <w:t xml:space="preserve">The Labor Market Engagement Index describes the relative intensity of human capital and how engaged the labor market is in a given neighborhood. It is a function of the level of employment, labor force participation, and educational attainment in a census tract. The higher the value, the higher the labor force participation and human capital in a </w:t>
      </w:r>
      <w:r w:rsidRPr="5F884969">
        <w:rPr>
          <w:rFonts w:ascii="Calibri" w:hAnsi="Calibri"/>
        </w:rPr>
        <w:lastRenderedPageBreak/>
        <w:t xml:space="preserve">neighborhood. </w:t>
      </w:r>
    </w:p>
    <w:p w14:paraId="178F4FA1" w14:textId="77777777" w:rsidR="00E6668E" w:rsidRDefault="00E6668E" w:rsidP="00E6668E">
      <w:pPr>
        <w:pStyle w:val="ListParagraph"/>
        <w:widowControl w:val="0"/>
        <w:autoSpaceDE w:val="0"/>
        <w:autoSpaceDN w:val="0"/>
        <w:adjustRightInd w:val="0"/>
        <w:ind w:left="900"/>
        <w:rPr>
          <w:rFonts w:ascii="Calibri" w:hAnsi="Calibri"/>
        </w:rPr>
      </w:pPr>
    </w:p>
    <w:p w14:paraId="6FEE8C82" w14:textId="0E55B8E3" w:rsidR="00E6668E" w:rsidRDefault="5F884969" w:rsidP="002F7C2E">
      <w:pPr>
        <w:pStyle w:val="ListParagraph"/>
        <w:widowControl w:val="0"/>
        <w:autoSpaceDE w:val="0"/>
        <w:autoSpaceDN w:val="0"/>
        <w:adjustRightInd w:val="0"/>
        <w:ind w:left="900"/>
        <w:outlineLvl w:val="0"/>
        <w:rPr>
          <w:rFonts w:ascii="Calibri" w:hAnsi="Calibri"/>
        </w:rPr>
      </w:pPr>
      <w:r w:rsidRPr="5F884969">
        <w:rPr>
          <w:rFonts w:ascii="Calibri" w:hAnsi="Calibri"/>
        </w:rPr>
        <w:t>Both indices are percentile ranked and range from 0 to 100.</w:t>
      </w:r>
    </w:p>
    <w:p w14:paraId="09A28C59" w14:textId="77777777" w:rsidR="00E6668E" w:rsidRPr="00D82DF2" w:rsidRDefault="00E6668E" w:rsidP="00E6668E">
      <w:pPr>
        <w:pStyle w:val="ListParagraph"/>
        <w:widowControl w:val="0"/>
        <w:autoSpaceDE w:val="0"/>
        <w:autoSpaceDN w:val="0"/>
        <w:adjustRightInd w:val="0"/>
        <w:ind w:left="900"/>
        <w:rPr>
          <w:rFonts w:ascii="Calibri" w:hAnsi="Calibri" w:cs="Times"/>
          <w:color w:val="000000"/>
        </w:rPr>
      </w:pPr>
    </w:p>
    <w:p w14:paraId="2CA38621" w14:textId="269FD8C4" w:rsidR="006C5C19" w:rsidRPr="00BD6AD3" w:rsidRDefault="5F884969" w:rsidP="5F884969">
      <w:pPr>
        <w:pStyle w:val="ListParagraph"/>
        <w:widowControl w:val="0"/>
        <w:autoSpaceDE w:val="0"/>
        <w:autoSpaceDN w:val="0"/>
        <w:adjustRightInd w:val="0"/>
        <w:spacing w:after="0" w:line="240" w:lineRule="auto"/>
        <w:ind w:left="900"/>
        <w:rPr>
          <w:rFonts w:ascii="Calibri" w:hAnsi="Calibri" w:cs="Times"/>
          <w:b/>
          <w:bCs/>
          <w:i/>
          <w:color w:val="000000" w:themeColor="text1"/>
        </w:rPr>
      </w:pPr>
      <w:r w:rsidRPr="00BD6AD3">
        <w:rPr>
          <w:rFonts w:ascii="Calibri" w:hAnsi="Calibri" w:cs="Calibri"/>
          <w:b/>
          <w:bCs/>
          <w:i/>
          <w:color w:val="000000" w:themeColor="text1"/>
        </w:rPr>
        <w:t>For the protected class groups HUD has provided data, describe any disparities in access to jobs and labor markets by protected class groups in the jurisdiction and region.</w:t>
      </w:r>
    </w:p>
    <w:p w14:paraId="75075D6D" w14:textId="145A4D5E" w:rsidR="006C5C19" w:rsidRDefault="006C5C19" w:rsidP="006C5C19">
      <w:pPr>
        <w:pStyle w:val="ListParagraph"/>
        <w:widowControl w:val="0"/>
        <w:autoSpaceDE w:val="0"/>
        <w:autoSpaceDN w:val="0"/>
        <w:adjustRightInd w:val="0"/>
        <w:ind w:left="900"/>
        <w:rPr>
          <w:rFonts w:ascii="Calibri" w:hAnsi="Calibri" w:cs="Calibri"/>
          <w:bCs/>
          <w:color w:val="000000"/>
        </w:rPr>
      </w:pPr>
    </w:p>
    <w:p w14:paraId="369822B2" w14:textId="77777777" w:rsidR="006C5C19" w:rsidRPr="006352A4" w:rsidRDefault="5F884969" w:rsidP="002F7C2E">
      <w:pPr>
        <w:pStyle w:val="ListParagraph"/>
        <w:widowControl w:val="0"/>
        <w:autoSpaceDE w:val="0"/>
        <w:autoSpaceDN w:val="0"/>
        <w:adjustRightInd w:val="0"/>
        <w:ind w:left="900"/>
        <w:outlineLvl w:val="0"/>
        <w:rPr>
          <w:rFonts w:ascii="Calibri" w:hAnsi="Calibri" w:cs="Calibri"/>
          <w:b/>
          <w:bCs/>
          <w:i/>
          <w:iCs/>
          <w:color w:val="000000" w:themeColor="text1"/>
        </w:rPr>
      </w:pPr>
      <w:r w:rsidRPr="5F884969">
        <w:rPr>
          <w:rFonts w:ascii="Calibri" w:hAnsi="Calibri" w:cs="Calibri"/>
          <w:b/>
          <w:bCs/>
          <w:i/>
          <w:iCs/>
          <w:color w:val="000000" w:themeColor="text1"/>
        </w:rPr>
        <w:t>Burlington</w:t>
      </w:r>
    </w:p>
    <w:p w14:paraId="0577E980" w14:textId="29552F4A" w:rsidR="006C5C19" w:rsidRPr="006803D9"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New Roman"/>
        </w:rPr>
        <w:t xml:space="preserve">The Labor Market Engagement Index in </w:t>
      </w:r>
      <w:r w:rsidRPr="5F884969">
        <w:rPr>
          <w:rFonts w:ascii="Calibri" w:eastAsia="Calibri" w:hAnsi="Calibri" w:cs="Calibri"/>
        </w:rPr>
        <w:t>Burlington (</w:t>
      </w:r>
      <w:r w:rsidRPr="007602BF">
        <w:rPr>
          <w:rFonts w:ascii="Calibri" w:eastAsia="Calibri" w:hAnsi="Calibri" w:cs="Calibri"/>
        </w:rPr>
        <w:t>figure 21</w:t>
      </w:r>
      <w:r w:rsidRPr="5F884969">
        <w:rPr>
          <w:rFonts w:ascii="Calibri" w:eastAsia="Calibri" w:hAnsi="Calibri" w:cs="Calibri"/>
        </w:rPr>
        <w:t xml:space="preserve">) appears to be more consistent across racial groups than the region as a whole. </w:t>
      </w:r>
      <w:r w:rsidRPr="5F884969">
        <w:rPr>
          <w:rFonts w:ascii="Calibri" w:eastAsia="Calibri" w:hAnsi="Calibri" w:cs="Calibri"/>
          <w:color w:val="000000" w:themeColor="text1"/>
        </w:rPr>
        <w:t>I</w:t>
      </w:r>
      <w:r w:rsidRPr="5F884969">
        <w:rPr>
          <w:rFonts w:ascii="Calibri" w:hAnsi="Calibri" w:cs="Times"/>
          <w:color w:val="000000" w:themeColor="text1"/>
        </w:rPr>
        <w:t xml:space="preserve">n Burlington, this index shows that White and Hispanic populations have the highest labor market </w:t>
      </w:r>
      <w:r w:rsidR="007720E0">
        <w:rPr>
          <w:rFonts w:ascii="Calibri" w:hAnsi="Calibri" w:cs="Times"/>
          <w:color w:val="000000" w:themeColor="text1"/>
        </w:rPr>
        <w:t>engagement</w:t>
      </w:r>
      <w:r w:rsidRPr="5F884969">
        <w:rPr>
          <w:rFonts w:ascii="Calibri" w:hAnsi="Calibri" w:cs="Times"/>
          <w:color w:val="000000" w:themeColor="text1"/>
        </w:rPr>
        <w:t>, at 76.18 and 76.</w:t>
      </w:r>
      <w:r w:rsidR="007720E0">
        <w:rPr>
          <w:rFonts w:ascii="Calibri" w:hAnsi="Calibri" w:cs="Times"/>
          <w:color w:val="000000" w:themeColor="text1"/>
        </w:rPr>
        <w:t>15 index points, respectively. Relative to other populations, t</w:t>
      </w:r>
      <w:r w:rsidRPr="5F884969">
        <w:rPr>
          <w:rFonts w:ascii="Calibri" w:hAnsi="Calibri" w:cs="Times"/>
          <w:color w:val="000000" w:themeColor="text1"/>
        </w:rPr>
        <w:t>he Black population in Burlington has t</w:t>
      </w:r>
      <w:r w:rsidR="007720E0">
        <w:rPr>
          <w:rFonts w:ascii="Calibri" w:hAnsi="Calibri" w:cs="Times"/>
          <w:color w:val="000000" w:themeColor="text1"/>
        </w:rPr>
        <w:t xml:space="preserve">he lowest engagement with </w:t>
      </w:r>
      <w:r w:rsidRPr="5F884969">
        <w:rPr>
          <w:rFonts w:ascii="Calibri" w:hAnsi="Calibri" w:cs="Times"/>
          <w:color w:val="000000" w:themeColor="text1"/>
        </w:rPr>
        <w:t>the labor market, with 69.98 index points. Similarly, the Native American population show relatively low labor market access at 70.73 index points, while the Asian or Pacific Islander population has slightly higher labor market access at 72.14 index points. The overall variation among population is relatively low, showing a difference of 6.2 index points between White and Black populations in Burlington.</w:t>
      </w:r>
    </w:p>
    <w:p w14:paraId="64457704" w14:textId="77777777" w:rsidR="006C5C19" w:rsidRDefault="006C5C19" w:rsidP="006C5C19">
      <w:pPr>
        <w:pStyle w:val="ListParagraph"/>
        <w:widowControl w:val="0"/>
        <w:autoSpaceDE w:val="0"/>
        <w:autoSpaceDN w:val="0"/>
        <w:adjustRightInd w:val="0"/>
        <w:ind w:left="900"/>
        <w:rPr>
          <w:rFonts w:ascii="Calibri" w:hAnsi="Calibri" w:cs="Times"/>
          <w:color w:val="000000" w:themeColor="text1"/>
        </w:rPr>
      </w:pPr>
    </w:p>
    <w:p w14:paraId="57F3B20A" w14:textId="43F89C7F" w:rsidR="006C5C19"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The Jobs Proximity Index (</w:t>
      </w:r>
      <w:r w:rsidRPr="007602BF">
        <w:rPr>
          <w:rFonts w:ascii="Calibri" w:hAnsi="Calibri" w:cs="Times"/>
          <w:color w:val="000000" w:themeColor="text1"/>
        </w:rPr>
        <w:t>figure 22</w:t>
      </w:r>
      <w:r w:rsidRPr="5F884969">
        <w:rPr>
          <w:rFonts w:ascii="Calibri" w:hAnsi="Calibri" w:cs="Times"/>
          <w:color w:val="000000" w:themeColor="text1"/>
        </w:rPr>
        <w:t xml:space="preserve">) in Burlington shows that the Asian or Pacific Islander population has </w:t>
      </w:r>
      <w:r w:rsidR="00250B1E">
        <w:rPr>
          <w:rFonts w:ascii="Calibri" w:hAnsi="Calibri" w:cs="Times"/>
          <w:color w:val="000000" w:themeColor="text1"/>
        </w:rPr>
        <w:t xml:space="preserve">the </w:t>
      </w:r>
      <w:r w:rsidR="000B7933">
        <w:rPr>
          <w:rFonts w:ascii="Calibri" w:hAnsi="Calibri" w:cs="Times"/>
          <w:color w:val="000000" w:themeColor="text1"/>
        </w:rPr>
        <w:t xml:space="preserve">lowest level of </w:t>
      </w:r>
      <w:r w:rsidR="00250B1E">
        <w:rPr>
          <w:rFonts w:ascii="Calibri" w:hAnsi="Calibri" w:cs="Times"/>
          <w:color w:val="000000" w:themeColor="text1"/>
        </w:rPr>
        <w:t>employment opportunity</w:t>
      </w:r>
      <w:r w:rsidRPr="5F884969">
        <w:rPr>
          <w:rFonts w:ascii="Calibri" w:hAnsi="Calibri" w:cs="Times"/>
          <w:color w:val="000000" w:themeColor="text1"/>
        </w:rPr>
        <w:t xml:space="preserve">, with 52.76 index points. </w:t>
      </w:r>
      <w:r w:rsidR="00250B1E">
        <w:rPr>
          <w:rFonts w:ascii="Calibri" w:hAnsi="Calibri" w:cs="Times"/>
          <w:color w:val="000000" w:themeColor="text1"/>
        </w:rPr>
        <w:t xml:space="preserve">In contrast, </w:t>
      </w:r>
      <w:r w:rsidRPr="5F884969">
        <w:rPr>
          <w:rFonts w:ascii="Calibri" w:hAnsi="Calibri" w:cs="Times"/>
          <w:color w:val="000000" w:themeColor="text1"/>
        </w:rPr>
        <w:t xml:space="preserve">Hispanic </w:t>
      </w:r>
      <w:r w:rsidR="00250B1E">
        <w:rPr>
          <w:rFonts w:ascii="Calibri" w:hAnsi="Calibri" w:cs="Times"/>
          <w:color w:val="000000" w:themeColor="text1"/>
        </w:rPr>
        <w:t>p</w:t>
      </w:r>
      <w:r w:rsidRPr="5F884969">
        <w:rPr>
          <w:rFonts w:ascii="Calibri" w:hAnsi="Calibri" w:cs="Times"/>
          <w:color w:val="000000" w:themeColor="text1"/>
        </w:rPr>
        <w:t xml:space="preserve">opulations have the highest </w:t>
      </w:r>
      <w:r w:rsidR="00250B1E">
        <w:rPr>
          <w:rFonts w:ascii="Calibri" w:hAnsi="Calibri" w:cs="Times"/>
          <w:color w:val="000000" w:themeColor="text1"/>
        </w:rPr>
        <w:t>employment opportunity</w:t>
      </w:r>
      <w:r w:rsidRPr="5F884969">
        <w:rPr>
          <w:rFonts w:ascii="Calibri" w:hAnsi="Calibri" w:cs="Times"/>
          <w:color w:val="000000" w:themeColor="text1"/>
        </w:rPr>
        <w:t>, with 63.15 index points, followed by Native Americans with 62.38 points. White and Black populations fall in the middle, with 59.45 and 55.13 index points, respectively. Again, variation among populations is quite low, with the difference between the Hispanic and Asian or Pacific Islander populations being 10.39 index points.</w:t>
      </w:r>
    </w:p>
    <w:p w14:paraId="3B01FE74" w14:textId="77777777" w:rsidR="006C5C19" w:rsidRDefault="006C5C19" w:rsidP="006C5C19">
      <w:pPr>
        <w:pStyle w:val="ListParagraph"/>
        <w:widowControl w:val="0"/>
        <w:autoSpaceDE w:val="0"/>
        <w:autoSpaceDN w:val="0"/>
        <w:adjustRightInd w:val="0"/>
        <w:ind w:left="900"/>
        <w:rPr>
          <w:rFonts w:ascii="Calibri" w:hAnsi="Calibri" w:cs="Times"/>
          <w:color w:val="000000" w:themeColor="text1"/>
        </w:rPr>
      </w:pPr>
    </w:p>
    <w:p w14:paraId="06794C26" w14:textId="486E8A46" w:rsidR="00A62C24" w:rsidRPr="00903425" w:rsidRDefault="5F884969" w:rsidP="00903425">
      <w:pPr>
        <w:pStyle w:val="ListParagraph"/>
        <w:widowControl w:val="0"/>
        <w:autoSpaceDE w:val="0"/>
        <w:autoSpaceDN w:val="0"/>
        <w:adjustRightInd w:val="0"/>
        <w:ind w:left="900"/>
        <w:rPr>
          <w:rFonts w:ascii="Calibri" w:eastAsia="Calibri" w:hAnsi="Calibri" w:cs="Calibri"/>
        </w:rPr>
      </w:pPr>
      <w:r w:rsidRPr="5F884969">
        <w:rPr>
          <w:rFonts w:ascii="Calibri" w:eastAsia="Calibri" w:hAnsi="Calibri" w:cs="Calibri"/>
        </w:rPr>
        <w:t>For populations below the poverty line in the city, the Labor Market Engagement Index (</w:t>
      </w:r>
      <w:r w:rsidRPr="000B7933">
        <w:rPr>
          <w:rFonts w:ascii="Calibri" w:eastAsia="Calibri" w:hAnsi="Calibri" w:cs="Calibri"/>
        </w:rPr>
        <w:t>figure 21</w:t>
      </w:r>
      <w:r w:rsidRPr="5F884969">
        <w:rPr>
          <w:rFonts w:ascii="Calibri" w:eastAsia="Calibri" w:hAnsi="Calibri" w:cs="Calibri"/>
        </w:rPr>
        <w:t>) and Jobs Proximity Index (</w:t>
      </w:r>
      <w:r w:rsidRPr="000B7933">
        <w:rPr>
          <w:rFonts w:ascii="Calibri" w:eastAsia="Calibri" w:hAnsi="Calibri" w:cs="Calibri"/>
        </w:rPr>
        <w:t>figure 22</w:t>
      </w:r>
      <w:r w:rsidRPr="5F884969">
        <w:rPr>
          <w:rFonts w:ascii="Calibri" w:eastAsia="Calibri" w:hAnsi="Calibri" w:cs="Calibri"/>
        </w:rPr>
        <w:t>)</w:t>
      </w:r>
      <w:r w:rsidR="004C022A">
        <w:rPr>
          <w:rFonts w:ascii="Calibri" w:eastAsia="Calibri" w:hAnsi="Calibri" w:cs="Calibri"/>
        </w:rPr>
        <w:t xml:space="preserve"> </w:t>
      </w:r>
      <w:r w:rsidRPr="5F884969">
        <w:rPr>
          <w:rFonts w:ascii="Calibri" w:eastAsia="Calibri" w:hAnsi="Calibri" w:cs="Calibri"/>
        </w:rPr>
        <w:t xml:space="preserve">show the Black population leading on both indices </w:t>
      </w:r>
      <w:r w:rsidR="00FE2D45">
        <w:rPr>
          <w:rFonts w:ascii="Calibri" w:eastAsia="Calibri" w:hAnsi="Calibri" w:cs="Calibri"/>
        </w:rPr>
        <w:t>relative to other</w:t>
      </w:r>
      <w:r w:rsidRPr="5F884969">
        <w:rPr>
          <w:rFonts w:ascii="Calibri" w:eastAsia="Calibri" w:hAnsi="Calibri" w:cs="Calibri"/>
        </w:rPr>
        <w:t xml:space="preserve"> races, with scores of 85.45 and 71.05, respectively. The data suggests that Blacks living below the poverty line live closer to </w:t>
      </w:r>
      <w:r w:rsidR="00903425">
        <w:rPr>
          <w:rFonts w:ascii="Calibri" w:eastAsia="Calibri" w:hAnsi="Calibri" w:cs="Calibri"/>
        </w:rPr>
        <w:t xml:space="preserve">employment opportunities </w:t>
      </w:r>
      <w:r w:rsidRPr="5F884969">
        <w:rPr>
          <w:rFonts w:ascii="Calibri" w:eastAsia="Calibri" w:hAnsi="Calibri" w:cs="Calibri"/>
        </w:rPr>
        <w:t>and have higher levels of labor engagement than any other race. This might be explained by the growing immigrant population – New Americans from Africa who have fled violence in their home countries in Burundi, Congo, Rwanda, Somalia and Sudan - to Burlington and are concentrated in low-paying occupations (e.g. housekeeping, caregiving and in restaurants as cooks and waiters) - close to where they reside.</w:t>
      </w:r>
    </w:p>
    <w:p w14:paraId="26097053" w14:textId="77777777" w:rsidR="00BD6AD3" w:rsidRDefault="00BD6AD3" w:rsidP="5F884969">
      <w:pPr>
        <w:spacing w:after="0"/>
        <w:ind w:left="900"/>
        <w:rPr>
          <w:rFonts w:ascii="Calibri" w:eastAsia="Calibri" w:hAnsi="Calibri" w:cs="Times New Roman"/>
          <w:b/>
          <w:bCs/>
          <w:i/>
          <w:iCs/>
          <w:sz w:val="20"/>
          <w:szCs w:val="20"/>
          <w:lang w:eastAsia="en-US"/>
        </w:rPr>
      </w:pPr>
    </w:p>
    <w:p w14:paraId="5326D7AC" w14:textId="77777777" w:rsidR="00BD6AD3" w:rsidRDefault="00BD6AD3" w:rsidP="5F884969">
      <w:pPr>
        <w:spacing w:after="0"/>
        <w:ind w:left="900"/>
        <w:rPr>
          <w:rFonts w:ascii="Calibri" w:eastAsia="Calibri" w:hAnsi="Calibri" w:cs="Times New Roman"/>
          <w:b/>
          <w:bCs/>
          <w:i/>
          <w:iCs/>
          <w:sz w:val="20"/>
          <w:szCs w:val="20"/>
          <w:lang w:eastAsia="en-US"/>
        </w:rPr>
      </w:pPr>
    </w:p>
    <w:p w14:paraId="142CD22E" w14:textId="77777777" w:rsidR="00BD6AD3" w:rsidRDefault="00BD6AD3" w:rsidP="5F884969">
      <w:pPr>
        <w:spacing w:after="0"/>
        <w:ind w:left="900"/>
        <w:rPr>
          <w:rFonts w:ascii="Calibri" w:eastAsia="Calibri" w:hAnsi="Calibri" w:cs="Times New Roman"/>
          <w:b/>
          <w:bCs/>
          <w:i/>
          <w:iCs/>
          <w:sz w:val="20"/>
          <w:szCs w:val="20"/>
          <w:lang w:eastAsia="en-US"/>
        </w:rPr>
      </w:pPr>
    </w:p>
    <w:p w14:paraId="1687E962" w14:textId="77777777" w:rsidR="00BD6AD3" w:rsidRDefault="00BD6AD3" w:rsidP="5F884969">
      <w:pPr>
        <w:spacing w:after="0"/>
        <w:ind w:left="900"/>
        <w:rPr>
          <w:rFonts w:ascii="Calibri" w:eastAsia="Calibri" w:hAnsi="Calibri" w:cs="Times New Roman"/>
          <w:b/>
          <w:bCs/>
          <w:i/>
          <w:iCs/>
          <w:sz w:val="20"/>
          <w:szCs w:val="20"/>
          <w:lang w:eastAsia="en-US"/>
        </w:rPr>
      </w:pPr>
    </w:p>
    <w:p w14:paraId="771110B1" w14:textId="77777777" w:rsidR="00BD6AD3" w:rsidRDefault="00BD6AD3" w:rsidP="5F884969">
      <w:pPr>
        <w:spacing w:after="0"/>
        <w:ind w:left="900"/>
        <w:rPr>
          <w:rFonts w:ascii="Calibri" w:eastAsia="Calibri" w:hAnsi="Calibri" w:cs="Times New Roman"/>
          <w:b/>
          <w:bCs/>
          <w:i/>
          <w:iCs/>
          <w:sz w:val="20"/>
          <w:szCs w:val="20"/>
          <w:lang w:eastAsia="en-US"/>
        </w:rPr>
      </w:pPr>
    </w:p>
    <w:p w14:paraId="64BA4A10" w14:textId="77777777" w:rsidR="00BD6AD3" w:rsidRDefault="00BD6AD3" w:rsidP="5F884969">
      <w:pPr>
        <w:spacing w:after="0"/>
        <w:ind w:left="900"/>
        <w:rPr>
          <w:rFonts w:ascii="Calibri" w:eastAsia="Calibri" w:hAnsi="Calibri" w:cs="Times New Roman"/>
          <w:b/>
          <w:bCs/>
          <w:i/>
          <w:iCs/>
          <w:sz w:val="20"/>
          <w:szCs w:val="20"/>
          <w:lang w:eastAsia="en-US"/>
        </w:rPr>
      </w:pPr>
    </w:p>
    <w:p w14:paraId="59B83A14" w14:textId="77777777" w:rsidR="00BD6AD3" w:rsidRDefault="00BD6AD3" w:rsidP="5F884969">
      <w:pPr>
        <w:spacing w:after="0"/>
        <w:ind w:left="900"/>
        <w:rPr>
          <w:rFonts w:ascii="Calibri" w:eastAsia="Calibri" w:hAnsi="Calibri" w:cs="Times New Roman"/>
          <w:b/>
          <w:bCs/>
          <w:i/>
          <w:iCs/>
          <w:sz w:val="20"/>
          <w:szCs w:val="20"/>
          <w:lang w:eastAsia="en-US"/>
        </w:rPr>
      </w:pPr>
    </w:p>
    <w:p w14:paraId="0B98EB2F" w14:textId="77777777" w:rsidR="00BD6AD3" w:rsidRDefault="00BD6AD3" w:rsidP="5F884969">
      <w:pPr>
        <w:spacing w:after="0"/>
        <w:ind w:left="900"/>
        <w:rPr>
          <w:rFonts w:ascii="Calibri" w:eastAsia="Calibri" w:hAnsi="Calibri" w:cs="Times New Roman"/>
          <w:b/>
          <w:bCs/>
          <w:i/>
          <w:iCs/>
          <w:sz w:val="20"/>
          <w:szCs w:val="20"/>
          <w:lang w:eastAsia="en-US"/>
        </w:rPr>
      </w:pPr>
    </w:p>
    <w:p w14:paraId="04831C5B" w14:textId="77777777" w:rsidR="00BD6AD3" w:rsidRDefault="00BD6AD3" w:rsidP="5F884969">
      <w:pPr>
        <w:spacing w:after="0"/>
        <w:ind w:left="900"/>
        <w:rPr>
          <w:rFonts w:ascii="Calibri" w:eastAsia="Calibri" w:hAnsi="Calibri" w:cs="Times New Roman"/>
          <w:b/>
          <w:bCs/>
          <w:i/>
          <w:iCs/>
          <w:sz w:val="20"/>
          <w:szCs w:val="20"/>
          <w:lang w:eastAsia="en-US"/>
        </w:rPr>
      </w:pPr>
    </w:p>
    <w:p w14:paraId="34E37DF7" w14:textId="77777777" w:rsidR="00BD6AD3" w:rsidRDefault="00BD6AD3" w:rsidP="5F884969">
      <w:pPr>
        <w:spacing w:after="0"/>
        <w:ind w:left="900"/>
        <w:rPr>
          <w:rFonts w:ascii="Calibri" w:eastAsia="Calibri" w:hAnsi="Calibri" w:cs="Times New Roman"/>
          <w:b/>
          <w:bCs/>
          <w:i/>
          <w:iCs/>
          <w:sz w:val="20"/>
          <w:szCs w:val="20"/>
          <w:lang w:eastAsia="en-US"/>
        </w:rPr>
      </w:pPr>
    </w:p>
    <w:p w14:paraId="16643B55" w14:textId="77777777" w:rsidR="00BD6AD3" w:rsidRDefault="00BD6AD3" w:rsidP="5F884969">
      <w:pPr>
        <w:spacing w:after="0"/>
        <w:ind w:left="900"/>
        <w:rPr>
          <w:rFonts w:ascii="Calibri" w:eastAsia="Calibri" w:hAnsi="Calibri" w:cs="Times New Roman"/>
          <w:b/>
          <w:bCs/>
          <w:i/>
          <w:iCs/>
          <w:sz w:val="20"/>
          <w:szCs w:val="20"/>
          <w:lang w:eastAsia="en-US"/>
        </w:rPr>
      </w:pPr>
    </w:p>
    <w:p w14:paraId="1CC7C334" w14:textId="25017326" w:rsidR="00C36F58" w:rsidRPr="00C36F58" w:rsidRDefault="5F884969" w:rsidP="5F884969">
      <w:pPr>
        <w:spacing w:after="0"/>
        <w:ind w:left="900"/>
        <w:rPr>
          <w:rFonts w:ascii="Calibri" w:eastAsia="Calibri" w:hAnsi="Calibri" w:cs="Times New Roman"/>
          <w:sz w:val="20"/>
          <w:szCs w:val="20"/>
          <w:lang w:eastAsia="en-US"/>
        </w:rPr>
      </w:pPr>
      <w:r w:rsidRPr="5F884969">
        <w:rPr>
          <w:rFonts w:ascii="Calibri" w:eastAsia="Calibri" w:hAnsi="Calibri" w:cs="Times New Roman"/>
          <w:b/>
          <w:bCs/>
          <w:i/>
          <w:iCs/>
          <w:sz w:val="20"/>
          <w:szCs w:val="20"/>
          <w:lang w:eastAsia="en-US"/>
        </w:rPr>
        <w:t>Figure 21:</w:t>
      </w:r>
      <w:r w:rsidRPr="5F884969">
        <w:rPr>
          <w:rFonts w:ascii="Calibri" w:eastAsia="Calibri" w:hAnsi="Calibri" w:cs="Times New Roman"/>
          <w:sz w:val="20"/>
          <w:szCs w:val="20"/>
          <w:lang w:eastAsia="en-US"/>
        </w:rPr>
        <w:t xml:space="preserve"> Labor Market Engagement Index </w:t>
      </w:r>
      <w:proofErr w:type="gramStart"/>
      <w:r w:rsidRPr="5F884969">
        <w:rPr>
          <w:rFonts w:ascii="Calibri" w:eastAsia="Calibri" w:hAnsi="Calibri" w:cs="Times New Roman"/>
          <w:sz w:val="20"/>
          <w:szCs w:val="20"/>
          <w:lang w:eastAsia="en-US"/>
        </w:rPr>
        <w:t>Among</w:t>
      </w:r>
      <w:proofErr w:type="gramEnd"/>
      <w:r w:rsidRPr="5F884969">
        <w:rPr>
          <w:rFonts w:ascii="Calibri" w:eastAsia="Calibri" w:hAnsi="Calibri" w:cs="Times New Roman"/>
          <w:sz w:val="20"/>
          <w:szCs w:val="20"/>
          <w:lang w:eastAsia="en-US"/>
        </w:rPr>
        <w:t xml:space="preserve"> Racial/Ethnic Groups in Burlington, VT. Source: American Community Survey (ACS), 2009-2013.</w:t>
      </w:r>
    </w:p>
    <w:p w14:paraId="36986D0B" w14:textId="77777777" w:rsidR="00C36F58" w:rsidRDefault="00C36F58" w:rsidP="00FC0590">
      <w:pPr>
        <w:spacing w:after="0"/>
        <w:ind w:left="900"/>
        <w:rPr>
          <w:rFonts w:ascii="Calibri" w:eastAsia="Calibri" w:hAnsi="Calibri" w:cs="Times New Roman"/>
          <w:lang w:eastAsia="en-US"/>
        </w:rPr>
      </w:pPr>
      <w:r w:rsidRPr="00C36F58">
        <w:rPr>
          <w:rFonts w:ascii="Calibri" w:eastAsia="Calibri" w:hAnsi="Calibri" w:cs="Times New Roman"/>
          <w:noProof/>
          <w:lang w:eastAsia="en-US"/>
        </w:rPr>
        <w:drawing>
          <wp:inline distT="0" distB="0" distL="0" distR="0" wp14:anchorId="40855683" wp14:editId="08E91662">
            <wp:extent cx="5309235" cy="2428240"/>
            <wp:effectExtent l="0" t="0" r="24765" b="10160"/>
            <wp:docPr id="53" name="Chart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7AA798" w14:textId="77777777" w:rsidR="00FA20F9" w:rsidRPr="00C36F58" w:rsidRDefault="00FA20F9" w:rsidP="00C36F58">
      <w:pPr>
        <w:spacing w:after="0"/>
        <w:rPr>
          <w:rFonts w:ascii="Calibri" w:eastAsia="Calibri" w:hAnsi="Calibri" w:cs="Times New Roman"/>
          <w:lang w:eastAsia="en-US"/>
        </w:rPr>
      </w:pPr>
    </w:p>
    <w:p w14:paraId="109C1FF5" w14:textId="77777777" w:rsidR="00C36F58" w:rsidRPr="00C36F58" w:rsidRDefault="5F884969" w:rsidP="5F884969">
      <w:pPr>
        <w:spacing w:after="0"/>
        <w:ind w:left="900"/>
        <w:rPr>
          <w:rFonts w:ascii="Calibri" w:eastAsia="Calibri" w:hAnsi="Calibri" w:cs="Times New Roman"/>
          <w:sz w:val="20"/>
          <w:szCs w:val="20"/>
          <w:lang w:eastAsia="en-US"/>
        </w:rPr>
      </w:pPr>
      <w:r w:rsidRPr="5F884969">
        <w:rPr>
          <w:rFonts w:ascii="Calibri" w:eastAsia="Calibri" w:hAnsi="Calibri" w:cs="Times New Roman"/>
          <w:b/>
          <w:bCs/>
          <w:i/>
          <w:iCs/>
          <w:sz w:val="20"/>
          <w:szCs w:val="20"/>
          <w:lang w:eastAsia="en-US"/>
        </w:rPr>
        <w:t>Figure 22:</w:t>
      </w:r>
      <w:r w:rsidRPr="5F884969">
        <w:rPr>
          <w:rFonts w:ascii="Calibri" w:eastAsia="Calibri" w:hAnsi="Calibri" w:cs="Times New Roman"/>
          <w:sz w:val="20"/>
          <w:szCs w:val="20"/>
          <w:lang w:eastAsia="en-US"/>
        </w:rPr>
        <w:t xml:space="preserve"> Jobs Proximity Index </w:t>
      </w:r>
      <w:proofErr w:type="gramStart"/>
      <w:r w:rsidRPr="5F884969">
        <w:rPr>
          <w:rFonts w:ascii="Calibri" w:eastAsia="Calibri" w:hAnsi="Calibri" w:cs="Times New Roman"/>
          <w:sz w:val="20"/>
          <w:szCs w:val="20"/>
          <w:lang w:eastAsia="en-US"/>
        </w:rPr>
        <w:t>Among</w:t>
      </w:r>
      <w:proofErr w:type="gramEnd"/>
      <w:r w:rsidRPr="5F884969">
        <w:rPr>
          <w:rFonts w:ascii="Calibri" w:eastAsia="Calibri" w:hAnsi="Calibri" w:cs="Times New Roman"/>
          <w:sz w:val="20"/>
          <w:szCs w:val="20"/>
          <w:lang w:eastAsia="en-US"/>
        </w:rPr>
        <w:t xml:space="preserve"> Racial/Ethnic Groups in Burlington, VT. Source: Longitudinal Employer-Household Dynamics (LEHD), 2014.</w:t>
      </w:r>
    </w:p>
    <w:p w14:paraId="09E2AFF6" w14:textId="467B147D" w:rsidR="00903425" w:rsidRPr="00210EF0" w:rsidRDefault="00C36F58" w:rsidP="00210EF0">
      <w:pPr>
        <w:spacing w:after="0"/>
        <w:ind w:left="900"/>
        <w:rPr>
          <w:rFonts w:ascii="Calibri" w:eastAsia="Calibri" w:hAnsi="Calibri" w:cs="Times New Roman"/>
          <w:lang w:eastAsia="en-US"/>
        </w:rPr>
      </w:pPr>
      <w:r w:rsidRPr="00C36F58">
        <w:rPr>
          <w:rFonts w:ascii="Calibri" w:eastAsia="Calibri" w:hAnsi="Calibri" w:cs="Times New Roman"/>
          <w:noProof/>
          <w:lang w:eastAsia="en-US"/>
        </w:rPr>
        <w:drawing>
          <wp:inline distT="0" distB="0" distL="0" distR="0" wp14:anchorId="09329B78" wp14:editId="14086AC7">
            <wp:extent cx="5309235" cy="2288540"/>
            <wp:effectExtent l="0" t="0" r="24765" b="22860"/>
            <wp:docPr id="54" name="Chart 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D4BA2F4" w14:textId="77777777" w:rsidR="00B102CC" w:rsidRDefault="00B102CC" w:rsidP="002F7C2E">
      <w:pPr>
        <w:pStyle w:val="ListParagraph"/>
        <w:widowControl w:val="0"/>
        <w:autoSpaceDE w:val="0"/>
        <w:autoSpaceDN w:val="0"/>
        <w:adjustRightInd w:val="0"/>
        <w:ind w:left="900"/>
        <w:outlineLvl w:val="0"/>
        <w:rPr>
          <w:rFonts w:ascii="Calibri" w:hAnsi="Calibri" w:cs="Calibri"/>
          <w:b/>
          <w:bCs/>
          <w:i/>
          <w:iCs/>
          <w:color w:val="000000" w:themeColor="text1"/>
        </w:rPr>
      </w:pPr>
    </w:p>
    <w:p w14:paraId="3BAFD761" w14:textId="77777777" w:rsidR="006C5C19" w:rsidRPr="006352A4" w:rsidRDefault="5F884969" w:rsidP="002F7C2E">
      <w:pPr>
        <w:pStyle w:val="ListParagraph"/>
        <w:widowControl w:val="0"/>
        <w:autoSpaceDE w:val="0"/>
        <w:autoSpaceDN w:val="0"/>
        <w:adjustRightInd w:val="0"/>
        <w:ind w:left="900"/>
        <w:outlineLvl w:val="0"/>
        <w:rPr>
          <w:rFonts w:ascii="Calibri" w:hAnsi="Calibri" w:cs="Calibri"/>
          <w:b/>
          <w:bCs/>
          <w:i/>
          <w:iCs/>
          <w:color w:val="000000" w:themeColor="text1"/>
        </w:rPr>
      </w:pPr>
      <w:r w:rsidRPr="5F884969">
        <w:rPr>
          <w:rFonts w:ascii="Calibri" w:hAnsi="Calibri" w:cs="Calibri"/>
          <w:b/>
          <w:bCs/>
          <w:i/>
          <w:iCs/>
          <w:color w:val="000000" w:themeColor="text1"/>
        </w:rPr>
        <w:t>Burlington-South Burlington Region</w:t>
      </w:r>
    </w:p>
    <w:p w14:paraId="63E675C2" w14:textId="0F1B2F0C" w:rsidR="006C5C19"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The Labor Market Engagement Index within the greater Burlington-South Burlington region (</w:t>
      </w:r>
      <w:r w:rsidRPr="002115E3">
        <w:rPr>
          <w:rFonts w:ascii="Calibri" w:hAnsi="Calibri" w:cs="Times"/>
          <w:color w:val="000000" w:themeColor="text1"/>
        </w:rPr>
        <w:t>figure 23</w:t>
      </w:r>
      <w:r w:rsidRPr="5F884969">
        <w:rPr>
          <w:rFonts w:ascii="Calibri" w:hAnsi="Calibri" w:cs="Times"/>
          <w:color w:val="000000" w:themeColor="text1"/>
        </w:rPr>
        <w:t>) shows, overall, slightly higher labor market engagement when compared to the Burlington jurisdiction. Asian or Pacific Islanders have the highest level of labor market engag</w:t>
      </w:r>
      <w:r w:rsidR="003139A4">
        <w:rPr>
          <w:rFonts w:ascii="Calibri" w:hAnsi="Calibri" w:cs="Times"/>
          <w:color w:val="000000" w:themeColor="text1"/>
        </w:rPr>
        <w:t>e</w:t>
      </w:r>
      <w:r w:rsidRPr="5F884969">
        <w:rPr>
          <w:rFonts w:ascii="Calibri" w:hAnsi="Calibri" w:cs="Times"/>
          <w:color w:val="000000" w:themeColor="text1"/>
        </w:rPr>
        <w:t>ment at the regional level, with 81.4 index points. The Native American population, however, has much labor market engagement with 67.01 index points. The disparity in labor market access between these two groups is higher than that found within Burlington, showing a difference of 14.39 index points.</w:t>
      </w:r>
    </w:p>
    <w:p w14:paraId="1B40854C" w14:textId="77777777" w:rsidR="006C5C19" w:rsidRDefault="006C5C19" w:rsidP="006C5C19">
      <w:pPr>
        <w:pStyle w:val="ListParagraph"/>
        <w:widowControl w:val="0"/>
        <w:autoSpaceDE w:val="0"/>
        <w:autoSpaceDN w:val="0"/>
        <w:adjustRightInd w:val="0"/>
        <w:ind w:left="900"/>
        <w:rPr>
          <w:rFonts w:ascii="Calibri" w:hAnsi="Calibri" w:cs="Times"/>
          <w:color w:val="000000" w:themeColor="text1"/>
        </w:rPr>
      </w:pPr>
    </w:p>
    <w:p w14:paraId="48928B7C" w14:textId="5CB3A4FD" w:rsidR="006C5C19" w:rsidRPr="00CF2411"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Interestingly, while Asian or Pacific Islanders experience the lowest level of labor market engagement at the regional level (highest index value), they live closer to their jobs than any other race, according to the Jobs Proximity Index, with 52.76 index points (</w:t>
      </w:r>
      <w:r w:rsidRPr="002115E3">
        <w:rPr>
          <w:rFonts w:ascii="Calibri" w:hAnsi="Calibri" w:cs="Times"/>
          <w:color w:val="000000" w:themeColor="text1"/>
        </w:rPr>
        <w:t>figure 24</w:t>
      </w:r>
      <w:r w:rsidRPr="5F884969">
        <w:rPr>
          <w:rFonts w:ascii="Calibri" w:hAnsi="Calibri" w:cs="Times"/>
          <w:color w:val="000000" w:themeColor="text1"/>
        </w:rPr>
        <w:t xml:space="preserve">). Showing </w:t>
      </w:r>
      <w:r w:rsidRPr="5F884969">
        <w:rPr>
          <w:rFonts w:ascii="Calibri" w:hAnsi="Calibri" w:cs="Times"/>
          <w:color w:val="000000" w:themeColor="text1"/>
        </w:rPr>
        <w:lastRenderedPageBreak/>
        <w:t>a similar but not quite as dramatic of a reversal, the Native American population had the lowest labor market index rating, but has the second highest Jobs Proximity Index rating, at 62.38 index points. The Hispanic population at the regional level has the highest proximity to jobs with 63.15 index points.</w:t>
      </w:r>
    </w:p>
    <w:p w14:paraId="14645E2C" w14:textId="21D569EE" w:rsidR="00E6668E" w:rsidRDefault="5F884969" w:rsidP="006C5C19">
      <w:pPr>
        <w:ind w:left="900"/>
      </w:pPr>
      <w:r>
        <w:t>In the Burlington-South Burlington region, Blacks also have the highest scores on both the Labor Market Engagement Index and Jobs Proximity Index across all races, that is, 82.99 and 55.83, respectively, although there’s not significant variation across the races on these two indices. However, the data does suggest that low-income people in Burlington are closer to jobs than their counterparts in the region, as a whole.</w:t>
      </w:r>
    </w:p>
    <w:p w14:paraId="6BAEA452" w14:textId="77777777" w:rsidR="00005881" w:rsidRPr="00005881" w:rsidRDefault="00005881" w:rsidP="00005881">
      <w:pPr>
        <w:spacing w:after="0"/>
        <w:ind w:left="900"/>
        <w:rPr>
          <w:rFonts w:ascii="Calibri" w:eastAsia="Calibri" w:hAnsi="Calibri" w:cs="Times"/>
          <w:noProof/>
          <w:sz w:val="20"/>
          <w:szCs w:val="20"/>
          <w:lang w:eastAsia="en-US"/>
        </w:rPr>
      </w:pPr>
      <w:r w:rsidRPr="00005881">
        <w:rPr>
          <w:rFonts w:ascii="Calibri" w:eastAsia="Calibri" w:hAnsi="Calibri" w:cs="Times"/>
          <w:b/>
          <w:i/>
          <w:noProof/>
          <w:sz w:val="20"/>
          <w:szCs w:val="20"/>
          <w:lang w:eastAsia="en-US"/>
        </w:rPr>
        <w:t>Figure 23:</w:t>
      </w:r>
      <w:r w:rsidRPr="00005881">
        <w:rPr>
          <w:rFonts w:ascii="Calibri" w:eastAsia="Calibri" w:hAnsi="Calibri" w:cs="Times"/>
          <w:noProof/>
          <w:sz w:val="20"/>
          <w:szCs w:val="20"/>
          <w:lang w:eastAsia="en-US"/>
        </w:rPr>
        <w:t xml:space="preserve"> Labor Market Engagement Index Among Racial/Ethnic Groups in the Burlington-South Burlington Region. Source: American Community Survey (ACS), 2009-2013.</w:t>
      </w:r>
    </w:p>
    <w:p w14:paraId="6BC28E5A" w14:textId="038B6484" w:rsidR="00300899" w:rsidRDefault="00005881" w:rsidP="00300899">
      <w:pPr>
        <w:spacing w:after="0"/>
        <w:ind w:left="900"/>
        <w:rPr>
          <w:rFonts w:ascii="Calibri" w:eastAsia="Calibri" w:hAnsi="Calibri" w:cs="Times"/>
          <w:noProof/>
          <w:lang w:eastAsia="en-US"/>
        </w:rPr>
      </w:pPr>
      <w:r w:rsidRPr="00005881">
        <w:rPr>
          <w:rFonts w:ascii="Calibri" w:eastAsia="Calibri" w:hAnsi="Calibri" w:cs="Times New Roman"/>
          <w:noProof/>
          <w:lang w:eastAsia="en-US"/>
        </w:rPr>
        <w:drawing>
          <wp:inline distT="0" distB="0" distL="0" distR="0" wp14:anchorId="538F6E85" wp14:editId="40B31F17">
            <wp:extent cx="5309235" cy="2758440"/>
            <wp:effectExtent l="0" t="0" r="24765" b="10160"/>
            <wp:docPr id="57" name="Chart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66B0E9D" w14:textId="77777777" w:rsidR="00A62C24" w:rsidRDefault="00A62C24" w:rsidP="00300899">
      <w:pPr>
        <w:spacing w:after="0"/>
        <w:ind w:left="900"/>
        <w:rPr>
          <w:rFonts w:ascii="Calibri" w:eastAsia="Calibri" w:hAnsi="Calibri" w:cs="Times"/>
          <w:noProof/>
          <w:lang w:eastAsia="en-US"/>
        </w:rPr>
      </w:pPr>
    </w:p>
    <w:p w14:paraId="041CA1D0" w14:textId="77777777" w:rsidR="00A62C24" w:rsidRDefault="00A62C24" w:rsidP="00300899">
      <w:pPr>
        <w:spacing w:after="0"/>
        <w:ind w:left="900"/>
        <w:rPr>
          <w:rFonts w:ascii="Calibri" w:eastAsia="Calibri" w:hAnsi="Calibri" w:cs="Times"/>
          <w:noProof/>
          <w:lang w:eastAsia="en-US"/>
        </w:rPr>
      </w:pPr>
    </w:p>
    <w:p w14:paraId="1E44F41D" w14:textId="77777777" w:rsidR="00BD6AD3" w:rsidRDefault="00BD6AD3" w:rsidP="00300899">
      <w:pPr>
        <w:spacing w:after="0"/>
        <w:ind w:left="900"/>
        <w:rPr>
          <w:rFonts w:ascii="Calibri" w:eastAsia="Calibri" w:hAnsi="Calibri" w:cs="Times"/>
          <w:noProof/>
          <w:lang w:eastAsia="en-US"/>
        </w:rPr>
      </w:pPr>
    </w:p>
    <w:p w14:paraId="5655B3E8" w14:textId="77777777" w:rsidR="00BD6AD3" w:rsidRDefault="00BD6AD3" w:rsidP="00300899">
      <w:pPr>
        <w:spacing w:after="0"/>
        <w:ind w:left="900"/>
        <w:rPr>
          <w:rFonts w:ascii="Calibri" w:eastAsia="Calibri" w:hAnsi="Calibri" w:cs="Times"/>
          <w:noProof/>
          <w:lang w:eastAsia="en-US"/>
        </w:rPr>
      </w:pPr>
    </w:p>
    <w:p w14:paraId="30E3AE0A" w14:textId="77777777" w:rsidR="00BD6AD3" w:rsidRDefault="00BD6AD3" w:rsidP="00300899">
      <w:pPr>
        <w:spacing w:after="0"/>
        <w:ind w:left="900"/>
        <w:rPr>
          <w:rFonts w:ascii="Calibri" w:eastAsia="Calibri" w:hAnsi="Calibri" w:cs="Times"/>
          <w:noProof/>
          <w:lang w:eastAsia="en-US"/>
        </w:rPr>
      </w:pPr>
    </w:p>
    <w:p w14:paraId="2998788C" w14:textId="77777777" w:rsidR="00BD6AD3" w:rsidRDefault="00BD6AD3" w:rsidP="00300899">
      <w:pPr>
        <w:spacing w:after="0"/>
        <w:ind w:left="900"/>
        <w:rPr>
          <w:rFonts w:ascii="Calibri" w:eastAsia="Calibri" w:hAnsi="Calibri" w:cs="Times"/>
          <w:noProof/>
          <w:lang w:eastAsia="en-US"/>
        </w:rPr>
      </w:pPr>
    </w:p>
    <w:p w14:paraId="59554E34" w14:textId="77777777" w:rsidR="00BD6AD3" w:rsidRDefault="00BD6AD3" w:rsidP="00300899">
      <w:pPr>
        <w:spacing w:after="0"/>
        <w:ind w:left="900"/>
        <w:rPr>
          <w:rFonts w:ascii="Calibri" w:eastAsia="Calibri" w:hAnsi="Calibri" w:cs="Times"/>
          <w:noProof/>
          <w:lang w:eastAsia="en-US"/>
        </w:rPr>
      </w:pPr>
    </w:p>
    <w:p w14:paraId="38A5F556" w14:textId="77777777" w:rsidR="00BD6AD3" w:rsidRDefault="00BD6AD3" w:rsidP="00300899">
      <w:pPr>
        <w:spacing w:after="0"/>
        <w:ind w:left="900"/>
        <w:rPr>
          <w:rFonts w:ascii="Calibri" w:eastAsia="Calibri" w:hAnsi="Calibri" w:cs="Times"/>
          <w:noProof/>
          <w:lang w:eastAsia="en-US"/>
        </w:rPr>
      </w:pPr>
    </w:p>
    <w:p w14:paraId="51C1B2EB" w14:textId="77777777" w:rsidR="00BD6AD3" w:rsidRDefault="00BD6AD3" w:rsidP="00300899">
      <w:pPr>
        <w:spacing w:after="0"/>
        <w:ind w:left="900"/>
        <w:rPr>
          <w:rFonts w:ascii="Calibri" w:eastAsia="Calibri" w:hAnsi="Calibri" w:cs="Times"/>
          <w:noProof/>
          <w:lang w:eastAsia="en-US"/>
        </w:rPr>
      </w:pPr>
    </w:p>
    <w:p w14:paraId="0EF9B093" w14:textId="77777777" w:rsidR="00BD6AD3" w:rsidRDefault="00BD6AD3" w:rsidP="00300899">
      <w:pPr>
        <w:spacing w:after="0"/>
        <w:ind w:left="900"/>
        <w:rPr>
          <w:rFonts w:ascii="Calibri" w:eastAsia="Calibri" w:hAnsi="Calibri" w:cs="Times"/>
          <w:noProof/>
          <w:lang w:eastAsia="en-US"/>
        </w:rPr>
      </w:pPr>
    </w:p>
    <w:p w14:paraId="1BF7AAA8" w14:textId="77777777" w:rsidR="00BD6AD3" w:rsidRDefault="00BD6AD3" w:rsidP="00300899">
      <w:pPr>
        <w:spacing w:after="0"/>
        <w:ind w:left="900"/>
        <w:rPr>
          <w:rFonts w:ascii="Calibri" w:eastAsia="Calibri" w:hAnsi="Calibri" w:cs="Times"/>
          <w:noProof/>
          <w:lang w:eastAsia="en-US"/>
        </w:rPr>
      </w:pPr>
    </w:p>
    <w:p w14:paraId="075AABCD" w14:textId="77777777" w:rsidR="00BD6AD3" w:rsidRDefault="00BD6AD3" w:rsidP="00300899">
      <w:pPr>
        <w:spacing w:after="0"/>
        <w:ind w:left="900"/>
        <w:rPr>
          <w:rFonts w:ascii="Calibri" w:eastAsia="Calibri" w:hAnsi="Calibri" w:cs="Times"/>
          <w:noProof/>
          <w:lang w:eastAsia="en-US"/>
        </w:rPr>
      </w:pPr>
    </w:p>
    <w:p w14:paraId="3C7D96DD" w14:textId="77777777" w:rsidR="00BD6AD3" w:rsidRDefault="00BD6AD3" w:rsidP="00300899">
      <w:pPr>
        <w:spacing w:after="0"/>
        <w:ind w:left="900"/>
        <w:rPr>
          <w:rFonts w:ascii="Calibri" w:eastAsia="Calibri" w:hAnsi="Calibri" w:cs="Times"/>
          <w:noProof/>
          <w:lang w:eastAsia="en-US"/>
        </w:rPr>
      </w:pPr>
    </w:p>
    <w:p w14:paraId="39116963" w14:textId="77777777" w:rsidR="00BD6AD3" w:rsidRDefault="00BD6AD3" w:rsidP="00300899">
      <w:pPr>
        <w:spacing w:after="0"/>
        <w:ind w:left="900"/>
        <w:rPr>
          <w:rFonts w:ascii="Calibri" w:eastAsia="Calibri" w:hAnsi="Calibri" w:cs="Times"/>
          <w:noProof/>
          <w:lang w:eastAsia="en-US"/>
        </w:rPr>
      </w:pPr>
    </w:p>
    <w:p w14:paraId="6C04D148" w14:textId="77777777" w:rsidR="00BD6AD3" w:rsidRDefault="00BD6AD3" w:rsidP="00300899">
      <w:pPr>
        <w:spacing w:after="0"/>
        <w:ind w:left="900"/>
        <w:rPr>
          <w:rFonts w:ascii="Calibri" w:eastAsia="Calibri" w:hAnsi="Calibri" w:cs="Times"/>
          <w:noProof/>
          <w:lang w:eastAsia="en-US"/>
        </w:rPr>
      </w:pPr>
    </w:p>
    <w:p w14:paraId="597856F1" w14:textId="77777777" w:rsidR="00A62C24" w:rsidRDefault="00A62C24" w:rsidP="00300899">
      <w:pPr>
        <w:spacing w:after="0"/>
        <w:ind w:left="900"/>
        <w:rPr>
          <w:rFonts w:ascii="Calibri" w:eastAsia="Calibri" w:hAnsi="Calibri" w:cs="Times"/>
          <w:noProof/>
          <w:lang w:eastAsia="en-US"/>
        </w:rPr>
      </w:pPr>
    </w:p>
    <w:p w14:paraId="21DC0C88" w14:textId="77777777" w:rsidR="00300899" w:rsidRPr="00005881" w:rsidRDefault="00300899" w:rsidP="00005881">
      <w:pPr>
        <w:spacing w:after="0"/>
        <w:rPr>
          <w:rFonts w:ascii="Calibri" w:eastAsia="Calibri" w:hAnsi="Calibri" w:cs="Times"/>
          <w:noProof/>
          <w:lang w:eastAsia="en-US"/>
        </w:rPr>
      </w:pPr>
    </w:p>
    <w:p w14:paraId="3C606588" w14:textId="77777777" w:rsidR="00005881" w:rsidRPr="00005881" w:rsidRDefault="5F884969" w:rsidP="5F884969">
      <w:pPr>
        <w:spacing w:after="0"/>
        <w:ind w:left="900"/>
        <w:rPr>
          <w:rFonts w:ascii="Calibri" w:eastAsia="Calibri" w:hAnsi="Calibri" w:cs="Times"/>
          <w:noProof/>
          <w:sz w:val="20"/>
          <w:szCs w:val="20"/>
          <w:lang w:eastAsia="en-US"/>
        </w:rPr>
      </w:pPr>
      <w:r w:rsidRPr="5F884969">
        <w:rPr>
          <w:rFonts w:ascii="Calibri" w:eastAsia="Calibri" w:hAnsi="Calibri" w:cs="Times"/>
          <w:b/>
          <w:bCs/>
          <w:i/>
          <w:iCs/>
          <w:noProof/>
          <w:sz w:val="20"/>
          <w:szCs w:val="20"/>
          <w:lang w:eastAsia="en-US"/>
        </w:rPr>
        <w:lastRenderedPageBreak/>
        <w:t>Figure 24:</w:t>
      </w:r>
      <w:r w:rsidRPr="5F884969">
        <w:rPr>
          <w:rFonts w:ascii="Calibri" w:eastAsia="Calibri" w:hAnsi="Calibri" w:cs="Times"/>
          <w:noProof/>
          <w:sz w:val="20"/>
          <w:szCs w:val="20"/>
          <w:lang w:eastAsia="en-US"/>
        </w:rPr>
        <w:t xml:space="preserve"> Jobs Proximity Index Among Racial/Ethnic Groups in the Burlington-South Burlington Region. Source: </w:t>
      </w:r>
      <w:r w:rsidRPr="5F884969">
        <w:rPr>
          <w:rFonts w:ascii="Calibri" w:eastAsia="Calibri" w:hAnsi="Calibri" w:cs="Times New Roman"/>
          <w:sz w:val="20"/>
          <w:szCs w:val="20"/>
          <w:lang w:eastAsia="en-US"/>
        </w:rPr>
        <w:t>Longitudinal Employer-Household Dynamics (LEHD), 2014.</w:t>
      </w:r>
    </w:p>
    <w:p w14:paraId="5923F589" w14:textId="77777777" w:rsidR="00005881" w:rsidRDefault="00005881" w:rsidP="00300899">
      <w:pPr>
        <w:spacing w:after="0"/>
        <w:ind w:left="900"/>
        <w:rPr>
          <w:rFonts w:ascii="Calibri" w:eastAsia="Calibri" w:hAnsi="Calibri" w:cs="Times New Roman"/>
          <w:lang w:eastAsia="en-US"/>
        </w:rPr>
      </w:pPr>
      <w:r w:rsidRPr="00005881">
        <w:rPr>
          <w:rFonts w:ascii="Calibri" w:eastAsia="Calibri" w:hAnsi="Calibri" w:cs="Times New Roman"/>
          <w:noProof/>
          <w:lang w:eastAsia="en-US"/>
        </w:rPr>
        <w:drawing>
          <wp:inline distT="0" distB="0" distL="0" distR="0" wp14:anchorId="6955E9F9" wp14:editId="061EEABB">
            <wp:extent cx="5562600" cy="2576830"/>
            <wp:effectExtent l="0" t="0" r="0" b="13970"/>
            <wp:docPr id="58" name="Chart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F29A562" w14:textId="77777777" w:rsidR="00A62C24" w:rsidRPr="00005881" w:rsidRDefault="00A62C24" w:rsidP="00300899">
      <w:pPr>
        <w:spacing w:after="0"/>
        <w:ind w:left="900"/>
        <w:rPr>
          <w:rFonts w:ascii="Calibri" w:eastAsia="Calibri" w:hAnsi="Calibri" w:cs="Times New Roman"/>
          <w:lang w:eastAsia="en-US"/>
        </w:rPr>
      </w:pPr>
    </w:p>
    <w:p w14:paraId="11CA3B6F" w14:textId="4A76EA11" w:rsidR="00BB6B94" w:rsidRPr="00BD6AD3" w:rsidRDefault="5F884969" w:rsidP="5F884969">
      <w:pPr>
        <w:pStyle w:val="ListParagraph"/>
        <w:widowControl w:val="0"/>
        <w:autoSpaceDE w:val="0"/>
        <w:autoSpaceDN w:val="0"/>
        <w:adjustRightInd w:val="0"/>
        <w:spacing w:after="0" w:line="240" w:lineRule="auto"/>
        <w:ind w:left="900"/>
        <w:rPr>
          <w:rFonts w:ascii="Calibri" w:hAnsi="Calibri" w:cs="Calibri"/>
          <w:b/>
          <w:bCs/>
          <w:i/>
          <w:color w:val="000000" w:themeColor="text1"/>
        </w:rPr>
      </w:pPr>
      <w:r w:rsidRPr="00BD6AD3">
        <w:rPr>
          <w:rFonts w:ascii="Calibri" w:hAnsi="Calibri" w:cs="Calibri"/>
          <w:b/>
          <w:bCs/>
          <w:i/>
          <w:color w:val="000000" w:themeColor="text1"/>
        </w:rPr>
        <w:t>For the protected class groups HUD has provided data, describe how disparities in access to employment relate to residential living patterns in the jurisdiction and region.</w:t>
      </w:r>
    </w:p>
    <w:p w14:paraId="10AAA816" w14:textId="77777777" w:rsidR="00300899" w:rsidRPr="00300899" w:rsidRDefault="00300899" w:rsidP="00300899">
      <w:pPr>
        <w:pStyle w:val="ListParagraph"/>
        <w:widowControl w:val="0"/>
        <w:autoSpaceDE w:val="0"/>
        <w:autoSpaceDN w:val="0"/>
        <w:adjustRightInd w:val="0"/>
        <w:spacing w:after="0" w:line="240" w:lineRule="auto"/>
        <w:ind w:left="900"/>
        <w:rPr>
          <w:rFonts w:ascii="Calibri" w:hAnsi="Calibri" w:cs="Calibri"/>
          <w:b/>
          <w:bCs/>
          <w:color w:val="000000"/>
        </w:rPr>
      </w:pPr>
    </w:p>
    <w:p w14:paraId="4C509519" w14:textId="7EF87468" w:rsidR="006C5C19" w:rsidRPr="004062DB" w:rsidRDefault="5F884969" w:rsidP="006C5C19">
      <w:pPr>
        <w:ind w:left="900"/>
      </w:pPr>
      <w:r>
        <w:t>Generally, an individual's residential location has implications for their ability to get a job. Proximity matters for lower-income workers and people with disabilities or they should have easy access to reliable transportation – personal or public – in order to access jobs and keep employment. For low-income residents, living closer to jobs increases the likelihood of working and leaving welfare. Many workers without access to a car could spend hours on multiple buses traveling to work and some might be unable to get these jobs at all.</w:t>
      </w:r>
    </w:p>
    <w:p w14:paraId="7DDC0412" w14:textId="2469AB9D" w:rsidR="006C5C19" w:rsidRPr="006C5C19" w:rsidRDefault="5F884969" w:rsidP="006C5C19">
      <w:pPr>
        <w:ind w:left="900"/>
      </w:pPr>
      <w:r>
        <w:t xml:space="preserve">Notwithstanding the foregoing, as noted, low-income Blacks in Burlington, including immigrant populations, have good access to transportation or live close to jobs. Therefore, given the high Jobs Proximity Index for this group, place of residence does not appear to be a significant barrier to employment. </w:t>
      </w:r>
      <w:r w:rsidR="004C022A">
        <w:t>Regarding</w:t>
      </w:r>
      <w:r>
        <w:t xml:space="preserve"> other groups, data levels are much lower when compared with Blacks, although fairly consistent throughout the city.</w:t>
      </w:r>
    </w:p>
    <w:p w14:paraId="3640522F" w14:textId="77777777" w:rsidR="00A37730" w:rsidRPr="006352A4" w:rsidRDefault="00A37730" w:rsidP="00A37730">
      <w:pPr>
        <w:pStyle w:val="ListParagraph"/>
        <w:widowControl w:val="0"/>
        <w:autoSpaceDE w:val="0"/>
        <w:autoSpaceDN w:val="0"/>
        <w:adjustRightInd w:val="0"/>
        <w:ind w:left="900"/>
        <w:outlineLvl w:val="0"/>
        <w:rPr>
          <w:rFonts w:ascii="Calibri" w:hAnsi="Calibri" w:cs="Calibri"/>
          <w:b/>
          <w:bCs/>
          <w:i/>
          <w:iCs/>
          <w:color w:val="000000" w:themeColor="text1"/>
        </w:rPr>
      </w:pPr>
      <w:r w:rsidRPr="5F884969">
        <w:rPr>
          <w:rFonts w:ascii="Calibri" w:hAnsi="Calibri" w:cs="Calibri"/>
          <w:b/>
          <w:bCs/>
          <w:i/>
          <w:iCs/>
          <w:color w:val="000000" w:themeColor="text1"/>
        </w:rPr>
        <w:t>Burlington-South Burlington Region</w:t>
      </w:r>
    </w:p>
    <w:p w14:paraId="44D4840F" w14:textId="6E524CF2" w:rsidR="00E6668E" w:rsidRDefault="5F884969" w:rsidP="006C5C19">
      <w:pPr>
        <w:ind w:left="900"/>
      </w:pPr>
      <w:r>
        <w:t>Finally, it should be noted that the jobless rate in the Burlington-South Burlington region was</w:t>
      </w:r>
      <w:r w:rsidR="00A9157D">
        <w:t xml:space="preserve"> a low 2.6 percent in June 2017,</w:t>
      </w:r>
      <w:r>
        <w:t xml:space="preserve"> slightly up from the 2.3 percent recorded the previous month, according to the Vermont Department of Labor. Such a low unemployment rate would suggest that, the number of persons actively seeking work in the region is low relative to the population of active workers. </w:t>
      </w:r>
    </w:p>
    <w:p w14:paraId="7BBA9171" w14:textId="77777777" w:rsidR="00A62C24" w:rsidRDefault="00A62C24" w:rsidP="006C5C19">
      <w:pPr>
        <w:ind w:left="900"/>
      </w:pPr>
    </w:p>
    <w:p w14:paraId="3F6A8B2B" w14:textId="77777777" w:rsidR="00A62C24" w:rsidRDefault="00A62C24" w:rsidP="006C5C19">
      <w:pPr>
        <w:ind w:left="900"/>
      </w:pPr>
    </w:p>
    <w:p w14:paraId="7569D8D8" w14:textId="77777777" w:rsidR="00A62C24" w:rsidRDefault="00A62C24" w:rsidP="006C5C19">
      <w:pPr>
        <w:ind w:left="900"/>
      </w:pPr>
    </w:p>
    <w:p w14:paraId="02FBCBC1" w14:textId="77777777" w:rsidR="00A9157D" w:rsidRDefault="00A9157D" w:rsidP="002115E3"/>
    <w:p w14:paraId="27F85048" w14:textId="0F6F7CA2" w:rsidR="000F6615" w:rsidRPr="00BC3B76" w:rsidRDefault="5F884969" w:rsidP="5F884969">
      <w:pPr>
        <w:spacing w:after="0"/>
        <w:ind w:left="900"/>
        <w:rPr>
          <w:sz w:val="20"/>
          <w:szCs w:val="20"/>
        </w:rPr>
      </w:pPr>
      <w:bookmarkStart w:id="34" w:name="_Hlk489364248"/>
      <w:r w:rsidRPr="5F884969">
        <w:rPr>
          <w:b/>
          <w:bCs/>
          <w:i/>
          <w:iCs/>
          <w:sz w:val="20"/>
          <w:szCs w:val="20"/>
        </w:rPr>
        <w:lastRenderedPageBreak/>
        <w:t>Map 9:</w:t>
      </w:r>
      <w:r w:rsidRPr="5F884969">
        <w:rPr>
          <w:sz w:val="20"/>
          <w:szCs w:val="20"/>
        </w:rPr>
        <w:t xml:space="preserve"> Map showing the Jobs Proximity Index in the Burlington, VT area. </w:t>
      </w:r>
    </w:p>
    <w:p w14:paraId="7C2CAEBF" w14:textId="77777777" w:rsidR="000F6615" w:rsidRDefault="000F6615" w:rsidP="00BC3B76">
      <w:pPr>
        <w:spacing w:after="0"/>
        <w:ind w:left="900"/>
        <w:rPr>
          <w:rFonts w:ascii="Calibri" w:hAnsi="Calibri" w:cs="Calibri"/>
          <w:bCs/>
        </w:rPr>
      </w:pPr>
      <w:r>
        <w:rPr>
          <w:rFonts w:ascii="Calibri" w:hAnsi="Calibri" w:cs="Calibri"/>
          <w:bCs/>
          <w:noProof/>
          <w:lang w:eastAsia="en-US"/>
        </w:rPr>
        <w:drawing>
          <wp:inline distT="0" distB="0" distL="0" distR="0" wp14:anchorId="14A3F734" wp14:editId="07948004">
            <wp:extent cx="5486400" cy="3319272"/>
            <wp:effectExtent l="25400" t="25400" r="25400" b="33655"/>
            <wp:docPr id="11" name="Picture 11" descr="../Desktop/New%20HUD%20Maps/HUDMap8_JobsProxim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New%20HUD%20Maps/HUDMap8_JobsProximity.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486400" cy="3319272"/>
                    </a:xfrm>
                    <a:prstGeom prst="rect">
                      <a:avLst/>
                    </a:prstGeom>
                    <a:noFill/>
                    <a:ln>
                      <a:solidFill>
                        <a:schemeClr val="tx1"/>
                      </a:solidFill>
                    </a:ln>
                  </pic:spPr>
                </pic:pic>
              </a:graphicData>
            </a:graphic>
          </wp:inline>
        </w:drawing>
      </w:r>
    </w:p>
    <w:p w14:paraId="3E317B3B" w14:textId="77777777" w:rsidR="00BC3B76" w:rsidRDefault="00BC3B76" w:rsidP="00A62C24">
      <w:pPr>
        <w:spacing w:after="0"/>
        <w:rPr>
          <w:b/>
          <w:i/>
          <w:sz w:val="20"/>
          <w:szCs w:val="20"/>
        </w:rPr>
      </w:pPr>
    </w:p>
    <w:p w14:paraId="74D12EBD" w14:textId="41B136EA" w:rsidR="000F6615" w:rsidRPr="00BC3B76" w:rsidRDefault="5F884969" w:rsidP="5F884969">
      <w:pPr>
        <w:spacing w:after="0"/>
        <w:ind w:left="900"/>
        <w:rPr>
          <w:sz w:val="20"/>
          <w:szCs w:val="20"/>
        </w:rPr>
      </w:pPr>
      <w:r w:rsidRPr="5F884969">
        <w:rPr>
          <w:b/>
          <w:bCs/>
          <w:i/>
          <w:iCs/>
          <w:sz w:val="20"/>
          <w:szCs w:val="20"/>
        </w:rPr>
        <w:t>Map 10:</w:t>
      </w:r>
      <w:r w:rsidRPr="5F884969">
        <w:rPr>
          <w:sz w:val="20"/>
          <w:szCs w:val="20"/>
        </w:rPr>
        <w:t xml:space="preserve"> Map showing the Labor Market Engagement Index in the Burlington, VT area. </w:t>
      </w:r>
    </w:p>
    <w:p w14:paraId="17FB0964" w14:textId="77777777" w:rsidR="000F6615" w:rsidRDefault="000F6615" w:rsidP="00BC3B76">
      <w:pPr>
        <w:spacing w:after="0"/>
        <w:ind w:left="900"/>
      </w:pPr>
      <w:r>
        <w:rPr>
          <w:noProof/>
          <w:lang w:eastAsia="en-US"/>
        </w:rPr>
        <w:drawing>
          <wp:inline distT="0" distB="0" distL="0" distR="0" wp14:anchorId="0ACB151F" wp14:editId="5BFDE69C">
            <wp:extent cx="5486400" cy="3401568"/>
            <wp:effectExtent l="25400" t="25400" r="25400" b="27940"/>
            <wp:docPr id="12" name="Picture 12" descr="../Desktop/New%20HUD%20Maps/HUDMap9_Labor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New%20HUD%20Maps/HUDMap9_LaborMarket.jpg"/>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486400" cy="3401568"/>
                    </a:xfrm>
                    <a:prstGeom prst="rect">
                      <a:avLst/>
                    </a:prstGeom>
                    <a:noFill/>
                    <a:ln>
                      <a:solidFill>
                        <a:schemeClr val="tx1"/>
                      </a:solidFill>
                    </a:ln>
                  </pic:spPr>
                </pic:pic>
              </a:graphicData>
            </a:graphic>
          </wp:inline>
        </w:drawing>
      </w:r>
    </w:p>
    <w:p w14:paraId="168BD88F" w14:textId="77777777" w:rsidR="000F6615" w:rsidRDefault="000F6615" w:rsidP="000F6615">
      <w:pPr>
        <w:spacing w:after="0"/>
      </w:pPr>
    </w:p>
    <w:p w14:paraId="3684C451" w14:textId="77777777" w:rsidR="00210EF0" w:rsidRDefault="00210EF0" w:rsidP="5F884969">
      <w:pPr>
        <w:pStyle w:val="ColorfulList-Accent11"/>
        <w:spacing w:after="240"/>
        <w:ind w:left="900"/>
        <w:contextualSpacing w:val="0"/>
        <w:textAlignment w:val="baseline"/>
        <w:rPr>
          <w:rFonts w:asciiTheme="minorHAnsi" w:hAnsiTheme="minorHAnsi"/>
          <w:b/>
          <w:bCs/>
          <w:i/>
          <w:iCs/>
        </w:rPr>
      </w:pPr>
    </w:p>
    <w:p w14:paraId="52B2F2CE" w14:textId="77777777" w:rsidR="00210EF0" w:rsidRDefault="00210EF0" w:rsidP="00210EF0">
      <w:pPr>
        <w:pStyle w:val="ColorfulList-Accent11"/>
        <w:spacing w:after="240"/>
        <w:ind w:left="0"/>
        <w:contextualSpacing w:val="0"/>
        <w:textAlignment w:val="baseline"/>
        <w:rPr>
          <w:rFonts w:asciiTheme="minorHAnsi" w:hAnsiTheme="minorHAnsi"/>
          <w:b/>
          <w:bCs/>
          <w:i/>
          <w:iCs/>
        </w:rPr>
      </w:pPr>
    </w:p>
    <w:p w14:paraId="61455502" w14:textId="2B8EFC58" w:rsidR="001C6584" w:rsidRPr="00BD6AD3" w:rsidRDefault="006C691B" w:rsidP="5F884969">
      <w:pPr>
        <w:pStyle w:val="ColorfulList-Accent11"/>
        <w:spacing w:after="240"/>
        <w:ind w:left="900"/>
        <w:contextualSpacing w:val="0"/>
        <w:textAlignment w:val="baseline"/>
        <w:rPr>
          <w:rFonts w:asciiTheme="minorHAnsi" w:eastAsia="Times New Roman" w:hAnsiTheme="minorHAnsi"/>
          <w:b/>
          <w:bCs/>
          <w:i/>
        </w:rPr>
      </w:pPr>
      <w:r w:rsidRPr="00BD6AD3">
        <w:rPr>
          <w:rFonts w:asciiTheme="minorHAnsi" w:eastAsia="Times New Roman" w:hAnsiTheme="minorHAnsi"/>
          <w:b/>
          <w:bCs/>
          <w:i/>
          <w:spacing w:val="-1"/>
        </w:rPr>
        <w:lastRenderedPageBreak/>
        <w:t>Informed by community participation, any consultation with other relevant government agencies, and the participant’s own local data and local knowledge, discuss whether there are programs, policies, or funding mechanisms that affect disparities in access to employment.</w:t>
      </w:r>
    </w:p>
    <w:p w14:paraId="4E4BC6E7" w14:textId="7BA1D24F" w:rsidR="001C6584" w:rsidRPr="006C691B" w:rsidRDefault="5F884969" w:rsidP="5F884969">
      <w:pPr>
        <w:ind w:left="900"/>
        <w:jc w:val="both"/>
        <w:rPr>
          <w:rFonts w:cs="Times New Roman"/>
        </w:rPr>
      </w:pPr>
      <w:r w:rsidRPr="5F884969">
        <w:rPr>
          <w:rFonts w:cs="Times New Roman"/>
        </w:rPr>
        <w:t xml:space="preserve">As noted, Vermont’s increasing refugee population has led to a more diverse state. Immigrants, Latinos and Asians account for a growing share of the economy and population in Vermont. As </w:t>
      </w:r>
      <w:r w:rsidR="00DB7C97">
        <w:rPr>
          <w:rFonts w:cs="Times New Roman"/>
        </w:rPr>
        <w:t>noted in our demographics secti</w:t>
      </w:r>
      <w:r w:rsidRPr="5F884969">
        <w:rPr>
          <w:rFonts w:cs="Times New Roman"/>
        </w:rPr>
        <w:t>on, the foreign-born share of Burlington's population rose to 13.5</w:t>
      </w:r>
      <w:r w:rsidR="00DB7C97">
        <w:rPr>
          <w:rFonts w:cs="Times New Roman"/>
        </w:rPr>
        <w:t>%.  Burlington/Winooski have welcomed</w:t>
      </w:r>
      <w:r w:rsidRPr="5F884969">
        <w:rPr>
          <w:rFonts w:cs="Times New Roman"/>
        </w:rPr>
        <w:t xml:space="preserve"> </w:t>
      </w:r>
      <w:r w:rsidR="00DB7C97">
        <w:rPr>
          <w:rFonts w:cs="Times New Roman"/>
        </w:rPr>
        <w:t>almost 7,000 refugees or “New Americans” through 2015</w:t>
      </w:r>
      <w:r w:rsidRPr="5F884969">
        <w:rPr>
          <w:rFonts w:cs="Times New Roman"/>
        </w:rPr>
        <w:t xml:space="preserve">. </w:t>
      </w:r>
    </w:p>
    <w:p w14:paraId="4C1A65AF" w14:textId="53FC0E7D" w:rsidR="001C6584" w:rsidRPr="006C691B" w:rsidRDefault="5F884969" w:rsidP="00657221">
      <w:pPr>
        <w:ind w:left="900"/>
        <w:jc w:val="both"/>
        <w:rPr>
          <w:rFonts w:cs="Times New Roman"/>
        </w:rPr>
      </w:pPr>
      <w:r w:rsidRPr="5F884969">
        <w:rPr>
          <w:rFonts w:cs="Times New Roman"/>
        </w:rPr>
        <w:t xml:space="preserve">In reference to refugees, Vermont’s welcoming stance and the range of   services and assistance   provided by organizations like Association </w:t>
      </w:r>
      <w:r w:rsidR="004C022A">
        <w:rPr>
          <w:rFonts w:cs="Times New Roman"/>
        </w:rPr>
        <w:t xml:space="preserve">of Africans Living in Vermont </w:t>
      </w:r>
      <w:r w:rsidR="00BD6AD3">
        <w:rPr>
          <w:rFonts w:cs="Times New Roman"/>
        </w:rPr>
        <w:t xml:space="preserve">(AALV) </w:t>
      </w:r>
      <w:r w:rsidR="00AC7D43">
        <w:rPr>
          <w:rFonts w:cs="Times New Roman"/>
        </w:rPr>
        <w:t xml:space="preserve">and </w:t>
      </w:r>
      <w:r w:rsidRPr="5F884969">
        <w:rPr>
          <w:rFonts w:cs="Times New Roman"/>
        </w:rPr>
        <w:t>Vermont    Refugee Resettlement Program (VRRP), makes the Burlington area particularly appealing. Refugees get a one-time payment of $925 to $1,125 to start anew in the U.S., and employment counseling, refugee placement services, workforce deve</w:t>
      </w:r>
      <w:r w:rsidR="00E02240">
        <w:rPr>
          <w:rFonts w:cs="Times New Roman"/>
        </w:rPr>
        <w:t xml:space="preserve">lopment, translation services, </w:t>
      </w:r>
      <w:r w:rsidRPr="5F884969">
        <w:rPr>
          <w:rFonts w:cs="Times New Roman"/>
        </w:rPr>
        <w:t>English-language classes and other support is provided to assis</w:t>
      </w:r>
      <w:r w:rsidR="00E02240">
        <w:rPr>
          <w:rFonts w:cs="Times New Roman"/>
        </w:rPr>
        <w:t>t with their assimilation. Addi</w:t>
      </w:r>
      <w:r w:rsidRPr="5F884969">
        <w:rPr>
          <w:rFonts w:cs="Times New Roman"/>
        </w:rPr>
        <w:t>t</w:t>
      </w:r>
      <w:r w:rsidR="00210F59">
        <w:rPr>
          <w:rFonts w:cs="Times New Roman"/>
        </w:rPr>
        <w:t>i</w:t>
      </w:r>
      <w:r w:rsidRPr="5F884969">
        <w:rPr>
          <w:rFonts w:cs="Times New Roman"/>
        </w:rPr>
        <w:t>onally, there are larger employers who provide English as a Second Language classes in their workplace to improve their retention, safety and success of their ESOL workers.</w:t>
      </w:r>
    </w:p>
    <w:p w14:paraId="6F499078" w14:textId="7438352A" w:rsidR="00FF0F87" w:rsidRDefault="5F884969" w:rsidP="00FF0F87">
      <w:pPr>
        <w:ind w:left="900"/>
        <w:jc w:val="both"/>
        <w:rPr>
          <w:rFonts w:cs="Times New Roman"/>
        </w:rPr>
      </w:pPr>
      <w:r w:rsidRPr="5F884969">
        <w:rPr>
          <w:rFonts w:cs="Times New Roman"/>
        </w:rPr>
        <w:t xml:space="preserve">While the Black, non-Hispanic population has the lowest ranking in the Labor Market Engagement Index in the city, they are not seriously disadvantaged across all racial groups. Moreover, this reverses and this population group scores the highest across all races below the federal poverty line, both in the city and the region. </w:t>
      </w:r>
    </w:p>
    <w:p w14:paraId="1823A104" w14:textId="2F1FCAA8" w:rsidR="00FF0F87" w:rsidRPr="006C691B" w:rsidRDefault="00FF0F87" w:rsidP="00FF0F87">
      <w:pPr>
        <w:ind w:left="900"/>
        <w:jc w:val="both"/>
        <w:rPr>
          <w:rFonts w:cs="Times New Roman"/>
        </w:rPr>
      </w:pPr>
      <w:r>
        <w:rPr>
          <w:rFonts w:cs="Times New Roman"/>
        </w:rPr>
        <w:t>Within our community survey, respondents were asked about the availability of jobs in their neighborhood and 59% responded fair to excellent, whereas 21% responded poor.</w:t>
      </w:r>
      <w:r w:rsidR="00231105">
        <w:rPr>
          <w:rFonts w:cs="Times New Roman"/>
        </w:rPr>
        <w:t xml:space="preserve"> The survey also asked how easy it would be to get to places with jobs the respondent would like to have and 30% noted it would be either very difficult or somewhat difficult revealing a possible disparity with access to transportation to employment.</w:t>
      </w:r>
    </w:p>
    <w:p w14:paraId="2E72FA36" w14:textId="67280BA4" w:rsidR="00E6668E" w:rsidRPr="00B66568" w:rsidRDefault="5F884969" w:rsidP="5F884969">
      <w:pPr>
        <w:ind w:left="900"/>
        <w:rPr>
          <w:rFonts w:cs="Times New Roman"/>
          <w:b/>
          <w:bCs/>
        </w:rPr>
      </w:pPr>
      <w:r w:rsidRPr="5F884969">
        <w:rPr>
          <w:rFonts w:cs="Times New Roman"/>
        </w:rPr>
        <w:t xml:space="preserve">In the Burlington-South Burlington region, the Native American, non-Hispanic populations are the least successful in accessing employment and have a considerably lower ranking in the Labor Market Engagement Index, overall, as well as populations below the federal poverty line. </w:t>
      </w:r>
      <w:bookmarkEnd w:id="34"/>
    </w:p>
    <w:p w14:paraId="371BDD49" w14:textId="7FA5BB2B" w:rsidR="00AD4833" w:rsidRPr="00E6668E" w:rsidRDefault="5F884969" w:rsidP="5F884969">
      <w:pPr>
        <w:pStyle w:val="ListParagraph"/>
        <w:numPr>
          <w:ilvl w:val="0"/>
          <w:numId w:val="9"/>
        </w:numPr>
        <w:ind w:left="900"/>
        <w:rPr>
          <w:b/>
          <w:bCs/>
          <w:i/>
          <w:iCs/>
        </w:rPr>
      </w:pPr>
      <w:bookmarkStart w:id="35" w:name="TransportationOpportunities"/>
      <w:r w:rsidRPr="5F884969">
        <w:rPr>
          <w:b/>
          <w:bCs/>
        </w:rPr>
        <w:t>Transportation Opportunities</w:t>
      </w:r>
    </w:p>
    <w:bookmarkEnd w:id="35"/>
    <w:p w14:paraId="029BAFF8" w14:textId="4979B3FB" w:rsidR="00E6668E"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To assess the level of access to transportation opportunities in the Burlington area, we use both the Low Transportation Cost index, as well as the Transit Trips index. Both indices are percentile ranked and range from 0 to 100.</w:t>
      </w:r>
    </w:p>
    <w:p w14:paraId="29BA7BCF" w14:textId="77777777" w:rsidR="00E6668E" w:rsidRDefault="00E6668E" w:rsidP="00E6668E">
      <w:pPr>
        <w:pStyle w:val="ListParagraph"/>
        <w:widowControl w:val="0"/>
        <w:autoSpaceDE w:val="0"/>
        <w:autoSpaceDN w:val="0"/>
        <w:adjustRightInd w:val="0"/>
        <w:ind w:left="900"/>
        <w:rPr>
          <w:rFonts w:ascii="Calibri" w:hAnsi="Calibri" w:cs="Times"/>
          <w:color w:val="000000"/>
        </w:rPr>
      </w:pPr>
    </w:p>
    <w:p w14:paraId="722C8F50" w14:textId="4F0F57BC" w:rsidR="00E6668E" w:rsidRDefault="5F884969" w:rsidP="5F884969">
      <w:pPr>
        <w:pStyle w:val="ListParagraph"/>
        <w:widowControl w:val="0"/>
        <w:autoSpaceDE w:val="0"/>
        <w:autoSpaceDN w:val="0"/>
        <w:adjustRightInd w:val="0"/>
        <w:ind w:left="900"/>
        <w:rPr>
          <w:rFonts w:ascii="Calibri" w:hAnsi="Calibri"/>
        </w:rPr>
      </w:pPr>
      <w:r w:rsidRPr="5F884969">
        <w:rPr>
          <w:rFonts w:ascii="Calibri" w:hAnsi="Calibri" w:cs="Times"/>
          <w:color w:val="000000" w:themeColor="text1"/>
        </w:rPr>
        <w:t xml:space="preserve">The Low Transportation Cost Index </w:t>
      </w:r>
      <w:r w:rsidRPr="5F884969">
        <w:rPr>
          <w:rFonts w:ascii="Calibri" w:hAnsi="Calibri"/>
        </w:rPr>
        <w:t xml:space="preserve">is based on estimates of transportation costs for a family that meets the following description: a 3-person single-parent family with income at 50% of the median income for renters for the region. These estimates are actually derived from a different index called the Location Affordability Index, and calculates transportation costs based on a percent of renter income in a neighborhood, which is based on census tracts. The higher the index, the lower the cost of transportation in that neighborhood. </w:t>
      </w:r>
    </w:p>
    <w:p w14:paraId="3282DC1C" w14:textId="77777777" w:rsidR="00E6668E" w:rsidRDefault="00E6668E" w:rsidP="00E6668E">
      <w:pPr>
        <w:pStyle w:val="ListParagraph"/>
        <w:widowControl w:val="0"/>
        <w:autoSpaceDE w:val="0"/>
        <w:autoSpaceDN w:val="0"/>
        <w:adjustRightInd w:val="0"/>
        <w:ind w:left="900"/>
        <w:rPr>
          <w:rFonts w:ascii="Calibri" w:hAnsi="Calibri"/>
        </w:rPr>
      </w:pPr>
    </w:p>
    <w:p w14:paraId="140A4F71" w14:textId="71A8B8F1" w:rsidR="00E6668E" w:rsidRDefault="5F884969" w:rsidP="00210EF0">
      <w:pPr>
        <w:pStyle w:val="ListParagraph"/>
        <w:widowControl w:val="0"/>
        <w:autoSpaceDE w:val="0"/>
        <w:autoSpaceDN w:val="0"/>
        <w:adjustRightInd w:val="0"/>
        <w:ind w:left="900"/>
        <w:rPr>
          <w:rFonts w:ascii="Calibri" w:hAnsi="Calibri"/>
        </w:rPr>
      </w:pPr>
      <w:r w:rsidRPr="5F884969">
        <w:rPr>
          <w:rFonts w:ascii="Calibri" w:hAnsi="Calibri"/>
        </w:rPr>
        <w:t>The Transit Trips Index is also based on the Location Affordability Index, but instead focuses on the average number of trips taken by a family that meets the same description as described above: a 3-person single-parent family with income at 50% of the median income for renters for the region. The higher the transit trips index, the more likely residents in that neighborhood utilize public transit.</w:t>
      </w:r>
    </w:p>
    <w:p w14:paraId="13D6DD9B" w14:textId="77777777" w:rsidR="00FE0C46" w:rsidRPr="00210EF0" w:rsidRDefault="00FE0C46" w:rsidP="00210EF0">
      <w:pPr>
        <w:pStyle w:val="ListParagraph"/>
        <w:widowControl w:val="0"/>
        <w:autoSpaceDE w:val="0"/>
        <w:autoSpaceDN w:val="0"/>
        <w:adjustRightInd w:val="0"/>
        <w:ind w:left="900"/>
        <w:rPr>
          <w:rFonts w:ascii="Calibri" w:hAnsi="Calibri" w:cs="Times"/>
          <w:color w:val="000000" w:themeColor="text1"/>
        </w:rPr>
      </w:pPr>
    </w:p>
    <w:p w14:paraId="71D5A4AD" w14:textId="2773930A" w:rsidR="00A3040F" w:rsidRPr="00BD6AD3" w:rsidRDefault="5F884969" w:rsidP="5F884969">
      <w:pPr>
        <w:pStyle w:val="ListParagraph"/>
        <w:widowControl w:val="0"/>
        <w:autoSpaceDE w:val="0"/>
        <w:autoSpaceDN w:val="0"/>
        <w:adjustRightInd w:val="0"/>
        <w:spacing w:after="0" w:line="240" w:lineRule="auto"/>
        <w:ind w:left="900"/>
        <w:rPr>
          <w:rFonts w:ascii="Calibri" w:hAnsi="Calibri" w:cs="Calibri"/>
          <w:b/>
          <w:bCs/>
          <w:i/>
          <w:color w:val="000000" w:themeColor="text1"/>
        </w:rPr>
      </w:pPr>
      <w:r w:rsidRPr="00BD6AD3">
        <w:rPr>
          <w:rFonts w:ascii="Calibri" w:hAnsi="Calibri" w:cs="Calibri"/>
          <w:b/>
          <w:bCs/>
          <w:i/>
          <w:color w:val="000000" w:themeColor="text1"/>
        </w:rPr>
        <w:t xml:space="preserve">For the protected class groups HUD has provided data, describe any disparities in access to transportation related to costs and access to public transit in the jurisdiction and region.  </w:t>
      </w:r>
    </w:p>
    <w:p w14:paraId="2E2F40E7" w14:textId="77777777" w:rsidR="00B66568" w:rsidRPr="00B06038" w:rsidRDefault="00B66568" w:rsidP="0088314D">
      <w:pPr>
        <w:pStyle w:val="ListParagraph"/>
        <w:widowControl w:val="0"/>
        <w:autoSpaceDE w:val="0"/>
        <w:autoSpaceDN w:val="0"/>
        <w:adjustRightInd w:val="0"/>
        <w:spacing w:after="0" w:line="240" w:lineRule="auto"/>
        <w:ind w:left="900"/>
        <w:rPr>
          <w:rFonts w:ascii="Calibri" w:hAnsi="Calibri" w:cs="Times"/>
          <w:b/>
          <w:color w:val="000000"/>
        </w:rPr>
      </w:pPr>
    </w:p>
    <w:p w14:paraId="2A3B3566" w14:textId="77777777" w:rsidR="0088314D" w:rsidRDefault="5F884969" w:rsidP="002F7C2E">
      <w:pPr>
        <w:widowControl w:val="0"/>
        <w:autoSpaceDE w:val="0"/>
        <w:autoSpaceDN w:val="0"/>
        <w:adjustRightInd w:val="0"/>
        <w:spacing w:after="0"/>
        <w:ind w:left="907"/>
        <w:outlineLvl w:val="0"/>
        <w:rPr>
          <w:rFonts w:ascii="Calibri" w:hAnsi="Calibri" w:cs="Calibri"/>
          <w:b/>
          <w:bCs/>
          <w:i/>
          <w:iCs/>
          <w:color w:val="000000" w:themeColor="text1"/>
        </w:rPr>
      </w:pPr>
      <w:r w:rsidRPr="5F884969">
        <w:rPr>
          <w:rFonts w:ascii="Calibri" w:hAnsi="Calibri" w:cs="Calibri"/>
          <w:b/>
          <w:bCs/>
          <w:i/>
          <w:iCs/>
          <w:color w:val="000000" w:themeColor="text1"/>
        </w:rPr>
        <w:t>Burlington</w:t>
      </w:r>
    </w:p>
    <w:p w14:paraId="08119C66" w14:textId="16997902" w:rsidR="0088314D" w:rsidRPr="004C4302" w:rsidRDefault="5F884969" w:rsidP="0088314D">
      <w:pPr>
        <w:ind w:left="900"/>
      </w:pPr>
      <w:r>
        <w:t xml:space="preserve">Tables </w:t>
      </w:r>
      <w:r w:rsidR="005B73AF">
        <w:t>14 and 15</w:t>
      </w:r>
      <w:r>
        <w:t xml:space="preserve"> include information on access to transportation by using the Low Transportation Cost Index and the Transit Trips Index. </w:t>
      </w:r>
      <w:r w:rsidRPr="002115E3">
        <w:t>Maps 11 and 1</w:t>
      </w:r>
      <w:r>
        <w:t>2 visualize these indices for the Burlington, VT area, respectively.</w:t>
      </w:r>
    </w:p>
    <w:p w14:paraId="53CD70EF" w14:textId="09D30AD7" w:rsidR="0088314D" w:rsidRDefault="5F884969" w:rsidP="0088314D">
      <w:pPr>
        <w:ind w:left="900"/>
      </w:pPr>
      <w:r>
        <w:t>In Burlington, the Transit Trips Index score is very similar across all racial/ethnic groups (</w:t>
      </w:r>
      <w:r w:rsidRPr="002115E3">
        <w:t>figure 25</w:t>
      </w:r>
      <w:r>
        <w:t>). The highest score is 65.96 for the Black population and the lowest score is 65.44 for the White population. For the population below the poverty line, the Transit Trips Index is fairly consistent across racial groups, with the Asian population having the highest index score of 76.33.</w:t>
      </w:r>
    </w:p>
    <w:p w14:paraId="7D5FD757" w14:textId="70CBF8F9" w:rsidR="00E40853" w:rsidRDefault="5F884969" w:rsidP="00210EF0">
      <w:pPr>
        <w:ind w:left="900"/>
      </w:pPr>
      <w:r>
        <w:t>The Low Transportation Cost Index is also very similar across racial/ethnic demographics in Burlington for the total population (</w:t>
      </w:r>
      <w:r w:rsidRPr="002115E3">
        <w:t>figure 26</w:t>
      </w:r>
      <w:r>
        <w:t xml:space="preserve">). The highest score is 84.07 for the Native American population and the lowest score is 80.26 for the Asian or Pacific Islander population. There is a little bit of variation between racial/ethnic groups for the population below the poverty line. The highest score (90.67) is the Native American population and the lowest score (81.67) is the Hispanic population. </w:t>
      </w:r>
    </w:p>
    <w:p w14:paraId="5C1B595F" w14:textId="77777777" w:rsidR="00210EF0" w:rsidRDefault="00210EF0" w:rsidP="00210EF0">
      <w:pPr>
        <w:ind w:left="900"/>
      </w:pPr>
    </w:p>
    <w:p w14:paraId="57DB7D80" w14:textId="60FF3C20" w:rsidR="009A5E4F" w:rsidRPr="009A5E4F" w:rsidRDefault="5F884969" w:rsidP="5F884969">
      <w:pPr>
        <w:spacing w:after="0"/>
        <w:ind w:left="900"/>
        <w:rPr>
          <w:rFonts w:ascii="Calibri" w:eastAsia="Calibri" w:hAnsi="Calibri" w:cs="Times New Roman"/>
          <w:sz w:val="20"/>
          <w:szCs w:val="20"/>
          <w:lang w:eastAsia="en-US"/>
        </w:rPr>
      </w:pPr>
      <w:r w:rsidRPr="5F884969">
        <w:rPr>
          <w:rFonts w:ascii="Calibri" w:eastAsia="Calibri" w:hAnsi="Calibri" w:cs="Times New Roman"/>
          <w:b/>
          <w:bCs/>
          <w:i/>
          <w:iCs/>
          <w:sz w:val="20"/>
          <w:szCs w:val="20"/>
          <w:lang w:eastAsia="en-US"/>
        </w:rPr>
        <w:t>Figure 25:</w:t>
      </w:r>
      <w:r w:rsidRPr="5F884969">
        <w:rPr>
          <w:rFonts w:ascii="Calibri" w:eastAsia="Calibri" w:hAnsi="Calibri" w:cs="Times New Roman"/>
          <w:sz w:val="20"/>
          <w:szCs w:val="20"/>
          <w:lang w:eastAsia="en-US"/>
        </w:rPr>
        <w:t xml:space="preserve"> Transit Trips Index </w:t>
      </w:r>
      <w:proofErr w:type="gramStart"/>
      <w:r w:rsidRPr="5F884969">
        <w:rPr>
          <w:rFonts w:ascii="Calibri" w:eastAsia="Calibri" w:hAnsi="Calibri" w:cs="Times New Roman"/>
          <w:sz w:val="20"/>
          <w:szCs w:val="20"/>
          <w:lang w:eastAsia="en-US"/>
        </w:rPr>
        <w:t>Among</w:t>
      </w:r>
      <w:proofErr w:type="gramEnd"/>
      <w:r w:rsidRPr="5F884969">
        <w:rPr>
          <w:rFonts w:ascii="Calibri" w:eastAsia="Calibri" w:hAnsi="Calibri" w:cs="Times New Roman"/>
          <w:sz w:val="20"/>
          <w:szCs w:val="20"/>
          <w:lang w:eastAsia="en-US"/>
        </w:rPr>
        <w:t xml:space="preserve"> Racial/Ethnic Groups in Burlington, VT. Source: Location Affordability Index (LAI) data, 2008-2012.</w:t>
      </w:r>
    </w:p>
    <w:p w14:paraId="1A6A87AC" w14:textId="77777777" w:rsidR="009A5E4F" w:rsidRPr="009A5E4F" w:rsidRDefault="009A5E4F" w:rsidP="009A5E4F">
      <w:pPr>
        <w:spacing w:after="0"/>
        <w:ind w:left="900"/>
        <w:rPr>
          <w:rFonts w:ascii="Calibri" w:eastAsia="Calibri" w:hAnsi="Calibri" w:cs="Times New Roman"/>
          <w:lang w:eastAsia="en-US"/>
        </w:rPr>
      </w:pPr>
      <w:r w:rsidRPr="009A5E4F">
        <w:rPr>
          <w:rFonts w:ascii="Calibri" w:eastAsia="Calibri" w:hAnsi="Calibri" w:cs="Times New Roman"/>
          <w:noProof/>
          <w:lang w:eastAsia="en-US"/>
        </w:rPr>
        <w:drawing>
          <wp:inline distT="0" distB="0" distL="0" distR="0" wp14:anchorId="229A6279" wp14:editId="5FBB0E6B">
            <wp:extent cx="5423535" cy="2479040"/>
            <wp:effectExtent l="0" t="0" r="12065" b="10160"/>
            <wp:docPr id="60" name="Chart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6FFF3E5" w14:textId="77777777" w:rsidR="009A5E4F" w:rsidRPr="009A5E4F" w:rsidRDefault="009A5E4F" w:rsidP="009A5E4F">
      <w:pPr>
        <w:spacing w:after="0"/>
        <w:rPr>
          <w:rFonts w:ascii="Calibri" w:eastAsia="Calibri" w:hAnsi="Calibri" w:cs="Times New Roman"/>
          <w:lang w:eastAsia="en-US"/>
        </w:rPr>
      </w:pPr>
    </w:p>
    <w:p w14:paraId="27EE46A7" w14:textId="77777777" w:rsidR="00A62C24" w:rsidRDefault="00A62C24" w:rsidP="5F884969">
      <w:pPr>
        <w:spacing w:after="0"/>
        <w:ind w:left="900"/>
        <w:rPr>
          <w:rFonts w:ascii="Calibri" w:eastAsia="Calibri" w:hAnsi="Calibri" w:cs="Times New Roman"/>
          <w:b/>
          <w:bCs/>
          <w:i/>
          <w:iCs/>
          <w:sz w:val="20"/>
          <w:szCs w:val="20"/>
          <w:lang w:eastAsia="en-US"/>
        </w:rPr>
      </w:pPr>
    </w:p>
    <w:p w14:paraId="7B194D88" w14:textId="77777777" w:rsidR="00A62C24" w:rsidRDefault="00A62C24" w:rsidP="5F884969">
      <w:pPr>
        <w:spacing w:after="0"/>
        <w:ind w:left="900"/>
        <w:rPr>
          <w:rFonts w:ascii="Calibri" w:eastAsia="Calibri" w:hAnsi="Calibri" w:cs="Times New Roman"/>
          <w:b/>
          <w:bCs/>
          <w:i/>
          <w:iCs/>
          <w:sz w:val="20"/>
          <w:szCs w:val="20"/>
          <w:lang w:eastAsia="en-US"/>
        </w:rPr>
      </w:pPr>
    </w:p>
    <w:p w14:paraId="20408787" w14:textId="77777777" w:rsidR="00210EF0" w:rsidRDefault="00210EF0" w:rsidP="5F884969">
      <w:pPr>
        <w:spacing w:after="0"/>
        <w:ind w:left="900"/>
        <w:rPr>
          <w:rFonts w:ascii="Calibri" w:eastAsia="Calibri" w:hAnsi="Calibri" w:cs="Times New Roman"/>
          <w:b/>
          <w:bCs/>
          <w:i/>
          <w:iCs/>
          <w:sz w:val="20"/>
          <w:szCs w:val="20"/>
          <w:lang w:eastAsia="en-US"/>
        </w:rPr>
      </w:pPr>
    </w:p>
    <w:p w14:paraId="14C04495" w14:textId="77777777" w:rsidR="00A62C24" w:rsidRDefault="00A62C24" w:rsidP="5F884969">
      <w:pPr>
        <w:spacing w:after="0"/>
        <w:ind w:left="900"/>
        <w:rPr>
          <w:rFonts w:ascii="Calibri" w:eastAsia="Calibri" w:hAnsi="Calibri" w:cs="Times New Roman"/>
          <w:b/>
          <w:bCs/>
          <w:i/>
          <w:iCs/>
          <w:sz w:val="20"/>
          <w:szCs w:val="20"/>
          <w:lang w:eastAsia="en-US"/>
        </w:rPr>
      </w:pPr>
    </w:p>
    <w:p w14:paraId="2F13CA71" w14:textId="77777777" w:rsidR="00A62C24" w:rsidRDefault="00A62C24" w:rsidP="5F884969">
      <w:pPr>
        <w:spacing w:after="0"/>
        <w:ind w:left="900"/>
        <w:rPr>
          <w:rFonts w:ascii="Calibri" w:eastAsia="Calibri" w:hAnsi="Calibri" w:cs="Times New Roman"/>
          <w:b/>
          <w:bCs/>
          <w:i/>
          <w:iCs/>
          <w:sz w:val="20"/>
          <w:szCs w:val="20"/>
          <w:lang w:eastAsia="en-US"/>
        </w:rPr>
      </w:pPr>
    </w:p>
    <w:p w14:paraId="17DC9CA9" w14:textId="77777777" w:rsidR="00D32389" w:rsidRDefault="00D32389" w:rsidP="5F884969">
      <w:pPr>
        <w:spacing w:after="0"/>
        <w:ind w:left="900"/>
        <w:rPr>
          <w:rFonts w:ascii="Calibri" w:eastAsia="Calibri" w:hAnsi="Calibri" w:cs="Times New Roman"/>
          <w:b/>
          <w:bCs/>
          <w:i/>
          <w:iCs/>
          <w:sz w:val="20"/>
          <w:szCs w:val="20"/>
          <w:lang w:eastAsia="en-US"/>
        </w:rPr>
      </w:pPr>
    </w:p>
    <w:p w14:paraId="254A2160" w14:textId="77777777" w:rsidR="00A62C24" w:rsidRDefault="00A62C24" w:rsidP="5F884969">
      <w:pPr>
        <w:spacing w:after="0"/>
        <w:ind w:left="900"/>
        <w:rPr>
          <w:rFonts w:ascii="Calibri" w:eastAsia="Calibri" w:hAnsi="Calibri" w:cs="Times New Roman"/>
          <w:b/>
          <w:bCs/>
          <w:i/>
          <w:iCs/>
          <w:sz w:val="20"/>
          <w:szCs w:val="20"/>
          <w:lang w:eastAsia="en-US"/>
        </w:rPr>
      </w:pPr>
    </w:p>
    <w:p w14:paraId="443C59D4" w14:textId="77777777" w:rsidR="009A5E4F" w:rsidRPr="009A5E4F" w:rsidRDefault="5F884969" w:rsidP="5F884969">
      <w:pPr>
        <w:spacing w:after="0"/>
        <w:ind w:left="900"/>
        <w:rPr>
          <w:rFonts w:ascii="Calibri" w:eastAsia="Calibri" w:hAnsi="Calibri" w:cs="Times New Roman"/>
          <w:sz w:val="20"/>
          <w:szCs w:val="20"/>
          <w:lang w:eastAsia="en-US"/>
        </w:rPr>
      </w:pPr>
      <w:r w:rsidRPr="5F884969">
        <w:rPr>
          <w:rFonts w:ascii="Calibri" w:eastAsia="Calibri" w:hAnsi="Calibri" w:cs="Times New Roman"/>
          <w:b/>
          <w:bCs/>
          <w:i/>
          <w:iCs/>
          <w:sz w:val="20"/>
          <w:szCs w:val="20"/>
          <w:lang w:eastAsia="en-US"/>
        </w:rPr>
        <w:t>Figure 26:</w:t>
      </w:r>
      <w:r w:rsidRPr="5F884969">
        <w:rPr>
          <w:rFonts w:ascii="Calibri" w:eastAsia="Calibri" w:hAnsi="Calibri" w:cs="Times New Roman"/>
          <w:sz w:val="20"/>
          <w:szCs w:val="20"/>
          <w:lang w:eastAsia="en-US"/>
        </w:rPr>
        <w:t xml:space="preserve"> Low Transportation Cost Index </w:t>
      </w:r>
      <w:proofErr w:type="gramStart"/>
      <w:r w:rsidRPr="5F884969">
        <w:rPr>
          <w:rFonts w:ascii="Calibri" w:eastAsia="Calibri" w:hAnsi="Calibri" w:cs="Times New Roman"/>
          <w:sz w:val="20"/>
          <w:szCs w:val="20"/>
          <w:lang w:eastAsia="en-US"/>
        </w:rPr>
        <w:t>Among</w:t>
      </w:r>
      <w:proofErr w:type="gramEnd"/>
      <w:r w:rsidRPr="5F884969">
        <w:rPr>
          <w:rFonts w:ascii="Calibri" w:eastAsia="Calibri" w:hAnsi="Calibri" w:cs="Times New Roman"/>
          <w:sz w:val="20"/>
          <w:szCs w:val="20"/>
          <w:lang w:eastAsia="en-US"/>
        </w:rPr>
        <w:t xml:space="preserve"> Racial/Ethnic Groups in Burlington, VT. Source: Location Affordability Index (LAI) data, 2008-2012.</w:t>
      </w:r>
    </w:p>
    <w:p w14:paraId="5A4EF859" w14:textId="77777777" w:rsidR="009A5E4F" w:rsidRPr="009A5E4F" w:rsidRDefault="009A5E4F" w:rsidP="009A5E4F">
      <w:pPr>
        <w:spacing w:after="0"/>
        <w:ind w:left="900"/>
        <w:rPr>
          <w:rFonts w:ascii="Calibri" w:eastAsia="Calibri" w:hAnsi="Calibri" w:cs="Times New Roman"/>
          <w:lang w:eastAsia="en-US"/>
        </w:rPr>
      </w:pPr>
      <w:r w:rsidRPr="009A5E4F">
        <w:rPr>
          <w:rFonts w:ascii="Calibri" w:eastAsia="Calibri" w:hAnsi="Calibri" w:cs="Times New Roman"/>
          <w:noProof/>
          <w:lang w:eastAsia="en-US"/>
        </w:rPr>
        <w:drawing>
          <wp:inline distT="0" distB="0" distL="0" distR="0" wp14:anchorId="4F9EE30B" wp14:editId="2B925544">
            <wp:extent cx="5309235" cy="2415540"/>
            <wp:effectExtent l="0" t="0" r="24765" b="22860"/>
            <wp:docPr id="61" name="Chart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3058E6F" w14:textId="77777777" w:rsidR="009A5E4F" w:rsidRDefault="009A5E4F" w:rsidP="00E34E80">
      <w:pPr>
        <w:pStyle w:val="ListParagraph"/>
        <w:widowControl w:val="0"/>
        <w:autoSpaceDE w:val="0"/>
        <w:autoSpaceDN w:val="0"/>
        <w:adjustRightInd w:val="0"/>
        <w:spacing w:after="0"/>
        <w:ind w:left="907"/>
        <w:rPr>
          <w:rFonts w:ascii="Calibri" w:hAnsi="Calibri" w:cs="Calibri"/>
          <w:b/>
          <w:bCs/>
          <w:i/>
          <w:color w:val="000000"/>
        </w:rPr>
      </w:pPr>
    </w:p>
    <w:p w14:paraId="2877705F" w14:textId="77777777" w:rsidR="0088314D" w:rsidRPr="007A6CF5" w:rsidRDefault="5F884969" w:rsidP="002F7C2E">
      <w:pPr>
        <w:pStyle w:val="ListParagraph"/>
        <w:widowControl w:val="0"/>
        <w:autoSpaceDE w:val="0"/>
        <w:autoSpaceDN w:val="0"/>
        <w:adjustRightInd w:val="0"/>
        <w:spacing w:after="0"/>
        <w:ind w:left="907"/>
        <w:outlineLvl w:val="0"/>
        <w:rPr>
          <w:rFonts w:ascii="Calibri" w:hAnsi="Calibri" w:cs="Calibri"/>
          <w:b/>
          <w:bCs/>
          <w:i/>
          <w:iCs/>
          <w:color w:val="000000" w:themeColor="text1"/>
        </w:rPr>
      </w:pPr>
      <w:r w:rsidRPr="5F884969">
        <w:rPr>
          <w:rFonts w:ascii="Calibri" w:hAnsi="Calibri" w:cs="Calibri"/>
          <w:b/>
          <w:bCs/>
          <w:i/>
          <w:iCs/>
          <w:color w:val="000000" w:themeColor="text1"/>
        </w:rPr>
        <w:t>Burlington-South Burlington Region</w:t>
      </w:r>
    </w:p>
    <w:p w14:paraId="7948236C" w14:textId="221D6B46" w:rsidR="0088314D" w:rsidRPr="000F35CC" w:rsidRDefault="5F884969" w:rsidP="0088314D">
      <w:pPr>
        <w:ind w:left="900"/>
      </w:pPr>
      <w:r>
        <w:t>The region as a whole has generally lower scores for the Transit Trips Index (</w:t>
      </w:r>
      <w:r w:rsidRPr="002115E3">
        <w:t>figure 27</w:t>
      </w:r>
      <w:r>
        <w:t>). For the total population of the region, the lowest Transit Trips Index score is the Native American population with a score of 35.72 and the highest score is the Black, non-Hispanic population with 54.91. For the population below the poverty line, the highest score is Asian or Pacific Islanders with 61.94 and the lowest is the Hispanic population with a score of 48.31.</w:t>
      </w:r>
    </w:p>
    <w:p w14:paraId="15E4EEF8" w14:textId="1A468A06" w:rsidR="00A62C24" w:rsidRPr="002115E3" w:rsidRDefault="5F884969" w:rsidP="002115E3">
      <w:pPr>
        <w:ind w:left="900"/>
      </w:pPr>
      <w:r>
        <w:t>The scores for the Low Transportation Cost Index are generally lower and show greater variance in the region as a whole than it is in Burlington (</w:t>
      </w:r>
      <w:r w:rsidRPr="002115E3">
        <w:t>figure 28</w:t>
      </w:r>
      <w:r>
        <w:t xml:space="preserve">). For the total population, the highest score was 74.47 (Black, non-Hispanic) and the lowest score was 58.60 (Native American). For populations below the poverty line, the highest score was 79.71 for the Asian population and the lowest score was 67.64 for the Hispanic population. </w:t>
      </w:r>
    </w:p>
    <w:p w14:paraId="332F5686" w14:textId="77777777" w:rsidR="00032070" w:rsidRPr="00032070" w:rsidRDefault="5F884969" w:rsidP="5F884969">
      <w:pPr>
        <w:spacing w:after="0"/>
        <w:ind w:left="900"/>
        <w:rPr>
          <w:rFonts w:ascii="Calibri" w:eastAsia="Calibri" w:hAnsi="Calibri" w:cs="Times New Roman"/>
          <w:sz w:val="20"/>
          <w:szCs w:val="20"/>
          <w:lang w:eastAsia="en-US"/>
        </w:rPr>
      </w:pPr>
      <w:r w:rsidRPr="5F884969">
        <w:rPr>
          <w:rFonts w:ascii="Calibri" w:eastAsia="Calibri" w:hAnsi="Calibri" w:cs="Times"/>
          <w:b/>
          <w:bCs/>
          <w:i/>
          <w:iCs/>
          <w:noProof/>
          <w:sz w:val="20"/>
          <w:szCs w:val="20"/>
          <w:lang w:eastAsia="en-US"/>
        </w:rPr>
        <w:t>Figure 27:</w:t>
      </w:r>
      <w:r w:rsidRPr="5F884969">
        <w:rPr>
          <w:rFonts w:ascii="Calibri" w:eastAsia="Calibri" w:hAnsi="Calibri" w:cs="Times"/>
          <w:noProof/>
          <w:sz w:val="20"/>
          <w:szCs w:val="20"/>
          <w:lang w:eastAsia="en-US"/>
        </w:rPr>
        <w:t xml:space="preserve"> Transit Trips Index Among Racial/Ethnic Groups in the Burlington-South Burlington Region. Source: </w:t>
      </w:r>
      <w:r w:rsidRPr="5F884969">
        <w:rPr>
          <w:rFonts w:ascii="Calibri" w:eastAsia="Calibri" w:hAnsi="Calibri" w:cs="Times New Roman"/>
          <w:sz w:val="20"/>
          <w:szCs w:val="20"/>
          <w:lang w:eastAsia="en-US"/>
        </w:rPr>
        <w:t>Location Affordability Index (LAI) data, 2008-2012.</w:t>
      </w:r>
    </w:p>
    <w:p w14:paraId="3A172BEC" w14:textId="77777777" w:rsidR="00032070" w:rsidRPr="00032070" w:rsidRDefault="00032070" w:rsidP="00032070">
      <w:pPr>
        <w:spacing w:after="0"/>
        <w:ind w:left="900"/>
        <w:rPr>
          <w:rFonts w:ascii="Calibri" w:eastAsia="Calibri" w:hAnsi="Calibri" w:cs="Times"/>
          <w:noProof/>
          <w:lang w:eastAsia="en-US"/>
        </w:rPr>
      </w:pPr>
      <w:r w:rsidRPr="00032070">
        <w:rPr>
          <w:rFonts w:ascii="Calibri" w:eastAsia="Calibri" w:hAnsi="Calibri" w:cs="Times New Roman"/>
          <w:noProof/>
          <w:lang w:eastAsia="en-US"/>
        </w:rPr>
        <w:lastRenderedPageBreak/>
        <w:drawing>
          <wp:inline distT="0" distB="0" distL="0" distR="0" wp14:anchorId="4D19E945" wp14:editId="27DDE0C1">
            <wp:extent cx="5309235" cy="2402840"/>
            <wp:effectExtent l="0" t="0" r="24765" b="10160"/>
            <wp:docPr id="64" name="Chart 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E58900F" w14:textId="77777777" w:rsidR="00032070" w:rsidRPr="00032070" w:rsidRDefault="00032070" w:rsidP="00032070">
      <w:pPr>
        <w:spacing w:after="0"/>
        <w:ind w:left="900"/>
        <w:rPr>
          <w:rFonts w:ascii="Calibri" w:eastAsia="Calibri" w:hAnsi="Calibri" w:cs="Times"/>
          <w:noProof/>
          <w:lang w:eastAsia="en-US"/>
        </w:rPr>
      </w:pPr>
    </w:p>
    <w:p w14:paraId="769B4D0A" w14:textId="77777777" w:rsidR="00032070" w:rsidRPr="00032070" w:rsidRDefault="5F884969" w:rsidP="5F884969">
      <w:pPr>
        <w:spacing w:after="0"/>
        <w:ind w:left="900"/>
        <w:rPr>
          <w:rFonts w:ascii="Calibri" w:eastAsia="Calibri" w:hAnsi="Calibri" w:cs="Times"/>
          <w:noProof/>
          <w:sz w:val="20"/>
          <w:szCs w:val="20"/>
          <w:lang w:eastAsia="en-US"/>
        </w:rPr>
      </w:pPr>
      <w:r w:rsidRPr="5F884969">
        <w:rPr>
          <w:rFonts w:ascii="Calibri" w:eastAsia="Calibri" w:hAnsi="Calibri" w:cs="Times"/>
          <w:b/>
          <w:bCs/>
          <w:i/>
          <w:iCs/>
          <w:noProof/>
          <w:sz w:val="20"/>
          <w:szCs w:val="20"/>
          <w:lang w:eastAsia="en-US"/>
        </w:rPr>
        <w:t>Figure 28:</w:t>
      </w:r>
      <w:r w:rsidRPr="5F884969">
        <w:rPr>
          <w:rFonts w:ascii="Calibri" w:eastAsia="Calibri" w:hAnsi="Calibri" w:cs="Times"/>
          <w:noProof/>
          <w:sz w:val="20"/>
          <w:szCs w:val="20"/>
          <w:lang w:eastAsia="en-US"/>
        </w:rPr>
        <w:t xml:space="preserve"> Low Transportation Cost Index Among Racial/Ethnic Groups in the Burlington-South Burlington Region. Source: </w:t>
      </w:r>
      <w:r w:rsidRPr="5F884969">
        <w:rPr>
          <w:rFonts w:ascii="Calibri" w:eastAsia="Calibri" w:hAnsi="Calibri" w:cs="Times New Roman"/>
          <w:sz w:val="20"/>
          <w:szCs w:val="20"/>
          <w:lang w:eastAsia="en-US"/>
        </w:rPr>
        <w:t>Location Affordability Index (LAI) data, 2008-2012.</w:t>
      </w:r>
    </w:p>
    <w:p w14:paraId="3EE75E50" w14:textId="77777777" w:rsidR="00032070" w:rsidRDefault="00032070" w:rsidP="00032070">
      <w:pPr>
        <w:spacing w:after="0"/>
        <w:ind w:left="900"/>
        <w:rPr>
          <w:rFonts w:ascii="Calibri" w:eastAsia="Calibri" w:hAnsi="Calibri" w:cs="Times New Roman"/>
          <w:lang w:eastAsia="en-US"/>
        </w:rPr>
      </w:pPr>
      <w:r w:rsidRPr="00032070">
        <w:rPr>
          <w:rFonts w:ascii="Calibri" w:eastAsia="Calibri" w:hAnsi="Calibri" w:cs="Times New Roman"/>
          <w:noProof/>
          <w:lang w:eastAsia="en-US"/>
        </w:rPr>
        <w:drawing>
          <wp:inline distT="0" distB="0" distL="0" distR="0" wp14:anchorId="663B49E4" wp14:editId="77F71B8F">
            <wp:extent cx="5194935" cy="2415540"/>
            <wp:effectExtent l="0" t="0" r="12065" b="22860"/>
            <wp:docPr id="65" name="Chart 6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5AE3779" w14:textId="77777777" w:rsidR="00032070" w:rsidRPr="00032070" w:rsidRDefault="00032070" w:rsidP="00032070">
      <w:pPr>
        <w:spacing w:after="0"/>
        <w:rPr>
          <w:rFonts w:ascii="Calibri" w:eastAsia="Calibri" w:hAnsi="Calibri" w:cs="Times New Roman"/>
          <w:lang w:eastAsia="en-US"/>
        </w:rPr>
      </w:pPr>
    </w:p>
    <w:p w14:paraId="7F1D2907" w14:textId="6E6013D1" w:rsidR="0088314D" w:rsidRPr="00BD6AD3" w:rsidRDefault="00E34E80" w:rsidP="5F884969">
      <w:pPr>
        <w:pStyle w:val="ListParagraph"/>
        <w:widowControl w:val="0"/>
        <w:autoSpaceDE w:val="0"/>
        <w:autoSpaceDN w:val="0"/>
        <w:adjustRightInd w:val="0"/>
        <w:spacing w:after="0" w:line="240" w:lineRule="auto"/>
        <w:ind w:left="900"/>
        <w:rPr>
          <w:rFonts w:ascii="Calibri" w:hAnsi="Calibri" w:cs="Calibri"/>
          <w:b/>
          <w:bCs/>
          <w:i/>
          <w:color w:val="000000" w:themeColor="text1"/>
        </w:rPr>
      </w:pPr>
      <w:r w:rsidRPr="00BD6AD3">
        <w:rPr>
          <w:rFonts w:ascii="Calibri" w:hAnsi="Calibri" w:cs="Calibri"/>
          <w:b/>
          <w:bCs/>
          <w:i/>
          <w:color w:val="000000"/>
        </w:rPr>
        <w:t>For the protected class groups HUD has provided data, describe how disparities in access to transportation related to residential living patterns in the jurisdiction and region.</w:t>
      </w:r>
    </w:p>
    <w:p w14:paraId="07CF5BA7" w14:textId="77777777" w:rsidR="0088314D" w:rsidRPr="00BF305D" w:rsidRDefault="0088314D" w:rsidP="0088314D">
      <w:pPr>
        <w:pStyle w:val="ListParagraph"/>
        <w:widowControl w:val="0"/>
        <w:autoSpaceDE w:val="0"/>
        <w:autoSpaceDN w:val="0"/>
        <w:adjustRightInd w:val="0"/>
        <w:spacing w:after="0" w:line="240" w:lineRule="auto"/>
        <w:ind w:left="900"/>
        <w:rPr>
          <w:rFonts w:ascii="Calibri" w:hAnsi="Calibri" w:cs="Times"/>
          <w:b/>
          <w:color w:val="000000"/>
        </w:rPr>
      </w:pPr>
    </w:p>
    <w:p w14:paraId="7AB2E806" w14:textId="77777777" w:rsidR="0088314D" w:rsidRDefault="5F884969" w:rsidP="002F7C2E">
      <w:pPr>
        <w:pStyle w:val="ListParagraph"/>
        <w:widowControl w:val="0"/>
        <w:autoSpaceDE w:val="0"/>
        <w:autoSpaceDN w:val="0"/>
        <w:adjustRightInd w:val="0"/>
        <w:ind w:left="900"/>
        <w:outlineLvl w:val="0"/>
        <w:rPr>
          <w:rFonts w:ascii="Calibri" w:hAnsi="Calibri" w:cs="Calibri"/>
          <w:b/>
          <w:bCs/>
          <w:i/>
          <w:iCs/>
          <w:color w:val="000000" w:themeColor="text1"/>
        </w:rPr>
      </w:pPr>
      <w:r w:rsidRPr="5F884969">
        <w:rPr>
          <w:rFonts w:ascii="Calibri" w:hAnsi="Calibri" w:cs="Calibri"/>
          <w:b/>
          <w:bCs/>
          <w:i/>
          <w:iCs/>
          <w:color w:val="000000" w:themeColor="text1"/>
        </w:rPr>
        <w:t>Burlington</w:t>
      </w:r>
    </w:p>
    <w:p w14:paraId="3C7C2B9C" w14:textId="5DA92D5A" w:rsidR="0088314D" w:rsidRPr="004672C7" w:rsidRDefault="5F884969" w:rsidP="5F884969">
      <w:pPr>
        <w:pStyle w:val="ListParagraph"/>
        <w:widowControl w:val="0"/>
        <w:autoSpaceDE w:val="0"/>
        <w:autoSpaceDN w:val="0"/>
        <w:adjustRightInd w:val="0"/>
        <w:ind w:left="900"/>
        <w:rPr>
          <w:rFonts w:cs="Calibri"/>
          <w:b/>
          <w:bCs/>
          <w:i/>
          <w:iCs/>
          <w:color w:val="000000" w:themeColor="text1"/>
        </w:rPr>
      </w:pPr>
      <w:r w:rsidRPr="5F884969">
        <w:rPr>
          <w:rFonts w:cs="Times New Roman"/>
        </w:rPr>
        <w:t>In Burlington, there is not a lot of variability across racial groups with regard to the lack of reliable, affordable transportation with populations above and below the poverty line. However, the Black, non-Hispanic population below the poverty line does score the lowest on the Transit Trips Index, suggesting the least utilization of public transportation.</w:t>
      </w:r>
    </w:p>
    <w:p w14:paraId="02A1DC36" w14:textId="77777777" w:rsidR="0088314D" w:rsidRDefault="0088314D" w:rsidP="0088314D">
      <w:pPr>
        <w:pStyle w:val="ListParagraph"/>
        <w:widowControl w:val="0"/>
        <w:autoSpaceDE w:val="0"/>
        <w:autoSpaceDN w:val="0"/>
        <w:adjustRightInd w:val="0"/>
        <w:ind w:left="900"/>
        <w:rPr>
          <w:rFonts w:ascii="Calibri" w:hAnsi="Calibri" w:cs="Calibri"/>
          <w:bCs/>
          <w:color w:val="000000"/>
        </w:rPr>
      </w:pPr>
    </w:p>
    <w:p w14:paraId="1689C39C" w14:textId="77777777" w:rsidR="0088314D" w:rsidRDefault="5F884969" w:rsidP="002F7C2E">
      <w:pPr>
        <w:pStyle w:val="ListParagraph"/>
        <w:widowControl w:val="0"/>
        <w:autoSpaceDE w:val="0"/>
        <w:autoSpaceDN w:val="0"/>
        <w:adjustRightInd w:val="0"/>
        <w:spacing w:after="0"/>
        <w:ind w:left="907"/>
        <w:outlineLvl w:val="0"/>
        <w:rPr>
          <w:rFonts w:ascii="Calibri" w:hAnsi="Calibri" w:cs="Calibri"/>
          <w:b/>
          <w:bCs/>
          <w:i/>
          <w:iCs/>
          <w:color w:val="000000" w:themeColor="text1"/>
        </w:rPr>
      </w:pPr>
      <w:r w:rsidRPr="5F884969">
        <w:rPr>
          <w:rFonts w:ascii="Calibri" w:hAnsi="Calibri" w:cs="Calibri"/>
          <w:b/>
          <w:bCs/>
          <w:i/>
          <w:iCs/>
          <w:color w:val="000000" w:themeColor="text1"/>
        </w:rPr>
        <w:t>Burlington-South Burlington Region</w:t>
      </w:r>
    </w:p>
    <w:p w14:paraId="64175445" w14:textId="39DE7049" w:rsidR="00E40853" w:rsidRPr="00D43DD7" w:rsidRDefault="5F884969" w:rsidP="00E40853">
      <w:pPr>
        <w:ind w:left="900"/>
      </w:pPr>
      <w:r>
        <w:t xml:space="preserve">In the Burlington-South Burlington region, the Native American, non-Hispanic population has the lowest score on the Transit Trips Index, both above and below </w:t>
      </w:r>
      <w:r w:rsidR="00967D6C">
        <w:t>the federal poverty line, meaning they are more likely to experience higher transportation costs relative to other groups.</w:t>
      </w:r>
    </w:p>
    <w:p w14:paraId="1671974B" w14:textId="77777777" w:rsidR="00E40853" w:rsidRDefault="00E40853" w:rsidP="5F884969">
      <w:pPr>
        <w:spacing w:after="0"/>
        <w:ind w:left="900"/>
        <w:rPr>
          <w:b/>
          <w:bCs/>
          <w:i/>
          <w:iCs/>
          <w:sz w:val="20"/>
          <w:szCs w:val="20"/>
        </w:rPr>
      </w:pPr>
    </w:p>
    <w:p w14:paraId="1EC5D28B" w14:textId="77777777" w:rsidR="00E40853" w:rsidRDefault="00E40853" w:rsidP="5F884969">
      <w:pPr>
        <w:spacing w:after="0"/>
        <w:ind w:left="900"/>
        <w:rPr>
          <w:b/>
          <w:bCs/>
          <w:i/>
          <w:iCs/>
          <w:sz w:val="20"/>
          <w:szCs w:val="20"/>
        </w:rPr>
      </w:pPr>
    </w:p>
    <w:p w14:paraId="262ADE1D" w14:textId="77777777" w:rsidR="00E40853" w:rsidRDefault="00E40853" w:rsidP="5F884969">
      <w:pPr>
        <w:spacing w:after="0"/>
        <w:ind w:left="900"/>
        <w:rPr>
          <w:b/>
          <w:bCs/>
          <w:i/>
          <w:iCs/>
          <w:sz w:val="20"/>
          <w:szCs w:val="20"/>
        </w:rPr>
      </w:pPr>
    </w:p>
    <w:p w14:paraId="5597BA2D" w14:textId="77777777" w:rsidR="00E40853" w:rsidRDefault="00E40853" w:rsidP="5F884969">
      <w:pPr>
        <w:spacing w:after="0"/>
        <w:ind w:left="900"/>
        <w:rPr>
          <w:b/>
          <w:bCs/>
          <w:i/>
          <w:iCs/>
          <w:sz w:val="20"/>
          <w:szCs w:val="20"/>
        </w:rPr>
      </w:pPr>
    </w:p>
    <w:p w14:paraId="38CE40AA" w14:textId="77777777" w:rsidR="00E40853" w:rsidRDefault="00E40853" w:rsidP="5F884969">
      <w:pPr>
        <w:spacing w:after="0"/>
        <w:ind w:left="900"/>
        <w:rPr>
          <w:b/>
          <w:bCs/>
          <w:i/>
          <w:iCs/>
          <w:sz w:val="20"/>
          <w:szCs w:val="20"/>
        </w:rPr>
      </w:pPr>
    </w:p>
    <w:p w14:paraId="5B939E4F" w14:textId="77777777" w:rsidR="00E40853" w:rsidRDefault="00E40853" w:rsidP="5F884969">
      <w:pPr>
        <w:spacing w:after="0"/>
        <w:ind w:left="900"/>
        <w:rPr>
          <w:b/>
          <w:bCs/>
          <w:i/>
          <w:iCs/>
          <w:sz w:val="20"/>
          <w:szCs w:val="20"/>
        </w:rPr>
      </w:pPr>
    </w:p>
    <w:p w14:paraId="492D33C3" w14:textId="77777777" w:rsidR="00E40853" w:rsidRDefault="00E40853" w:rsidP="5F884969">
      <w:pPr>
        <w:spacing w:after="0"/>
        <w:ind w:left="900"/>
        <w:rPr>
          <w:b/>
          <w:bCs/>
          <w:i/>
          <w:iCs/>
          <w:sz w:val="20"/>
          <w:szCs w:val="20"/>
        </w:rPr>
      </w:pPr>
    </w:p>
    <w:p w14:paraId="66278B5E" w14:textId="77777777" w:rsidR="00E40853" w:rsidRDefault="00E40853" w:rsidP="5F884969">
      <w:pPr>
        <w:spacing w:after="0"/>
        <w:ind w:left="900"/>
        <w:rPr>
          <w:b/>
          <w:bCs/>
          <w:i/>
          <w:iCs/>
          <w:sz w:val="20"/>
          <w:szCs w:val="20"/>
        </w:rPr>
      </w:pPr>
    </w:p>
    <w:p w14:paraId="161A7296" w14:textId="77777777" w:rsidR="00E40853" w:rsidRDefault="00E40853" w:rsidP="5F884969">
      <w:pPr>
        <w:spacing w:after="0"/>
        <w:ind w:left="900"/>
        <w:rPr>
          <w:b/>
          <w:bCs/>
          <w:i/>
          <w:iCs/>
          <w:sz w:val="20"/>
          <w:szCs w:val="20"/>
        </w:rPr>
      </w:pPr>
    </w:p>
    <w:p w14:paraId="0FAAAB61" w14:textId="77777777" w:rsidR="00E40853" w:rsidRDefault="00E40853" w:rsidP="5F884969">
      <w:pPr>
        <w:spacing w:after="0"/>
        <w:ind w:left="900"/>
        <w:rPr>
          <w:b/>
          <w:bCs/>
          <w:i/>
          <w:iCs/>
          <w:sz w:val="20"/>
          <w:szCs w:val="20"/>
        </w:rPr>
      </w:pPr>
    </w:p>
    <w:p w14:paraId="217D5546" w14:textId="77777777" w:rsidR="00E40853" w:rsidRDefault="00E40853" w:rsidP="5F884969">
      <w:pPr>
        <w:spacing w:after="0"/>
        <w:ind w:left="900"/>
        <w:rPr>
          <w:b/>
          <w:bCs/>
          <w:i/>
          <w:iCs/>
          <w:sz w:val="20"/>
          <w:szCs w:val="20"/>
        </w:rPr>
      </w:pPr>
    </w:p>
    <w:p w14:paraId="603D1846" w14:textId="77777777" w:rsidR="00E40853" w:rsidRDefault="00E40853" w:rsidP="5F884969">
      <w:pPr>
        <w:spacing w:after="0"/>
        <w:ind w:left="900"/>
        <w:rPr>
          <w:b/>
          <w:bCs/>
          <w:i/>
          <w:iCs/>
          <w:sz w:val="20"/>
          <w:szCs w:val="20"/>
        </w:rPr>
      </w:pPr>
    </w:p>
    <w:p w14:paraId="22D917F6" w14:textId="77777777" w:rsidR="00E40853" w:rsidRDefault="00E40853" w:rsidP="5F884969">
      <w:pPr>
        <w:spacing w:after="0"/>
        <w:ind w:left="900"/>
        <w:rPr>
          <w:b/>
          <w:bCs/>
          <w:i/>
          <w:iCs/>
          <w:sz w:val="20"/>
          <w:szCs w:val="20"/>
        </w:rPr>
      </w:pPr>
    </w:p>
    <w:p w14:paraId="27EA765E" w14:textId="77777777" w:rsidR="00E40853" w:rsidRDefault="00E40853" w:rsidP="00967D6C">
      <w:pPr>
        <w:spacing w:after="0"/>
        <w:rPr>
          <w:b/>
          <w:bCs/>
          <w:i/>
          <w:iCs/>
          <w:sz w:val="20"/>
          <w:szCs w:val="20"/>
        </w:rPr>
      </w:pPr>
    </w:p>
    <w:p w14:paraId="22F9F82E" w14:textId="77777777" w:rsidR="00E40853" w:rsidRDefault="00E40853" w:rsidP="00E40853">
      <w:pPr>
        <w:spacing w:after="0"/>
        <w:rPr>
          <w:b/>
          <w:bCs/>
          <w:i/>
          <w:iCs/>
          <w:sz w:val="20"/>
          <w:szCs w:val="20"/>
        </w:rPr>
      </w:pPr>
    </w:p>
    <w:p w14:paraId="614C54C6" w14:textId="1FB6C7E8" w:rsidR="00064A44" w:rsidRPr="00064A44" w:rsidRDefault="5F884969" w:rsidP="00E40853">
      <w:pPr>
        <w:spacing w:after="0"/>
        <w:ind w:left="900"/>
        <w:rPr>
          <w:sz w:val="20"/>
          <w:szCs w:val="20"/>
        </w:rPr>
      </w:pPr>
      <w:r w:rsidRPr="5F884969">
        <w:rPr>
          <w:b/>
          <w:bCs/>
          <w:i/>
          <w:iCs/>
          <w:sz w:val="20"/>
          <w:szCs w:val="20"/>
        </w:rPr>
        <w:t>Map 11:</w:t>
      </w:r>
      <w:r w:rsidRPr="5F884969">
        <w:rPr>
          <w:sz w:val="20"/>
          <w:szCs w:val="20"/>
        </w:rPr>
        <w:t xml:space="preserve"> Map showing the Low Transportation Cost Index in the Burlington, VT area. </w:t>
      </w:r>
    </w:p>
    <w:p w14:paraId="485D0AF8" w14:textId="77777777" w:rsidR="00064A44" w:rsidRDefault="00064A44" w:rsidP="00064A44">
      <w:pPr>
        <w:spacing w:after="0"/>
        <w:ind w:left="900"/>
      </w:pPr>
      <w:r>
        <w:rPr>
          <w:noProof/>
          <w:lang w:eastAsia="en-US"/>
        </w:rPr>
        <w:drawing>
          <wp:inline distT="0" distB="0" distL="0" distR="0" wp14:anchorId="1580EED4" wp14:editId="24997BEB">
            <wp:extent cx="5486400" cy="3108960"/>
            <wp:effectExtent l="25400" t="25400" r="25400" b="15240"/>
            <wp:docPr id="13" name="Picture 13" descr="../Desktop/New%20HUD%20Maps/HUDMap11_Transportation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New%20HUD%20Maps/HUDMap11_TransportationCost.jp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5486400" cy="3108960"/>
                    </a:xfrm>
                    <a:prstGeom prst="rect">
                      <a:avLst/>
                    </a:prstGeom>
                    <a:noFill/>
                    <a:ln>
                      <a:solidFill>
                        <a:schemeClr val="tx1"/>
                      </a:solidFill>
                    </a:ln>
                  </pic:spPr>
                </pic:pic>
              </a:graphicData>
            </a:graphic>
          </wp:inline>
        </w:drawing>
      </w:r>
    </w:p>
    <w:p w14:paraId="6DC457B1" w14:textId="77777777" w:rsidR="00064A44" w:rsidRDefault="00064A44" w:rsidP="00682C9A">
      <w:pPr>
        <w:spacing w:after="0"/>
      </w:pPr>
    </w:p>
    <w:p w14:paraId="08F78051" w14:textId="77777777" w:rsidR="0071716E" w:rsidRDefault="0071716E" w:rsidP="00682C9A">
      <w:pPr>
        <w:spacing w:after="0"/>
      </w:pPr>
    </w:p>
    <w:p w14:paraId="1A0260DF" w14:textId="77777777" w:rsidR="0071716E" w:rsidRDefault="0071716E" w:rsidP="00682C9A">
      <w:pPr>
        <w:spacing w:after="0"/>
      </w:pPr>
    </w:p>
    <w:p w14:paraId="684AFC63" w14:textId="77777777" w:rsidR="0071716E" w:rsidRDefault="0071716E" w:rsidP="00682C9A">
      <w:pPr>
        <w:spacing w:after="0"/>
      </w:pPr>
    </w:p>
    <w:p w14:paraId="1FC156B5" w14:textId="77777777" w:rsidR="0071716E" w:rsidRDefault="0071716E" w:rsidP="00682C9A">
      <w:pPr>
        <w:spacing w:after="0"/>
      </w:pPr>
    </w:p>
    <w:p w14:paraId="57281114" w14:textId="77777777" w:rsidR="0071716E" w:rsidRDefault="0071716E" w:rsidP="00682C9A">
      <w:pPr>
        <w:spacing w:after="0"/>
      </w:pPr>
    </w:p>
    <w:p w14:paraId="3724165D" w14:textId="77777777" w:rsidR="0071716E" w:rsidRDefault="0071716E" w:rsidP="00682C9A">
      <w:pPr>
        <w:spacing w:after="0"/>
      </w:pPr>
    </w:p>
    <w:p w14:paraId="7E7ACF6A" w14:textId="77777777" w:rsidR="0071716E" w:rsidRDefault="0071716E" w:rsidP="00682C9A">
      <w:pPr>
        <w:spacing w:after="0"/>
      </w:pPr>
    </w:p>
    <w:p w14:paraId="48740959" w14:textId="77777777" w:rsidR="0071716E" w:rsidRDefault="0071716E" w:rsidP="00682C9A">
      <w:pPr>
        <w:spacing w:after="0"/>
      </w:pPr>
    </w:p>
    <w:p w14:paraId="26976E48" w14:textId="77777777" w:rsidR="0071716E" w:rsidRDefault="0071716E" w:rsidP="00682C9A">
      <w:pPr>
        <w:spacing w:after="0"/>
      </w:pPr>
    </w:p>
    <w:p w14:paraId="1A6E768F" w14:textId="77777777" w:rsidR="0071716E" w:rsidRDefault="0071716E" w:rsidP="00682C9A">
      <w:pPr>
        <w:spacing w:after="0"/>
      </w:pPr>
    </w:p>
    <w:p w14:paraId="1AC6FA7B" w14:textId="77777777" w:rsidR="0071716E" w:rsidRDefault="0071716E" w:rsidP="00682C9A">
      <w:pPr>
        <w:spacing w:after="0"/>
      </w:pPr>
    </w:p>
    <w:p w14:paraId="5E8412CE" w14:textId="77777777" w:rsidR="0071716E" w:rsidRDefault="0071716E" w:rsidP="00682C9A">
      <w:pPr>
        <w:spacing w:after="0"/>
      </w:pPr>
    </w:p>
    <w:p w14:paraId="0BD245AD" w14:textId="77777777" w:rsidR="0071716E" w:rsidRDefault="0071716E" w:rsidP="00682C9A">
      <w:pPr>
        <w:spacing w:after="0"/>
      </w:pPr>
    </w:p>
    <w:p w14:paraId="20650170" w14:textId="77777777" w:rsidR="00064A44" w:rsidRPr="00064A44" w:rsidRDefault="5F884969" w:rsidP="5F884969">
      <w:pPr>
        <w:spacing w:after="0"/>
        <w:ind w:left="900"/>
        <w:rPr>
          <w:sz w:val="20"/>
          <w:szCs w:val="20"/>
        </w:rPr>
      </w:pPr>
      <w:r w:rsidRPr="5F884969">
        <w:rPr>
          <w:b/>
          <w:bCs/>
          <w:i/>
          <w:iCs/>
          <w:sz w:val="20"/>
          <w:szCs w:val="20"/>
        </w:rPr>
        <w:t>Map 12:</w:t>
      </w:r>
      <w:r w:rsidRPr="5F884969">
        <w:rPr>
          <w:sz w:val="20"/>
          <w:szCs w:val="20"/>
        </w:rPr>
        <w:t xml:space="preserve"> Map showing the Transit Trips Index in the Burlington, VT area. (HUD Map 10)</w:t>
      </w:r>
    </w:p>
    <w:p w14:paraId="654DF72B" w14:textId="73F67327" w:rsidR="0088314D" w:rsidRDefault="00064A44" w:rsidP="00064A44">
      <w:pPr>
        <w:spacing w:after="0"/>
        <w:ind w:left="900"/>
      </w:pPr>
      <w:r>
        <w:rPr>
          <w:noProof/>
          <w:lang w:eastAsia="en-US"/>
        </w:rPr>
        <w:drawing>
          <wp:inline distT="0" distB="0" distL="0" distR="0" wp14:anchorId="3A63CE4A" wp14:editId="11DDBC03">
            <wp:extent cx="5486400" cy="3383280"/>
            <wp:effectExtent l="25400" t="25400" r="25400" b="20320"/>
            <wp:docPr id="14" name="Picture 14" descr="../Desktop/New%20HUD%20Maps/HUDMap10_TransitTr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New%20HUD%20Maps/HUDMap10_TransitTrips.jpg"/>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5486400" cy="3383280"/>
                    </a:xfrm>
                    <a:prstGeom prst="rect">
                      <a:avLst/>
                    </a:prstGeom>
                    <a:noFill/>
                    <a:ln>
                      <a:solidFill>
                        <a:schemeClr val="tx1"/>
                      </a:solidFill>
                    </a:ln>
                  </pic:spPr>
                </pic:pic>
              </a:graphicData>
            </a:graphic>
          </wp:inline>
        </w:drawing>
      </w:r>
    </w:p>
    <w:p w14:paraId="4BB51DED" w14:textId="77777777" w:rsidR="007429CD" w:rsidRDefault="007429CD" w:rsidP="00A62C24">
      <w:pPr>
        <w:widowControl w:val="0"/>
        <w:autoSpaceDE w:val="0"/>
        <w:autoSpaceDN w:val="0"/>
        <w:adjustRightInd w:val="0"/>
        <w:spacing w:after="0" w:line="240" w:lineRule="auto"/>
        <w:ind w:left="900"/>
        <w:rPr>
          <w:b/>
          <w:bCs/>
          <w:i/>
          <w:iCs/>
        </w:rPr>
      </w:pPr>
    </w:p>
    <w:p w14:paraId="7E49EC54" w14:textId="77777777" w:rsidR="007429CD" w:rsidRDefault="007429CD" w:rsidP="00A62C24">
      <w:pPr>
        <w:widowControl w:val="0"/>
        <w:autoSpaceDE w:val="0"/>
        <w:autoSpaceDN w:val="0"/>
        <w:adjustRightInd w:val="0"/>
        <w:spacing w:after="0" w:line="240" w:lineRule="auto"/>
        <w:ind w:left="900"/>
        <w:rPr>
          <w:b/>
          <w:bCs/>
          <w:i/>
          <w:iCs/>
        </w:rPr>
      </w:pPr>
    </w:p>
    <w:p w14:paraId="74FC4D8C" w14:textId="77777777" w:rsidR="007429CD" w:rsidRDefault="007429CD" w:rsidP="00A62C24">
      <w:pPr>
        <w:widowControl w:val="0"/>
        <w:autoSpaceDE w:val="0"/>
        <w:autoSpaceDN w:val="0"/>
        <w:adjustRightInd w:val="0"/>
        <w:spacing w:after="0" w:line="240" w:lineRule="auto"/>
        <w:ind w:left="900"/>
        <w:rPr>
          <w:b/>
          <w:bCs/>
          <w:i/>
          <w:iCs/>
        </w:rPr>
      </w:pPr>
    </w:p>
    <w:p w14:paraId="0E37D798" w14:textId="77777777" w:rsidR="007429CD" w:rsidRDefault="007429CD" w:rsidP="00A62C24">
      <w:pPr>
        <w:widowControl w:val="0"/>
        <w:autoSpaceDE w:val="0"/>
        <w:autoSpaceDN w:val="0"/>
        <w:adjustRightInd w:val="0"/>
        <w:spacing w:after="0" w:line="240" w:lineRule="auto"/>
        <w:ind w:left="900"/>
        <w:rPr>
          <w:b/>
          <w:bCs/>
          <w:i/>
          <w:iCs/>
        </w:rPr>
      </w:pPr>
    </w:p>
    <w:p w14:paraId="0660AEDC" w14:textId="77777777" w:rsidR="007429CD" w:rsidRDefault="007429CD" w:rsidP="00210EF0">
      <w:pPr>
        <w:widowControl w:val="0"/>
        <w:autoSpaceDE w:val="0"/>
        <w:autoSpaceDN w:val="0"/>
        <w:adjustRightInd w:val="0"/>
        <w:spacing w:after="0" w:line="240" w:lineRule="auto"/>
        <w:rPr>
          <w:b/>
          <w:bCs/>
          <w:i/>
          <w:iCs/>
        </w:rPr>
      </w:pPr>
    </w:p>
    <w:p w14:paraId="4620DCC1" w14:textId="77777777" w:rsidR="007429CD" w:rsidRDefault="007429CD" w:rsidP="00A62C24">
      <w:pPr>
        <w:widowControl w:val="0"/>
        <w:autoSpaceDE w:val="0"/>
        <w:autoSpaceDN w:val="0"/>
        <w:adjustRightInd w:val="0"/>
        <w:spacing w:after="0" w:line="240" w:lineRule="auto"/>
        <w:ind w:left="900"/>
        <w:rPr>
          <w:b/>
          <w:bCs/>
          <w:i/>
          <w:iCs/>
        </w:rPr>
      </w:pPr>
    </w:p>
    <w:p w14:paraId="31992E93" w14:textId="7C859353" w:rsidR="0088314D" w:rsidRPr="00BD6AD3" w:rsidRDefault="5F884969" w:rsidP="00A62C24">
      <w:pPr>
        <w:widowControl w:val="0"/>
        <w:autoSpaceDE w:val="0"/>
        <w:autoSpaceDN w:val="0"/>
        <w:adjustRightInd w:val="0"/>
        <w:spacing w:after="0" w:line="240" w:lineRule="auto"/>
        <w:ind w:left="900"/>
        <w:rPr>
          <w:rFonts w:ascii="Calibri" w:hAnsi="Calibri" w:cs="Calibri"/>
          <w:b/>
          <w:bCs/>
          <w:i/>
          <w:color w:val="000000" w:themeColor="text1"/>
        </w:rPr>
      </w:pPr>
      <w:r w:rsidRPr="00A62C24">
        <w:rPr>
          <w:b/>
          <w:bCs/>
          <w:i/>
          <w:iCs/>
        </w:rPr>
        <w:t xml:space="preserve"> </w:t>
      </w:r>
      <w:r w:rsidRPr="00BD6AD3">
        <w:rPr>
          <w:rFonts w:ascii="Calibri" w:hAnsi="Calibri" w:cs="Calibri"/>
          <w:b/>
          <w:bCs/>
          <w:i/>
          <w:color w:val="000000" w:themeColor="text1"/>
        </w:rPr>
        <w:t>Informed by community participation, any consultation with other relevant government agencies, and the participant’s own local data and local knowledge, discuss whether there are programs, policies, or funding mechanisms that affect disparities in access to transportation.</w:t>
      </w:r>
    </w:p>
    <w:p w14:paraId="289E693F" w14:textId="77777777" w:rsidR="00CC3FF0" w:rsidRPr="00D4395B" w:rsidRDefault="00CC3FF0" w:rsidP="0088314D">
      <w:pPr>
        <w:pStyle w:val="ListParagraph"/>
        <w:widowControl w:val="0"/>
        <w:autoSpaceDE w:val="0"/>
        <w:autoSpaceDN w:val="0"/>
        <w:adjustRightInd w:val="0"/>
        <w:spacing w:after="0" w:line="240" w:lineRule="auto"/>
        <w:ind w:left="900"/>
        <w:rPr>
          <w:rFonts w:ascii="Calibri" w:hAnsi="Calibri" w:cs="Times"/>
          <w:b/>
          <w:color w:val="000000"/>
        </w:rPr>
      </w:pPr>
    </w:p>
    <w:p w14:paraId="60600E72" w14:textId="77777777" w:rsidR="008346F0" w:rsidRPr="009F0C27" w:rsidRDefault="5F884969" w:rsidP="5F884969">
      <w:pPr>
        <w:pStyle w:val="NormalWeb"/>
        <w:spacing w:before="0" w:beforeAutospacing="0" w:after="240" w:afterAutospacing="0"/>
        <w:ind w:left="900"/>
        <w:rPr>
          <w:rFonts w:ascii="Calibri" w:hAnsi="Calibri"/>
          <w:sz w:val="22"/>
          <w:szCs w:val="22"/>
        </w:rPr>
      </w:pPr>
      <w:r w:rsidRPr="009F0C27">
        <w:rPr>
          <w:rFonts w:ascii="Calibri" w:hAnsi="Calibri"/>
          <w:sz w:val="22"/>
          <w:szCs w:val="22"/>
        </w:rPr>
        <w:t xml:space="preserve">Burlington has a longstanding commitment to provide a range of interconnected, safe, affordable, efficient and convenient transportation choices not only for residents, but visitors alike. Specifically, regarding public transit, </w:t>
      </w:r>
      <w:hyperlink r:id="rId58">
        <w:r w:rsidRPr="009F0C27">
          <w:rPr>
            <w:rStyle w:val="Hyperlink"/>
            <w:rFonts w:ascii="Calibri" w:hAnsi="Calibri"/>
            <w:sz w:val="22"/>
            <w:szCs w:val="22"/>
          </w:rPr>
          <w:t>Green Mountain Transit (GMT)</w:t>
        </w:r>
      </w:hyperlink>
      <w:r w:rsidRPr="009F0C27">
        <w:rPr>
          <w:rFonts w:ascii="Calibri" w:hAnsi="Calibri"/>
          <w:sz w:val="22"/>
          <w:szCs w:val="22"/>
        </w:rPr>
        <w:t xml:space="preserve"> is the regional public transit system based in Burlington. GMT offers Chittenden County residents and employees in the region many affordable and convenient options to get to work. Commuter services include the LINK Express routes and Local Commuter routes. The GMT serves several communities including Burlington, Essex, South Burlington, Shelburne, Williston, and Winooski and a portion of Colchester. </w:t>
      </w:r>
    </w:p>
    <w:p w14:paraId="4AE61AC3" w14:textId="77777777" w:rsidR="008346F0" w:rsidRPr="007A6CF5" w:rsidRDefault="5F884969" w:rsidP="008346F0">
      <w:pPr>
        <w:ind w:left="900"/>
      </w:pPr>
      <w:r>
        <w:t xml:space="preserve">In October 2016, GMT opened its new $7.7 million transit center in Burlington’s downtown. The new transit center services as a transfer point for other bus companies such as </w:t>
      </w:r>
      <w:proofErr w:type="spellStart"/>
      <w:r>
        <w:t>Megabus</w:t>
      </w:r>
      <w:proofErr w:type="spellEnd"/>
      <w:r>
        <w:t xml:space="preserve"> and Greyhound. Also, GMT recently launched a mobile phone application that delivers real-time bus information to passengers, thus enhancing the ridership experience. Recently, the </w:t>
      </w:r>
      <w:r>
        <w:lastRenderedPageBreak/>
        <w:t>transit authority upgraded its rolling stock with a fleet of new buses and added twenty-three new routes in various Vermont communities.</w:t>
      </w:r>
    </w:p>
    <w:p w14:paraId="0E6B5FE1" w14:textId="47AAD063" w:rsidR="6A6D091A" w:rsidRDefault="6A6D091A" w:rsidP="6A6D091A">
      <w:pPr>
        <w:ind w:left="900"/>
      </w:pPr>
      <w:r>
        <w:t xml:space="preserve">In personal interviews, several people noted a challenge in transportation needs for people who work during a second or third shift with limitations on public transportation. </w:t>
      </w:r>
    </w:p>
    <w:p w14:paraId="07C4C481" w14:textId="1F1FD467" w:rsidR="00AC7D43" w:rsidRDefault="00AC7D43" w:rsidP="6A6D091A">
      <w:pPr>
        <w:ind w:left="900"/>
      </w:pPr>
      <w:r>
        <w:t>Our community survey asked respondents to rate access to public transportation in their neighborhood. Seventy-five percent of the respondents rated public transportation access as excellent or good and only 5% rating transportation access as poor.</w:t>
      </w:r>
      <w:r w:rsidR="00FE0C46">
        <w:t xml:space="preserve"> In addition, a local non-profit, as well as a local ministry provide bus passes to those in need.</w:t>
      </w:r>
    </w:p>
    <w:p w14:paraId="5F1C920F" w14:textId="77777777" w:rsidR="00F7575B" w:rsidRDefault="5F884969" w:rsidP="002F7C2E">
      <w:pPr>
        <w:pStyle w:val="ListParagraph"/>
        <w:widowControl w:val="0"/>
        <w:autoSpaceDE w:val="0"/>
        <w:autoSpaceDN w:val="0"/>
        <w:adjustRightInd w:val="0"/>
        <w:spacing w:after="0"/>
        <w:ind w:left="907"/>
        <w:outlineLvl w:val="0"/>
        <w:rPr>
          <w:rFonts w:ascii="Calibri" w:hAnsi="Calibri" w:cs="Calibri"/>
          <w:b/>
          <w:bCs/>
          <w:i/>
          <w:iCs/>
          <w:color w:val="000000" w:themeColor="text1"/>
        </w:rPr>
      </w:pPr>
      <w:r w:rsidRPr="5F884969">
        <w:rPr>
          <w:rFonts w:ascii="Calibri" w:hAnsi="Calibri" w:cs="Calibri"/>
          <w:b/>
          <w:bCs/>
          <w:i/>
          <w:iCs/>
          <w:color w:val="000000" w:themeColor="text1"/>
        </w:rPr>
        <w:t>Burlington-South Burlington Region</w:t>
      </w:r>
    </w:p>
    <w:p w14:paraId="251EF2F6" w14:textId="77777777" w:rsidR="00581A0A" w:rsidRDefault="5F884969" w:rsidP="0088314D">
      <w:pPr>
        <w:ind w:left="900"/>
      </w:pPr>
      <w:r>
        <w:t xml:space="preserve">According to the 2013 Chittenden County ECOS Plan produced by the Chittenden County Regional Planning Council, our region is served by a Northern Corridor, meeting the travel needs connecting Burlington to Franklin and Grand Isle Counties. Since Burlington remains an economic and employment hub, much of the travel and transportation needs focus on car travel to residential living. </w:t>
      </w:r>
    </w:p>
    <w:p w14:paraId="7350AAF9" w14:textId="03A7EEA6" w:rsidR="00F7575B" w:rsidRDefault="5F884969" w:rsidP="0088314D">
      <w:pPr>
        <w:ind w:left="900"/>
      </w:pPr>
      <w:r>
        <w:t xml:space="preserve">Although most of the public transportation needs are served by GMT in the urban core of Chittenden County, public transportation services are limited through the Northern Corridor. Outside of Chittenden County, including Franklin and Grand Isle Counties, GMT provides a variety of public transportation services including local routes, commuter routes, demand response medical shuttles, and service to elders and persons with disabilities. It is the first and only transit authority in Vermont. GMT offers one way fares, monthly passes and 10-ride tickets and many routes offer discounts for senior citizens, youth and children. GMT operates rural public transportation within our northern counties which includes some fixed route and special shopping shuttles as noted next. GMT operates a daily and limited bus to St. Albans in Franklin County. Commuter from </w:t>
      </w:r>
      <w:proofErr w:type="spellStart"/>
      <w:r>
        <w:t>Alburgh</w:t>
      </w:r>
      <w:proofErr w:type="spellEnd"/>
      <w:r>
        <w:t xml:space="preserve"> to Georgia. Richford to St. Albans. Free Price Chopper Shopping Shuttle in St. Albans and Swanton. </w:t>
      </w:r>
    </w:p>
    <w:p w14:paraId="18FE7607" w14:textId="71231B05" w:rsidR="00581A0A" w:rsidRDefault="5F884969" w:rsidP="0088314D">
      <w:pPr>
        <w:ind w:left="900"/>
      </w:pPr>
      <w:r>
        <w:t>With a number of road improvements, bicycle and pedestrian accommodations are improving, especially in village areas. Some excellent examples of cyclist accommodations include the shoulders on US 2 from Chimney Corners to the Sandbar Causeway and the seasonal operation of a specially equipped bike ferry, run by a local nonprofit, Local Motion, to carry bicyclists comfortably across the 200 foot cut in between Chittenden and Grand Isle Counties.</w:t>
      </w:r>
    </w:p>
    <w:p w14:paraId="6AD090AA" w14:textId="3CD2801A" w:rsidR="009B2FC7" w:rsidRPr="0088314D" w:rsidRDefault="6A6D091A" w:rsidP="009B2FC7">
      <w:pPr>
        <w:ind w:left="900"/>
      </w:pPr>
      <w:r>
        <w:t xml:space="preserve"> Some populations including protected classes of youth and elderly, communities of color have less access to public transportation in suburban/rural areas, limiting access to employment, recreation and economic opportunities. Reliance on personal transportation creates a household cost burden – rural and suburban residents are more important by household transportation costs. More vehicle miles traveled in the outer regional areas may potentially increase air pollutants and greenhouse gases.</w:t>
      </w:r>
    </w:p>
    <w:p w14:paraId="25C989FD" w14:textId="2524BA4F" w:rsidR="00AD4833" w:rsidRPr="00E6668E" w:rsidRDefault="00640FD8" w:rsidP="5F884969">
      <w:pPr>
        <w:pStyle w:val="ListParagraph"/>
        <w:numPr>
          <w:ilvl w:val="0"/>
          <w:numId w:val="9"/>
        </w:numPr>
        <w:ind w:left="900"/>
        <w:rPr>
          <w:b/>
          <w:bCs/>
          <w:i/>
          <w:iCs/>
        </w:rPr>
      </w:pPr>
      <w:bookmarkStart w:id="36" w:name="LowPovertyExposureOpportunities"/>
      <w:r>
        <w:rPr>
          <w:b/>
          <w:bCs/>
        </w:rPr>
        <w:t>Access to Low Poverty Neighborhoods</w:t>
      </w:r>
    </w:p>
    <w:bookmarkEnd w:id="36"/>
    <w:p w14:paraId="47325B7D" w14:textId="2E6AEB5E" w:rsidR="00E6668E" w:rsidRPr="00D4249E" w:rsidRDefault="5F884969" w:rsidP="5F884969">
      <w:pPr>
        <w:pStyle w:val="BodyText"/>
        <w:ind w:left="900"/>
        <w:rPr>
          <w:rFonts w:ascii="Calibri" w:hAnsi="Calibri"/>
        </w:rPr>
      </w:pPr>
      <w:r w:rsidRPr="00D4249E">
        <w:rPr>
          <w:rFonts w:ascii="Calibri" w:hAnsi="Calibri"/>
        </w:rPr>
        <w:t xml:space="preserve">Low poverty exposure is measured by the Low Poverty Index, which captures the level of poverty in a given neighborhood. The index is based on the poverty rate, and is calculated at the census tract level. Values are inverted and percentile ranked nationally. The resulting </w:t>
      </w:r>
      <w:r w:rsidRPr="00D4249E">
        <w:rPr>
          <w:rFonts w:ascii="Calibri" w:hAnsi="Calibri"/>
        </w:rPr>
        <w:lastRenderedPageBreak/>
        <w:t>values range from 0 to 100. The higher the score, the less exposure to poverty in a neighborhood.</w:t>
      </w:r>
    </w:p>
    <w:p w14:paraId="29E8A7CB" w14:textId="2DF559AA" w:rsidR="0088314D" w:rsidRDefault="5F884969" w:rsidP="5F884969">
      <w:pPr>
        <w:pStyle w:val="ListParagraph"/>
        <w:widowControl w:val="0"/>
        <w:autoSpaceDE w:val="0"/>
        <w:autoSpaceDN w:val="0"/>
        <w:adjustRightInd w:val="0"/>
        <w:spacing w:after="0" w:line="240" w:lineRule="auto"/>
        <w:ind w:left="900"/>
        <w:rPr>
          <w:rFonts w:ascii="Calibri" w:hAnsi="Calibri" w:cs="Calibri"/>
          <w:b/>
          <w:bCs/>
          <w:color w:val="000000" w:themeColor="text1"/>
        </w:rPr>
      </w:pPr>
      <w:r w:rsidRPr="5F884969">
        <w:rPr>
          <w:b/>
          <w:bCs/>
          <w:i/>
          <w:iCs/>
        </w:rPr>
        <w:t xml:space="preserve">AFH Prompt 1.d.i: </w:t>
      </w:r>
      <w:r w:rsidRPr="5F884969">
        <w:rPr>
          <w:rFonts w:ascii="Calibri" w:hAnsi="Calibri" w:cs="Calibri"/>
          <w:b/>
          <w:bCs/>
          <w:color w:val="000000" w:themeColor="text1"/>
        </w:rPr>
        <w:t xml:space="preserve">For the protected class groups HUD has provided data, describe any disparities in access to transportation related to costs and access to public transit in the jurisdiction and region.  </w:t>
      </w:r>
    </w:p>
    <w:p w14:paraId="387D94F7" w14:textId="77777777" w:rsidR="00CC3FF0" w:rsidRDefault="00CC3FF0" w:rsidP="00CC3FF0">
      <w:pPr>
        <w:pStyle w:val="ListParagraph"/>
        <w:widowControl w:val="0"/>
        <w:autoSpaceDE w:val="0"/>
        <w:autoSpaceDN w:val="0"/>
        <w:adjustRightInd w:val="0"/>
        <w:spacing w:after="0" w:line="240" w:lineRule="auto"/>
        <w:ind w:left="900"/>
        <w:rPr>
          <w:rFonts w:ascii="Calibri" w:hAnsi="Calibri" w:cs="Times"/>
          <w:b/>
          <w:i/>
          <w:color w:val="000000"/>
        </w:rPr>
      </w:pPr>
    </w:p>
    <w:p w14:paraId="7A45729B" w14:textId="1033AFB7" w:rsidR="0088314D" w:rsidRPr="008407B8" w:rsidRDefault="5F884969" w:rsidP="002F7C2E">
      <w:pPr>
        <w:pStyle w:val="ListParagraph"/>
        <w:widowControl w:val="0"/>
        <w:autoSpaceDE w:val="0"/>
        <w:autoSpaceDN w:val="0"/>
        <w:adjustRightInd w:val="0"/>
        <w:ind w:left="900"/>
        <w:outlineLvl w:val="0"/>
        <w:rPr>
          <w:rFonts w:ascii="Calibri" w:hAnsi="Calibri" w:cs="Times"/>
          <w:b/>
          <w:bCs/>
          <w:i/>
          <w:iCs/>
          <w:color w:val="000000" w:themeColor="text1"/>
        </w:rPr>
      </w:pPr>
      <w:r w:rsidRPr="5F884969">
        <w:rPr>
          <w:rFonts w:ascii="Calibri" w:hAnsi="Calibri" w:cs="Times"/>
          <w:b/>
          <w:bCs/>
          <w:i/>
          <w:iCs/>
          <w:color w:val="000000" w:themeColor="text1"/>
        </w:rPr>
        <w:t>Burlington</w:t>
      </w:r>
    </w:p>
    <w:p w14:paraId="68F31282" w14:textId="08441F5B" w:rsidR="00522645"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Native American and Black populations have the most exposure to poverty within Burlington, with 38.71 and 39.82 low poverty index points, respectively. This contrasts with the White, Non-Hispanic population which has the least exposure to poverty with 52.14 index points. The Asian or Pacific Islander population in Burlington has relatively high exposure to poverty, with 43.97 index points, while the Hispanic population has lower exposure with 50.30 index points. Overall, disparity between populations based on race and ethnicity is moderate, with a difference of 13.43 index points between White and Native American populations (</w:t>
      </w:r>
      <w:r w:rsidRPr="00967D6C">
        <w:rPr>
          <w:rFonts w:ascii="Calibri" w:hAnsi="Calibri" w:cs="Times"/>
          <w:color w:val="000000" w:themeColor="text1"/>
        </w:rPr>
        <w:t>figure 29</w:t>
      </w:r>
      <w:r w:rsidRPr="5F884969">
        <w:rPr>
          <w:rFonts w:ascii="Calibri" w:hAnsi="Calibri" w:cs="Times"/>
          <w:color w:val="000000" w:themeColor="text1"/>
        </w:rPr>
        <w:t>).</w:t>
      </w:r>
    </w:p>
    <w:p w14:paraId="684AD9B8" w14:textId="77777777" w:rsidR="000D1D8D" w:rsidRDefault="000D1D8D" w:rsidP="5F884969">
      <w:pPr>
        <w:pStyle w:val="ListParagraph"/>
        <w:widowControl w:val="0"/>
        <w:autoSpaceDE w:val="0"/>
        <w:autoSpaceDN w:val="0"/>
        <w:adjustRightInd w:val="0"/>
        <w:ind w:left="900"/>
        <w:rPr>
          <w:rFonts w:ascii="Calibri" w:hAnsi="Calibri" w:cs="Times"/>
          <w:color w:val="000000" w:themeColor="text1"/>
        </w:rPr>
      </w:pPr>
    </w:p>
    <w:p w14:paraId="1A8F6234" w14:textId="77777777" w:rsidR="000D1D8D" w:rsidRDefault="000D1D8D" w:rsidP="5F884969">
      <w:pPr>
        <w:pStyle w:val="ListParagraph"/>
        <w:widowControl w:val="0"/>
        <w:autoSpaceDE w:val="0"/>
        <w:autoSpaceDN w:val="0"/>
        <w:adjustRightInd w:val="0"/>
        <w:ind w:left="900"/>
        <w:rPr>
          <w:rFonts w:ascii="Calibri" w:hAnsi="Calibri" w:cs="Times"/>
          <w:color w:val="000000" w:themeColor="text1"/>
        </w:rPr>
      </w:pPr>
    </w:p>
    <w:p w14:paraId="09B7301F" w14:textId="77777777" w:rsidR="000D1D8D" w:rsidRPr="00F43A95" w:rsidRDefault="000D1D8D" w:rsidP="5F884969">
      <w:pPr>
        <w:pStyle w:val="ListParagraph"/>
        <w:widowControl w:val="0"/>
        <w:autoSpaceDE w:val="0"/>
        <w:autoSpaceDN w:val="0"/>
        <w:adjustRightInd w:val="0"/>
        <w:ind w:left="900"/>
        <w:rPr>
          <w:rFonts w:ascii="Calibri" w:hAnsi="Calibri" w:cs="Times"/>
          <w:color w:val="000000" w:themeColor="text1"/>
        </w:rPr>
      </w:pPr>
    </w:p>
    <w:p w14:paraId="471709DE" w14:textId="77777777" w:rsidR="005E56FA" w:rsidRPr="0004444A" w:rsidRDefault="5F884969" w:rsidP="5F884969">
      <w:pPr>
        <w:spacing w:after="0"/>
        <w:ind w:left="900"/>
        <w:rPr>
          <w:rFonts w:ascii="Calibri" w:hAnsi="Calibri" w:cs="Times"/>
          <w:noProof/>
          <w:sz w:val="20"/>
          <w:szCs w:val="20"/>
        </w:rPr>
      </w:pPr>
      <w:r w:rsidRPr="5F884969">
        <w:rPr>
          <w:b/>
          <w:bCs/>
          <w:i/>
          <w:iCs/>
          <w:sz w:val="20"/>
          <w:szCs w:val="20"/>
        </w:rPr>
        <w:t>Figure 29:</w:t>
      </w:r>
      <w:r w:rsidRPr="5F884969">
        <w:rPr>
          <w:sz w:val="20"/>
          <w:szCs w:val="20"/>
        </w:rPr>
        <w:t xml:space="preserve"> Low Poverty Index </w:t>
      </w:r>
      <w:proofErr w:type="gramStart"/>
      <w:r w:rsidRPr="5F884969">
        <w:rPr>
          <w:sz w:val="20"/>
          <w:szCs w:val="20"/>
        </w:rPr>
        <w:t>Among</w:t>
      </w:r>
      <w:proofErr w:type="gramEnd"/>
      <w:r w:rsidRPr="5F884969">
        <w:rPr>
          <w:sz w:val="20"/>
          <w:szCs w:val="20"/>
        </w:rPr>
        <w:t xml:space="preserve"> Racial/Ethnic Groups in Burlington, VT. Source: </w:t>
      </w:r>
      <w:r w:rsidRPr="5F884969">
        <w:rPr>
          <w:rFonts w:ascii="Calibri" w:hAnsi="Calibri" w:cs="Times"/>
          <w:noProof/>
          <w:sz w:val="20"/>
          <w:szCs w:val="20"/>
        </w:rPr>
        <w:t>American Community Survey (ACS), 2009-2013.</w:t>
      </w:r>
    </w:p>
    <w:p w14:paraId="59E2661C" w14:textId="15AAF862" w:rsidR="005E56FA" w:rsidRDefault="005E56FA" w:rsidP="0004444A">
      <w:pPr>
        <w:spacing w:after="0"/>
        <w:ind w:left="900"/>
      </w:pPr>
      <w:r>
        <w:rPr>
          <w:noProof/>
          <w:lang w:eastAsia="en-US"/>
        </w:rPr>
        <w:drawing>
          <wp:inline distT="0" distB="0" distL="0" distR="0" wp14:anchorId="5B078FE8" wp14:editId="3DA3F238">
            <wp:extent cx="5533901" cy="2719449"/>
            <wp:effectExtent l="0" t="0" r="3810" b="24130"/>
            <wp:docPr id="67" name="Chart 6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31EB69B" w14:textId="77777777" w:rsidR="005E56FA" w:rsidRDefault="005E56FA" w:rsidP="005E56FA">
      <w:pPr>
        <w:spacing w:after="0"/>
      </w:pPr>
    </w:p>
    <w:p w14:paraId="0CDCAD62" w14:textId="77777777" w:rsidR="0088314D" w:rsidRPr="008407B8" w:rsidRDefault="5F884969" w:rsidP="002F7C2E">
      <w:pPr>
        <w:pStyle w:val="ListParagraph"/>
        <w:widowControl w:val="0"/>
        <w:autoSpaceDE w:val="0"/>
        <w:autoSpaceDN w:val="0"/>
        <w:adjustRightInd w:val="0"/>
        <w:spacing w:after="0"/>
        <w:ind w:left="907"/>
        <w:outlineLvl w:val="0"/>
        <w:rPr>
          <w:rFonts w:ascii="Calibri" w:hAnsi="Calibri" w:cs="Times"/>
          <w:b/>
          <w:bCs/>
          <w:i/>
          <w:iCs/>
          <w:color w:val="000000" w:themeColor="text1"/>
        </w:rPr>
      </w:pPr>
      <w:r w:rsidRPr="5F884969">
        <w:rPr>
          <w:rFonts w:ascii="Calibri" w:hAnsi="Calibri" w:cs="Times"/>
          <w:b/>
          <w:bCs/>
          <w:i/>
          <w:iCs/>
          <w:color w:val="000000" w:themeColor="text1"/>
        </w:rPr>
        <w:t>Burlington-South Burlington Region</w:t>
      </w:r>
    </w:p>
    <w:p w14:paraId="6CA081DF" w14:textId="708D8301" w:rsidR="005E56FA" w:rsidRPr="0004444A" w:rsidRDefault="5F884969" w:rsidP="5F884969">
      <w:pPr>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Within the Burlington-South Burlington region, there is less exposure to poverty, in general, when compared to poverty levels within Burlington (</w:t>
      </w:r>
      <w:r w:rsidRPr="00DE4B08">
        <w:rPr>
          <w:rFonts w:ascii="Calibri" w:hAnsi="Calibri" w:cs="Times"/>
          <w:color w:val="000000" w:themeColor="text1"/>
        </w:rPr>
        <w:t>figure 30</w:t>
      </w:r>
      <w:r w:rsidRPr="5F884969">
        <w:rPr>
          <w:rFonts w:ascii="Calibri" w:hAnsi="Calibri" w:cs="Times"/>
          <w:color w:val="000000" w:themeColor="text1"/>
        </w:rPr>
        <w:t>). However, disparity in exposure to poverty among populations based on racial and ethnic differences are slightly higher in the region than compared to the Burlington jurisdiction. Again, the White population experiences the least exposure to poverty with 68.23 index points, and the Black population has the highest exposure to poverty with 52.54 points. Native American, Asian or Pacific Islander, and Hispanic populations’ exposure to poverty fall in between those two groups, with 57.17, 62.69, and 64.34 index points, respectively.</w:t>
      </w:r>
    </w:p>
    <w:p w14:paraId="64A328D1" w14:textId="77777777" w:rsidR="005E56FA" w:rsidRPr="0004444A" w:rsidRDefault="005E56FA" w:rsidP="0004444A">
      <w:pPr>
        <w:spacing w:after="0"/>
        <w:ind w:left="900"/>
        <w:rPr>
          <w:rFonts w:ascii="Calibri" w:hAnsi="Calibri" w:cs="Times"/>
          <w:noProof/>
          <w:sz w:val="20"/>
          <w:szCs w:val="20"/>
        </w:rPr>
      </w:pPr>
      <w:r w:rsidRPr="0004444A">
        <w:rPr>
          <w:rFonts w:ascii="Calibri" w:hAnsi="Calibri" w:cs="Times"/>
          <w:b/>
          <w:i/>
          <w:noProof/>
          <w:sz w:val="20"/>
          <w:szCs w:val="20"/>
        </w:rPr>
        <w:lastRenderedPageBreak/>
        <w:t xml:space="preserve">Figure 30: </w:t>
      </w:r>
      <w:r w:rsidRPr="0004444A">
        <w:rPr>
          <w:rFonts w:ascii="Calibri" w:hAnsi="Calibri" w:cs="Times"/>
          <w:noProof/>
          <w:sz w:val="20"/>
          <w:szCs w:val="20"/>
        </w:rPr>
        <w:t>Low Poverty Index Among Racial/Ethnic Groups in the Burlington-South Burlington Region. Source: American Community Survey (ACS), 2009-2013.</w:t>
      </w:r>
    </w:p>
    <w:p w14:paraId="5D228ADE" w14:textId="6765CBD8" w:rsidR="005E56FA" w:rsidRDefault="005E56FA" w:rsidP="0004444A">
      <w:pPr>
        <w:spacing w:after="0"/>
        <w:ind w:left="900"/>
        <w:rPr>
          <w:rFonts w:ascii="Calibri" w:hAnsi="Calibri" w:cs="Times"/>
          <w:noProof/>
        </w:rPr>
      </w:pPr>
      <w:r>
        <w:rPr>
          <w:noProof/>
          <w:lang w:eastAsia="en-US"/>
        </w:rPr>
        <w:drawing>
          <wp:inline distT="0" distB="0" distL="0" distR="0" wp14:anchorId="474A08EA" wp14:editId="7E44E4FA">
            <wp:extent cx="5759532" cy="2731325"/>
            <wp:effectExtent l="0" t="0" r="12700" b="12065"/>
            <wp:docPr id="68" name="Chart 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53DB2E9" w14:textId="77777777" w:rsidR="005E56FA" w:rsidRDefault="005E56FA" w:rsidP="005E56FA">
      <w:pPr>
        <w:spacing w:after="0"/>
        <w:rPr>
          <w:rFonts w:ascii="Calibri" w:hAnsi="Calibri" w:cs="Times"/>
          <w:noProof/>
        </w:rPr>
      </w:pPr>
    </w:p>
    <w:p w14:paraId="774FF570" w14:textId="2B71CA8B" w:rsidR="00CC3FF0" w:rsidRPr="00BD6AD3" w:rsidRDefault="5F884969" w:rsidP="5F884969">
      <w:pPr>
        <w:pStyle w:val="ListParagraph"/>
        <w:widowControl w:val="0"/>
        <w:autoSpaceDE w:val="0"/>
        <w:autoSpaceDN w:val="0"/>
        <w:adjustRightInd w:val="0"/>
        <w:spacing w:after="0" w:line="240" w:lineRule="auto"/>
        <w:ind w:left="900"/>
        <w:rPr>
          <w:rFonts w:ascii="Calibri" w:hAnsi="Calibri" w:cs="Calibri"/>
          <w:b/>
          <w:bCs/>
          <w:i/>
          <w:color w:val="000000" w:themeColor="text1"/>
        </w:rPr>
      </w:pPr>
      <w:r w:rsidRPr="00BD6AD3">
        <w:rPr>
          <w:b/>
          <w:bCs/>
          <w:i/>
          <w:iCs/>
        </w:rPr>
        <w:t xml:space="preserve"> </w:t>
      </w:r>
      <w:r w:rsidRPr="00BD6AD3">
        <w:rPr>
          <w:rFonts w:ascii="Calibri" w:hAnsi="Calibri" w:cs="Calibri"/>
          <w:b/>
          <w:bCs/>
          <w:i/>
          <w:color w:val="000000" w:themeColor="text1"/>
        </w:rPr>
        <w:t>For the protected class groups HUD has provided data, describe how disparities in access to transportation related to residential living patterns in the jurisdiction and region.</w:t>
      </w:r>
    </w:p>
    <w:p w14:paraId="04CABBA6" w14:textId="77777777" w:rsidR="0004444A" w:rsidRPr="0004444A" w:rsidRDefault="0004444A" w:rsidP="0004444A">
      <w:pPr>
        <w:pStyle w:val="ListParagraph"/>
        <w:widowControl w:val="0"/>
        <w:autoSpaceDE w:val="0"/>
        <w:autoSpaceDN w:val="0"/>
        <w:adjustRightInd w:val="0"/>
        <w:spacing w:after="0" w:line="240" w:lineRule="auto"/>
        <w:ind w:left="900"/>
        <w:rPr>
          <w:rFonts w:ascii="Calibri" w:hAnsi="Calibri" w:cs="Calibri"/>
          <w:b/>
          <w:bCs/>
          <w:color w:val="000000"/>
        </w:rPr>
      </w:pPr>
    </w:p>
    <w:p w14:paraId="30AAE799" w14:textId="320620FB" w:rsidR="00423A6B" w:rsidRPr="00064A44" w:rsidRDefault="5F884969" w:rsidP="5F884969">
      <w:pPr>
        <w:pStyle w:val="ListParagraph"/>
        <w:widowControl w:val="0"/>
        <w:autoSpaceDE w:val="0"/>
        <w:autoSpaceDN w:val="0"/>
        <w:adjustRightInd w:val="0"/>
        <w:ind w:left="900"/>
        <w:rPr>
          <w:rFonts w:ascii="Calibri" w:hAnsi="Calibri" w:cs="Calibri"/>
          <w:color w:val="000000" w:themeColor="text1"/>
        </w:rPr>
      </w:pPr>
      <w:r w:rsidRPr="00DE4B08">
        <w:rPr>
          <w:rFonts w:ascii="Calibri" w:hAnsi="Calibri" w:cs="Calibri"/>
          <w:color w:val="000000" w:themeColor="text1"/>
        </w:rPr>
        <w:t xml:space="preserve">Map </w:t>
      </w:r>
      <w:r w:rsidRPr="5F884969">
        <w:rPr>
          <w:rFonts w:ascii="Calibri" w:hAnsi="Calibri" w:cs="Calibri"/>
          <w:color w:val="000000" w:themeColor="text1"/>
        </w:rPr>
        <w:t xml:space="preserve">13 shows the Low Poverty Index by census tract. Based on this map, as well as with maps explored in previous sections, you can see that exposure to poverty is higher (lower index points) on the western side of Burlington than on the eastern side. Based on the data in </w:t>
      </w:r>
      <w:r w:rsidRPr="00DE4B08">
        <w:rPr>
          <w:rFonts w:ascii="Calibri" w:hAnsi="Calibri" w:cs="Calibri"/>
          <w:color w:val="000000" w:themeColor="text1"/>
        </w:rPr>
        <w:t>tables</w:t>
      </w:r>
      <w:r w:rsidRPr="5F884969">
        <w:rPr>
          <w:rFonts w:ascii="Calibri" w:hAnsi="Calibri" w:cs="Calibri"/>
          <w:color w:val="000000" w:themeColor="text1"/>
          <w:highlight w:val="yellow"/>
        </w:rPr>
        <w:t xml:space="preserve"> </w:t>
      </w:r>
      <w:r w:rsidRPr="00DE4B08">
        <w:rPr>
          <w:rFonts w:ascii="Calibri" w:hAnsi="Calibri" w:cs="Calibri"/>
          <w:color w:val="000000" w:themeColor="text1"/>
        </w:rPr>
        <w:t>13 and 14</w:t>
      </w:r>
      <w:r w:rsidRPr="5F884969">
        <w:rPr>
          <w:rFonts w:ascii="Calibri" w:hAnsi="Calibri" w:cs="Calibri"/>
          <w:color w:val="000000" w:themeColor="text1"/>
        </w:rPr>
        <w:t>, as mentioned earlier, exposure to poverty is higher within Burlington than without.</w:t>
      </w:r>
    </w:p>
    <w:p w14:paraId="74A5B448" w14:textId="2F6A6523" w:rsidR="00064A44" w:rsidRPr="00064A44" w:rsidRDefault="5F884969" w:rsidP="5F884969">
      <w:pPr>
        <w:spacing w:after="0"/>
        <w:ind w:left="900"/>
        <w:rPr>
          <w:rFonts w:ascii="Calibri" w:hAnsi="Calibri" w:cs="Calibri"/>
          <w:sz w:val="20"/>
          <w:szCs w:val="20"/>
        </w:rPr>
      </w:pPr>
      <w:r w:rsidRPr="5F884969">
        <w:rPr>
          <w:rFonts w:ascii="Calibri" w:hAnsi="Calibri" w:cs="Calibri"/>
          <w:b/>
          <w:bCs/>
          <w:i/>
          <w:iCs/>
          <w:sz w:val="20"/>
          <w:szCs w:val="20"/>
        </w:rPr>
        <w:t>Map 13:</w:t>
      </w:r>
      <w:r w:rsidRPr="5F884969">
        <w:rPr>
          <w:rFonts w:ascii="Calibri" w:hAnsi="Calibri" w:cs="Calibri"/>
          <w:sz w:val="20"/>
          <w:szCs w:val="20"/>
        </w:rPr>
        <w:t xml:space="preserve"> Map showing the Low Poverty index in the Burlington, VT area. </w:t>
      </w:r>
    </w:p>
    <w:p w14:paraId="24182145" w14:textId="1E0707ED" w:rsidR="00423A6B" w:rsidRDefault="00064A44" w:rsidP="00064A44">
      <w:pPr>
        <w:spacing w:after="0"/>
        <w:ind w:left="900"/>
        <w:rPr>
          <w:rFonts w:ascii="Calibri" w:hAnsi="Calibri" w:cs="Calibri"/>
          <w:bCs/>
        </w:rPr>
      </w:pPr>
      <w:r>
        <w:rPr>
          <w:rFonts w:ascii="Calibri" w:hAnsi="Calibri" w:cs="Calibri"/>
          <w:bCs/>
          <w:noProof/>
          <w:lang w:eastAsia="en-US"/>
        </w:rPr>
        <w:drawing>
          <wp:inline distT="0" distB="0" distL="0" distR="0" wp14:anchorId="309CE97C" wp14:editId="5B098E12">
            <wp:extent cx="5303205" cy="3291840"/>
            <wp:effectExtent l="25400" t="25400" r="31115" b="35560"/>
            <wp:docPr id="16" name="Picture 16" descr="../Desktop/New%20HUD%20Maps/HUDMap12_Low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New%20HUD%20Maps/HUDMap12_LowPoverty.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5313410" cy="3298174"/>
                    </a:xfrm>
                    <a:prstGeom prst="rect">
                      <a:avLst/>
                    </a:prstGeom>
                    <a:noFill/>
                    <a:ln>
                      <a:solidFill>
                        <a:schemeClr val="tx1"/>
                      </a:solidFill>
                    </a:ln>
                  </pic:spPr>
                </pic:pic>
              </a:graphicData>
            </a:graphic>
          </wp:inline>
        </w:drawing>
      </w:r>
    </w:p>
    <w:p w14:paraId="74592367" w14:textId="77777777" w:rsidR="00AC195A" w:rsidRDefault="00AC195A" w:rsidP="00AC195A">
      <w:pPr>
        <w:widowControl w:val="0"/>
        <w:autoSpaceDE w:val="0"/>
        <w:autoSpaceDN w:val="0"/>
        <w:adjustRightInd w:val="0"/>
        <w:spacing w:after="0" w:line="240" w:lineRule="auto"/>
        <w:rPr>
          <w:rFonts w:ascii="Calibri" w:hAnsi="Calibri" w:cs="Calibri"/>
          <w:bCs/>
        </w:rPr>
      </w:pPr>
    </w:p>
    <w:p w14:paraId="234E1C02" w14:textId="1855A5B9" w:rsidR="00A744C5" w:rsidRPr="00BD6AD3" w:rsidRDefault="5F884969" w:rsidP="00AC195A">
      <w:pPr>
        <w:widowControl w:val="0"/>
        <w:autoSpaceDE w:val="0"/>
        <w:autoSpaceDN w:val="0"/>
        <w:adjustRightInd w:val="0"/>
        <w:spacing w:after="0" w:line="240" w:lineRule="auto"/>
        <w:ind w:left="708"/>
        <w:rPr>
          <w:rFonts w:ascii="Calibri" w:hAnsi="Calibri" w:cs="Calibri"/>
          <w:b/>
          <w:bCs/>
          <w:i/>
          <w:color w:val="000000" w:themeColor="text1"/>
        </w:rPr>
      </w:pPr>
      <w:r w:rsidRPr="00BD6AD3">
        <w:rPr>
          <w:rFonts w:ascii="Calibri" w:hAnsi="Calibri" w:cs="Calibri"/>
          <w:b/>
          <w:bCs/>
          <w:i/>
          <w:color w:val="000000" w:themeColor="text1"/>
        </w:rPr>
        <w:t>Informed by community participation, any consultation with other relevant government agencies, and the participant’s own local data and local knowledge, discuss whether there are programs, policies, or funding mechanisms that affect disparities in access to transportation.</w:t>
      </w:r>
    </w:p>
    <w:p w14:paraId="30FE1C19" w14:textId="77777777" w:rsidR="00164176" w:rsidRPr="00164176" w:rsidRDefault="00164176" w:rsidP="00164176">
      <w:pPr>
        <w:pStyle w:val="ListParagraph"/>
        <w:widowControl w:val="0"/>
        <w:autoSpaceDE w:val="0"/>
        <w:autoSpaceDN w:val="0"/>
        <w:adjustRightInd w:val="0"/>
        <w:spacing w:after="0" w:line="240" w:lineRule="auto"/>
        <w:ind w:left="900"/>
        <w:rPr>
          <w:rFonts w:ascii="Calibri" w:hAnsi="Calibri" w:cs="Calibri"/>
          <w:bCs/>
          <w:color w:val="000000" w:themeColor="text1"/>
        </w:rPr>
      </w:pPr>
    </w:p>
    <w:p w14:paraId="069543E2" w14:textId="77777777" w:rsidR="00A744C5" w:rsidRPr="004B2520" w:rsidRDefault="5F884969" w:rsidP="5F884969">
      <w:pPr>
        <w:pStyle w:val="NormalWeb"/>
        <w:spacing w:before="0" w:beforeAutospacing="0" w:after="240" w:afterAutospacing="0"/>
        <w:ind w:left="900"/>
        <w:rPr>
          <w:rFonts w:asciiTheme="minorHAnsi" w:hAnsiTheme="minorHAnsi"/>
          <w:sz w:val="22"/>
          <w:szCs w:val="22"/>
        </w:rPr>
      </w:pPr>
      <w:r w:rsidRPr="5F884969">
        <w:rPr>
          <w:rFonts w:asciiTheme="minorHAnsi" w:hAnsiTheme="minorHAnsi"/>
          <w:sz w:val="22"/>
          <w:szCs w:val="22"/>
        </w:rPr>
        <w:t xml:space="preserve">A </w:t>
      </w:r>
      <w:hyperlink r:id="rId62">
        <w:r w:rsidRPr="5F884969">
          <w:rPr>
            <w:rStyle w:val="Hyperlink"/>
            <w:rFonts w:asciiTheme="minorHAnsi" w:hAnsiTheme="minorHAnsi"/>
            <w:sz w:val="22"/>
            <w:szCs w:val="22"/>
          </w:rPr>
          <w:t>2012 Chittenden County Transit Authority (now Green Mountain Transit Authority), Customer Service Survey</w:t>
        </w:r>
      </w:hyperlink>
      <w:r w:rsidRPr="5F884969">
        <w:rPr>
          <w:rFonts w:asciiTheme="minorHAnsi" w:hAnsiTheme="minorHAnsi"/>
          <w:sz w:val="22"/>
          <w:szCs w:val="22"/>
        </w:rPr>
        <w:t>, conducted to gather input about riders’ transit needs, and perceptions of the service, found that the majority of respondents either began or ended their trips within the city of Burlington and nearly half of riders had both their origin and destination within the city limits. South Burlington is the second most common destination, followed by Winooski, Essex, Shelburne, Williston and Colchester. The Survey also found that the average wait time for a bus was 7 minutes and improvements most requested by riders include Sunday service, more frequent service and more bus shelters. A guaranteed ride home program and employer-subsidized bus passes were reported as the most effective ways to encourage people to drive less.</w:t>
      </w:r>
    </w:p>
    <w:p w14:paraId="2759EFB3" w14:textId="77777777" w:rsidR="00A744C5" w:rsidRPr="00F8523D" w:rsidRDefault="5F884969" w:rsidP="00A744C5">
      <w:pPr>
        <w:ind w:left="900"/>
      </w:pPr>
      <w:r>
        <w:t xml:space="preserve">In recent years, the city of Burlington has continually recommitted itself to a transportation vision which stresses transportation choices and livability, included in the Legacy Plan (2000) and the Climate Action Plan (2000). </w:t>
      </w:r>
    </w:p>
    <w:p w14:paraId="404D5B27" w14:textId="77777777" w:rsidR="00A744C5" w:rsidRPr="00F8523D" w:rsidRDefault="5F884969" w:rsidP="00A744C5">
      <w:pPr>
        <w:ind w:left="900"/>
      </w:pPr>
      <w:r>
        <w:t xml:space="preserve">The </w:t>
      </w:r>
      <w:hyperlink r:id="rId63">
        <w:r w:rsidRPr="5F884969">
          <w:rPr>
            <w:rStyle w:val="Hyperlink"/>
          </w:rPr>
          <w:t>Burlington Transportation Plan</w:t>
        </w:r>
      </w:hyperlink>
      <w:r>
        <w:t xml:space="preserve"> which was approved by the City Council in April 2011, is a multi-modal transportation improvement plan that provides a comprehensive and coordinated list of roadway, transit, bicycle and pedestrian facility, streetscape and land use recommendations for implementation that satisfy the overall vision of the City, developed in the </w:t>
      </w:r>
      <w:hyperlink r:id="rId64">
        <w:r w:rsidRPr="5F884969">
          <w:rPr>
            <w:rStyle w:val="Hyperlink"/>
          </w:rPr>
          <w:t>Burlington Municipal Development Plan</w:t>
        </w:r>
      </w:hyperlink>
      <w:r>
        <w:t xml:space="preserve"> and the </w:t>
      </w:r>
      <w:hyperlink r:id="rId65">
        <w:r w:rsidRPr="5F884969">
          <w:rPr>
            <w:rStyle w:val="Hyperlink"/>
          </w:rPr>
          <w:t>Burlington Legacy Project</w:t>
        </w:r>
      </w:hyperlink>
      <w:r>
        <w:t xml:space="preserve">. The Transportation Plan is evolutionary and takes seriously the goals, vision and values of the Municipal Development and the Legacy Plan and proposed the steps that can move the City to realize them. The Municipal Development Plan vision statement calls for by 2026 an “interconnected system” where “transit, cycling, and walking are successfully competing with the automobile for the dominant mode of choice.” </w:t>
      </w:r>
    </w:p>
    <w:p w14:paraId="72AEB8B0" w14:textId="77777777" w:rsidR="00A744C5" w:rsidRPr="00F8523D" w:rsidRDefault="5F884969" w:rsidP="00A744C5">
      <w:pPr>
        <w:ind w:left="900"/>
      </w:pPr>
      <w:r>
        <w:t xml:space="preserve">Residents and visitors of Burlington enjoy bicycling and walking for shopping, commuting, recreation and general transportation. From the installation of the first shared use path along the waterfront in 1986 to the ongoing installation of bicycle facilities and sidewalks, the City of Burlington continues to support bicycling and walking as viable, healthy and non-polluting modes of transportation. Burlington applied for Bicycle Friendly Community recognition from the League of American Bicyclists in 2005 and 2007 and in 2011 was recognized with a Silver award. In 2011, the City was also recognized with a Silver award as a Walk Friendly Community. </w:t>
      </w:r>
    </w:p>
    <w:p w14:paraId="33F029C1" w14:textId="77777777" w:rsidR="00A744C5" w:rsidRPr="00F8523D" w:rsidRDefault="5F884969" w:rsidP="00A744C5">
      <w:pPr>
        <w:ind w:left="900"/>
      </w:pPr>
      <w:r>
        <w:t xml:space="preserve">Despite Burlington’s vision for becoming a more walkable, </w:t>
      </w:r>
      <w:proofErr w:type="spellStart"/>
      <w:r>
        <w:t>bikeable</w:t>
      </w:r>
      <w:proofErr w:type="spellEnd"/>
      <w:r>
        <w:t xml:space="preserve"> place, up until last year, the Queen City did not have a dedicated plan defining strategies and priorities for walk/bike-related investments. In August 2016, and in line with the aims of the Transportation Plan, Burlington’s first comprehensive plan for walking and biking was released for public comment. This Plan sets out an ambitious goal: to make Burlington the best small city of walking and biking on the East Coast. Known as </w:t>
      </w:r>
      <w:hyperlink r:id="rId66">
        <w:proofErr w:type="spellStart"/>
        <w:r w:rsidRPr="5F884969">
          <w:rPr>
            <w:rStyle w:val="Hyperlink"/>
          </w:rPr>
          <w:t>PlanBTV</w:t>
        </w:r>
        <w:proofErr w:type="spellEnd"/>
        <w:r w:rsidRPr="5F884969">
          <w:rPr>
            <w:rStyle w:val="Hyperlink"/>
          </w:rPr>
          <w:t xml:space="preserve"> Walk Bike</w:t>
        </w:r>
      </w:hyperlink>
      <w:r>
        <w:t xml:space="preserve">, the Plan defines strategies and priorities for investments in walk/bike improvements. It is a road map to rapidly transform </w:t>
      </w:r>
      <w:r>
        <w:lastRenderedPageBreak/>
        <w:t xml:space="preserve">Burlington into a place where walking and biking are viable, and enjoyable transportation option for people of all ages and abilities, all year round. </w:t>
      </w:r>
    </w:p>
    <w:p w14:paraId="78B9C135" w14:textId="49039A23" w:rsidR="00043173" w:rsidRDefault="5F884969" w:rsidP="008546F3">
      <w:pPr>
        <w:ind w:left="900"/>
      </w:pPr>
      <w:r>
        <w:t xml:space="preserve">Over the past two years, the City has invested $1.5 million annually in sidewalk repair/replacement and will need to maintain this level of annual investment, at a minimum going forward. Additional annual funding needs called for in the 10-year Capital plan through 2021 is estimated to be $1 million. Specifically, with regard to implementing recommendations set out in </w:t>
      </w:r>
      <w:proofErr w:type="spellStart"/>
      <w:r>
        <w:t>PlanBTV</w:t>
      </w:r>
      <w:proofErr w:type="spellEnd"/>
      <w:r>
        <w:t xml:space="preserve"> Walk Bike, it is estimated that another $2.1 million would be needed annually for investing in serious sidewalk failures over the next five years. Beyond 2021, sustainable annual funding is estimated at $1.5 million annually, along with $2 million for expansion of the transportation system. </w:t>
      </w:r>
    </w:p>
    <w:p w14:paraId="25360449" w14:textId="77777777" w:rsidR="00DE4B08" w:rsidRDefault="00DE4B08" w:rsidP="008546F3">
      <w:pPr>
        <w:ind w:left="900"/>
      </w:pPr>
    </w:p>
    <w:p w14:paraId="244F2110" w14:textId="77777777" w:rsidR="00DE4B08" w:rsidRDefault="00DE4B08" w:rsidP="008546F3">
      <w:pPr>
        <w:ind w:left="900"/>
      </w:pPr>
    </w:p>
    <w:p w14:paraId="275D77BD" w14:textId="0AB433AA" w:rsidR="000D51B5" w:rsidRPr="00DE4B08" w:rsidRDefault="000D51B5" w:rsidP="00DE4B08">
      <w:pPr>
        <w:pStyle w:val="ListParagraph"/>
        <w:widowControl w:val="0"/>
        <w:autoSpaceDE w:val="0"/>
        <w:autoSpaceDN w:val="0"/>
        <w:adjustRightInd w:val="0"/>
        <w:spacing w:after="0"/>
        <w:ind w:left="907"/>
        <w:outlineLvl w:val="0"/>
        <w:rPr>
          <w:rFonts w:ascii="Calibri" w:hAnsi="Calibri" w:cs="Times"/>
          <w:b/>
          <w:bCs/>
          <w:i/>
          <w:iCs/>
          <w:color w:val="000000" w:themeColor="text1"/>
        </w:rPr>
      </w:pPr>
      <w:r w:rsidRPr="5F884969">
        <w:rPr>
          <w:rFonts w:ascii="Calibri" w:hAnsi="Calibri" w:cs="Times"/>
          <w:b/>
          <w:bCs/>
          <w:i/>
          <w:iCs/>
          <w:color w:val="000000" w:themeColor="text1"/>
        </w:rPr>
        <w:t>Burlington-South Burlington Region</w:t>
      </w:r>
    </w:p>
    <w:p w14:paraId="7ACC0EC9" w14:textId="248CCAAB" w:rsidR="000D1D8D" w:rsidRPr="004673D6" w:rsidRDefault="000D51B5" w:rsidP="004673D6">
      <w:pPr>
        <w:ind w:left="900"/>
      </w:pPr>
      <w:r>
        <w:t xml:space="preserve">Some populations including protected classes of youth and elderly, </w:t>
      </w:r>
      <w:r w:rsidR="00DE4B08">
        <w:t xml:space="preserve">and </w:t>
      </w:r>
      <w:r>
        <w:t>communities of color have less access to public transportation in suburban/rural areas, limiting access to employment, recreation and economic opportunities. Reliance on personal transportation creates a household cost burden – rural and suburban residents are more important by household transportation costs. More vehicle miles traveled in the outer regional areas may potentially increase air pollutants and greenhouse gases.</w:t>
      </w:r>
    </w:p>
    <w:p w14:paraId="3F0AA8ED" w14:textId="2F51FB0E" w:rsidR="00AD4833" w:rsidRPr="00E6668E" w:rsidRDefault="00640FD8" w:rsidP="5F884969">
      <w:pPr>
        <w:pStyle w:val="ListParagraph"/>
        <w:numPr>
          <w:ilvl w:val="0"/>
          <w:numId w:val="9"/>
        </w:numPr>
        <w:ind w:left="900"/>
        <w:rPr>
          <w:b/>
          <w:bCs/>
          <w:i/>
          <w:iCs/>
        </w:rPr>
      </w:pPr>
      <w:bookmarkStart w:id="37" w:name="EnvironmentallyHealthyNeighborhoodOpport"/>
      <w:bookmarkStart w:id="38" w:name="AccessEnvironmenallyHealthy"/>
      <w:r>
        <w:rPr>
          <w:b/>
          <w:bCs/>
        </w:rPr>
        <w:t>Access to Environmentally Healthy Neighborhoods</w:t>
      </w:r>
    </w:p>
    <w:bookmarkEnd w:id="37"/>
    <w:bookmarkEnd w:id="38"/>
    <w:p w14:paraId="7ACB723E" w14:textId="26390F3A" w:rsidR="00E6668E" w:rsidRPr="004464A6" w:rsidRDefault="5F884969" w:rsidP="5F884969">
      <w:pPr>
        <w:pStyle w:val="BodyText"/>
        <w:ind w:left="900"/>
        <w:rPr>
          <w:rFonts w:ascii="Calibri" w:hAnsi="Calibri"/>
          <w:highlight w:val="yellow"/>
        </w:rPr>
      </w:pPr>
      <w:r w:rsidRPr="004464A6">
        <w:rPr>
          <w:rFonts w:ascii="Calibri" w:hAnsi="Calibri" w:cs="Times"/>
          <w:color w:val="000000" w:themeColor="text1"/>
        </w:rPr>
        <w:t xml:space="preserve">Environmentally healthy neighborhoods are measured using the Environmental Health Index. This index </w:t>
      </w:r>
      <w:r w:rsidRPr="004464A6">
        <w:rPr>
          <w:rFonts w:ascii="Calibri" w:hAnsi="Calibri"/>
        </w:rPr>
        <w:t>summarizes potential exposure to harmful toxins at a neighborhood level. The index is a linear combination of standardized EPA estimates of air quality carcinogenic, respiratory and neurological hazards with indexing census tracts. Values are inverted and then percentile ranked nationally. Values range from 0 to 100. The higher the index value, the less exposure to toxins harmful to human health, and therefore the better the environmental quality of a neighborhood.</w:t>
      </w:r>
    </w:p>
    <w:p w14:paraId="2ECAB63C" w14:textId="63C84A97" w:rsidR="00CE4500" w:rsidRPr="00205870" w:rsidRDefault="5F884969" w:rsidP="5F884969">
      <w:pPr>
        <w:pStyle w:val="ListParagraph"/>
        <w:widowControl w:val="0"/>
        <w:autoSpaceDE w:val="0"/>
        <w:autoSpaceDN w:val="0"/>
        <w:adjustRightInd w:val="0"/>
        <w:spacing w:after="0" w:line="240" w:lineRule="auto"/>
        <w:ind w:left="900"/>
        <w:rPr>
          <w:rFonts w:ascii="Calibri" w:hAnsi="Calibri" w:cs="Calibri"/>
          <w:b/>
          <w:bCs/>
          <w:i/>
          <w:color w:val="000000" w:themeColor="text1"/>
        </w:rPr>
      </w:pPr>
      <w:r w:rsidRPr="00205870">
        <w:rPr>
          <w:rFonts w:ascii="Calibri" w:hAnsi="Calibri" w:cs="Calibri"/>
          <w:b/>
          <w:bCs/>
          <w:i/>
          <w:color w:val="000000" w:themeColor="text1"/>
        </w:rPr>
        <w:t>For the protected class groups HUD has provided data, describe any disparities in access to environmentally healthy neighborhoods in the jurisdiction and region.</w:t>
      </w:r>
    </w:p>
    <w:p w14:paraId="14B24CCF" w14:textId="77777777" w:rsidR="00077BFE" w:rsidRPr="00087A2E" w:rsidRDefault="00077BFE" w:rsidP="00CE4500">
      <w:pPr>
        <w:pStyle w:val="ListParagraph"/>
        <w:widowControl w:val="0"/>
        <w:autoSpaceDE w:val="0"/>
        <w:autoSpaceDN w:val="0"/>
        <w:adjustRightInd w:val="0"/>
        <w:spacing w:after="0" w:line="240" w:lineRule="auto"/>
        <w:ind w:left="900"/>
        <w:rPr>
          <w:rFonts w:ascii="Calibri" w:hAnsi="Calibri" w:cs="Times"/>
          <w:b/>
          <w:color w:val="000000"/>
        </w:rPr>
      </w:pPr>
    </w:p>
    <w:p w14:paraId="1256343D" w14:textId="77777777" w:rsidR="00CE4500" w:rsidRPr="00087A2E" w:rsidRDefault="5F884969" w:rsidP="002F7C2E">
      <w:pPr>
        <w:pStyle w:val="ListParagraph"/>
        <w:widowControl w:val="0"/>
        <w:autoSpaceDE w:val="0"/>
        <w:autoSpaceDN w:val="0"/>
        <w:adjustRightInd w:val="0"/>
        <w:ind w:left="900"/>
        <w:outlineLvl w:val="0"/>
        <w:rPr>
          <w:rFonts w:ascii="Calibri" w:hAnsi="Calibri" w:cs="Times"/>
          <w:b/>
          <w:bCs/>
          <w:i/>
          <w:iCs/>
          <w:color w:val="000000" w:themeColor="text1"/>
        </w:rPr>
      </w:pPr>
      <w:r w:rsidRPr="5F884969">
        <w:rPr>
          <w:rFonts w:ascii="Calibri" w:hAnsi="Calibri" w:cs="Calibri"/>
          <w:b/>
          <w:bCs/>
          <w:i/>
          <w:iCs/>
          <w:color w:val="000000" w:themeColor="text1"/>
        </w:rPr>
        <w:t>Burlington</w:t>
      </w:r>
    </w:p>
    <w:p w14:paraId="101EBD5D" w14:textId="4D0BE816" w:rsidR="00CE4500"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Within the Burlington jurisdiction, there is little disparity between racial/ethnic groups regarding environmental health, with a total difference of 5.05 index points between the populations with the highest and lowest levels of environmental health exposure (</w:t>
      </w:r>
      <w:r w:rsidRPr="004E118D">
        <w:rPr>
          <w:rFonts w:ascii="Calibri" w:hAnsi="Calibri" w:cs="Times"/>
          <w:color w:val="000000" w:themeColor="text1"/>
        </w:rPr>
        <w:t>figure 31</w:t>
      </w:r>
      <w:r w:rsidRPr="5F884969">
        <w:rPr>
          <w:rFonts w:ascii="Calibri" w:hAnsi="Calibri" w:cs="Times"/>
          <w:color w:val="000000" w:themeColor="text1"/>
        </w:rPr>
        <w:t>). The Black population has the highest access to environmentally healthy neighborhoods, with 65.99 Environmental Health Index points, while the Native American population has the lowest Environmental Health Index score, at 60.94 points.</w:t>
      </w:r>
    </w:p>
    <w:p w14:paraId="06534AEB" w14:textId="77777777" w:rsidR="00CE4500" w:rsidRDefault="00CE4500" w:rsidP="00CE4500">
      <w:pPr>
        <w:pStyle w:val="ListParagraph"/>
        <w:widowControl w:val="0"/>
        <w:autoSpaceDE w:val="0"/>
        <w:autoSpaceDN w:val="0"/>
        <w:adjustRightInd w:val="0"/>
        <w:ind w:left="900"/>
        <w:rPr>
          <w:rFonts w:ascii="Calibri" w:hAnsi="Calibri" w:cs="Times"/>
          <w:color w:val="000000" w:themeColor="text1"/>
        </w:rPr>
      </w:pPr>
    </w:p>
    <w:p w14:paraId="4D6C611F" w14:textId="207C8750" w:rsidR="004464A6" w:rsidRDefault="5F884969" w:rsidP="0066299F">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 xml:space="preserve">However, when you look at the proportion of the population that is below the poverty line, there is much more disparity among different racial/ethnic populations. The proportion of the Native American population living below the federal poverty line has an Environmental Health </w:t>
      </w:r>
      <w:r w:rsidRPr="5F884969">
        <w:rPr>
          <w:rFonts w:ascii="Calibri" w:hAnsi="Calibri" w:cs="Times"/>
          <w:color w:val="000000" w:themeColor="text1"/>
        </w:rPr>
        <w:lastRenderedPageBreak/>
        <w:t>Index of 46 points, significantly lower than any other population. The Black population below the poverty line still has the highest access to environmentally healthy neighborhoods, with 69.14 index points. Overall, disparity between these two groups span 23.14 index points when considering ju</w:t>
      </w:r>
      <w:r w:rsidR="0066299F">
        <w:rPr>
          <w:rFonts w:ascii="Calibri" w:hAnsi="Calibri" w:cs="Times"/>
          <w:color w:val="000000" w:themeColor="text1"/>
        </w:rPr>
        <w:t>st those below the poverty line.</w:t>
      </w:r>
    </w:p>
    <w:p w14:paraId="645FBA0A" w14:textId="77777777" w:rsidR="0066299F" w:rsidRDefault="0066299F" w:rsidP="0066299F">
      <w:pPr>
        <w:pStyle w:val="ListParagraph"/>
        <w:widowControl w:val="0"/>
        <w:autoSpaceDE w:val="0"/>
        <w:autoSpaceDN w:val="0"/>
        <w:adjustRightInd w:val="0"/>
        <w:ind w:left="900"/>
        <w:rPr>
          <w:rFonts w:ascii="Calibri" w:hAnsi="Calibri" w:cs="Times"/>
          <w:color w:val="000000" w:themeColor="text1"/>
        </w:rPr>
      </w:pPr>
    </w:p>
    <w:p w14:paraId="4770F164" w14:textId="77777777" w:rsidR="0066299F" w:rsidRDefault="0066299F" w:rsidP="0066299F">
      <w:pPr>
        <w:pStyle w:val="ListParagraph"/>
        <w:widowControl w:val="0"/>
        <w:autoSpaceDE w:val="0"/>
        <w:autoSpaceDN w:val="0"/>
        <w:adjustRightInd w:val="0"/>
        <w:ind w:left="900"/>
        <w:rPr>
          <w:rFonts w:ascii="Calibri" w:hAnsi="Calibri" w:cs="Times"/>
          <w:color w:val="000000" w:themeColor="text1"/>
        </w:rPr>
      </w:pPr>
    </w:p>
    <w:p w14:paraId="52E96869" w14:textId="77777777" w:rsidR="0066299F" w:rsidRDefault="0066299F" w:rsidP="0066299F">
      <w:pPr>
        <w:pStyle w:val="ListParagraph"/>
        <w:widowControl w:val="0"/>
        <w:autoSpaceDE w:val="0"/>
        <w:autoSpaceDN w:val="0"/>
        <w:adjustRightInd w:val="0"/>
        <w:ind w:left="900"/>
        <w:rPr>
          <w:rFonts w:ascii="Calibri" w:hAnsi="Calibri" w:cs="Times"/>
          <w:color w:val="000000" w:themeColor="text1"/>
        </w:rPr>
      </w:pPr>
    </w:p>
    <w:p w14:paraId="5F57713D" w14:textId="77777777" w:rsidR="0066299F" w:rsidRDefault="0066299F" w:rsidP="0066299F">
      <w:pPr>
        <w:pStyle w:val="ListParagraph"/>
        <w:widowControl w:val="0"/>
        <w:autoSpaceDE w:val="0"/>
        <w:autoSpaceDN w:val="0"/>
        <w:adjustRightInd w:val="0"/>
        <w:ind w:left="900"/>
        <w:rPr>
          <w:rFonts w:ascii="Calibri" w:hAnsi="Calibri" w:cs="Times"/>
          <w:color w:val="000000" w:themeColor="text1"/>
        </w:rPr>
      </w:pPr>
    </w:p>
    <w:p w14:paraId="38A01CFC" w14:textId="77777777" w:rsidR="0066299F" w:rsidRDefault="0066299F" w:rsidP="0066299F">
      <w:pPr>
        <w:pStyle w:val="ListParagraph"/>
        <w:widowControl w:val="0"/>
        <w:autoSpaceDE w:val="0"/>
        <w:autoSpaceDN w:val="0"/>
        <w:adjustRightInd w:val="0"/>
        <w:ind w:left="900"/>
        <w:rPr>
          <w:rFonts w:ascii="Calibri" w:hAnsi="Calibri" w:cs="Times"/>
          <w:color w:val="000000" w:themeColor="text1"/>
        </w:rPr>
      </w:pPr>
    </w:p>
    <w:p w14:paraId="7184B1A2" w14:textId="77777777" w:rsidR="0066299F" w:rsidRDefault="0066299F" w:rsidP="0066299F">
      <w:pPr>
        <w:pStyle w:val="ListParagraph"/>
        <w:widowControl w:val="0"/>
        <w:autoSpaceDE w:val="0"/>
        <w:autoSpaceDN w:val="0"/>
        <w:adjustRightInd w:val="0"/>
        <w:ind w:left="900"/>
        <w:rPr>
          <w:rFonts w:ascii="Calibri" w:hAnsi="Calibri" w:cs="Times"/>
          <w:color w:val="000000" w:themeColor="text1"/>
        </w:rPr>
      </w:pPr>
    </w:p>
    <w:p w14:paraId="0A9F75A3" w14:textId="77777777" w:rsidR="0066299F" w:rsidRDefault="0066299F" w:rsidP="0066299F">
      <w:pPr>
        <w:pStyle w:val="ListParagraph"/>
        <w:widowControl w:val="0"/>
        <w:autoSpaceDE w:val="0"/>
        <w:autoSpaceDN w:val="0"/>
        <w:adjustRightInd w:val="0"/>
        <w:ind w:left="900"/>
        <w:rPr>
          <w:rFonts w:ascii="Calibri" w:hAnsi="Calibri" w:cs="Times"/>
          <w:color w:val="000000" w:themeColor="text1"/>
        </w:rPr>
      </w:pPr>
    </w:p>
    <w:p w14:paraId="2270A357" w14:textId="77777777" w:rsidR="0066299F" w:rsidRPr="0066299F" w:rsidRDefault="0066299F" w:rsidP="0066299F">
      <w:pPr>
        <w:pStyle w:val="ListParagraph"/>
        <w:widowControl w:val="0"/>
        <w:autoSpaceDE w:val="0"/>
        <w:autoSpaceDN w:val="0"/>
        <w:adjustRightInd w:val="0"/>
        <w:ind w:left="900"/>
        <w:rPr>
          <w:rFonts w:ascii="Calibri" w:hAnsi="Calibri" w:cs="Times"/>
          <w:color w:val="000000" w:themeColor="text1"/>
        </w:rPr>
      </w:pPr>
    </w:p>
    <w:p w14:paraId="4847B97E" w14:textId="77777777" w:rsidR="004673D6" w:rsidRPr="008546F3" w:rsidRDefault="004673D6" w:rsidP="000D1D8D">
      <w:pPr>
        <w:pStyle w:val="ListParagraph"/>
        <w:widowControl w:val="0"/>
        <w:autoSpaceDE w:val="0"/>
        <w:autoSpaceDN w:val="0"/>
        <w:adjustRightInd w:val="0"/>
        <w:ind w:left="900"/>
        <w:rPr>
          <w:rFonts w:ascii="Calibri" w:hAnsi="Calibri" w:cs="Times"/>
          <w:color w:val="000000" w:themeColor="text1"/>
        </w:rPr>
      </w:pPr>
    </w:p>
    <w:p w14:paraId="1BC46BAF" w14:textId="77777777" w:rsidR="005E56FA" w:rsidRPr="00492208" w:rsidRDefault="5F884969" w:rsidP="5F884969">
      <w:pPr>
        <w:spacing w:after="0"/>
        <w:ind w:left="900"/>
        <w:rPr>
          <w:sz w:val="20"/>
          <w:szCs w:val="20"/>
        </w:rPr>
      </w:pPr>
      <w:r w:rsidRPr="5F884969">
        <w:rPr>
          <w:b/>
          <w:bCs/>
          <w:i/>
          <w:iCs/>
          <w:sz w:val="20"/>
          <w:szCs w:val="20"/>
        </w:rPr>
        <w:t>Figure 31:</w:t>
      </w:r>
      <w:r w:rsidRPr="5F884969">
        <w:rPr>
          <w:sz w:val="20"/>
          <w:szCs w:val="20"/>
        </w:rPr>
        <w:t xml:space="preserve"> Environmental Health Index </w:t>
      </w:r>
      <w:proofErr w:type="gramStart"/>
      <w:r w:rsidRPr="5F884969">
        <w:rPr>
          <w:sz w:val="20"/>
          <w:szCs w:val="20"/>
        </w:rPr>
        <w:t>Among</w:t>
      </w:r>
      <w:proofErr w:type="gramEnd"/>
      <w:r w:rsidRPr="5F884969">
        <w:rPr>
          <w:sz w:val="20"/>
          <w:szCs w:val="20"/>
        </w:rPr>
        <w:t xml:space="preserve"> Racial/Ethnic Groups in Burlington, VT. Source: National Air Toxics Assessment (NATA) data, 2011.</w:t>
      </w:r>
    </w:p>
    <w:p w14:paraId="6E466134" w14:textId="77777777" w:rsidR="000D1D8D" w:rsidRDefault="005E56FA" w:rsidP="000D1D8D">
      <w:pPr>
        <w:spacing w:after="0"/>
        <w:ind w:left="900"/>
      </w:pPr>
      <w:r>
        <w:rPr>
          <w:noProof/>
          <w:lang w:eastAsia="en-US"/>
        </w:rPr>
        <w:drawing>
          <wp:inline distT="0" distB="0" distL="0" distR="0" wp14:anchorId="721FCB19" wp14:editId="03FE8502">
            <wp:extent cx="5423535" cy="2301240"/>
            <wp:effectExtent l="0" t="0" r="12065" b="10160"/>
            <wp:docPr id="69" name="Chart 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1D6C970" w14:textId="77777777" w:rsidR="004464A6" w:rsidRDefault="004464A6" w:rsidP="002F7C2E">
      <w:pPr>
        <w:spacing w:after="0"/>
        <w:ind w:left="900"/>
        <w:outlineLvl w:val="0"/>
        <w:rPr>
          <w:rFonts w:ascii="Calibri" w:hAnsi="Calibri" w:cs="Times"/>
          <w:b/>
          <w:bCs/>
          <w:i/>
          <w:iCs/>
          <w:color w:val="000000" w:themeColor="text1"/>
        </w:rPr>
      </w:pPr>
    </w:p>
    <w:p w14:paraId="489561C1" w14:textId="1D0BF55D" w:rsidR="00CE4500" w:rsidRPr="000D1D8D" w:rsidRDefault="5F884969" w:rsidP="002F7C2E">
      <w:pPr>
        <w:spacing w:after="0"/>
        <w:ind w:left="900"/>
        <w:outlineLvl w:val="0"/>
      </w:pPr>
      <w:r w:rsidRPr="000D1D8D">
        <w:rPr>
          <w:rFonts w:ascii="Calibri" w:hAnsi="Calibri" w:cs="Times"/>
          <w:b/>
          <w:bCs/>
          <w:i/>
          <w:iCs/>
          <w:color w:val="000000" w:themeColor="text1"/>
        </w:rPr>
        <w:t>Burlington-South Burlington Region</w:t>
      </w:r>
    </w:p>
    <w:p w14:paraId="1921B23A" w14:textId="63A2BD79" w:rsidR="00F43A95" w:rsidRPr="00FE5BA7" w:rsidRDefault="5F884969" w:rsidP="5F884969">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There is more disparity among racial/ethnic groups’ access to environmentally healthy neighborhoods within the greater Burlington-South Burlington reg</w:t>
      </w:r>
      <w:r w:rsidR="001F224A">
        <w:rPr>
          <w:rFonts w:ascii="Calibri" w:hAnsi="Calibri" w:cs="Times"/>
          <w:color w:val="000000" w:themeColor="text1"/>
        </w:rPr>
        <w:t>ion than within the Burlington j</w:t>
      </w:r>
      <w:r w:rsidRPr="5F884969">
        <w:rPr>
          <w:rFonts w:ascii="Calibri" w:hAnsi="Calibri" w:cs="Times"/>
          <w:color w:val="000000" w:themeColor="text1"/>
        </w:rPr>
        <w:t>urisdiction (</w:t>
      </w:r>
      <w:r w:rsidRPr="004464A6">
        <w:rPr>
          <w:rFonts w:ascii="Calibri" w:hAnsi="Calibri" w:cs="Times"/>
          <w:color w:val="000000" w:themeColor="text1"/>
        </w:rPr>
        <w:t>figure 32</w:t>
      </w:r>
      <w:r w:rsidRPr="5F884969">
        <w:rPr>
          <w:rFonts w:ascii="Calibri" w:hAnsi="Calibri" w:cs="Times"/>
          <w:color w:val="000000" w:themeColor="text1"/>
        </w:rPr>
        <w:t>). In contrast to Burlington, the Native American population at the regional level has the highest access to environmentally friendly neighborhoods, with 87.49 index points. The white population has the second highest access to environmentally healthy neighborhoods, with 85.45 index points. The Black population, in a complete reversal from the Burlington jurisdiction, has the lowest access to environmentally healthy areas with 72.33 index points. Overall disparity is moderate regionally, spanning 13.12 index points.</w:t>
      </w:r>
    </w:p>
    <w:p w14:paraId="1CC7B359" w14:textId="77777777" w:rsidR="0071716E" w:rsidRDefault="0071716E" w:rsidP="5F884969">
      <w:pPr>
        <w:spacing w:after="0"/>
        <w:ind w:left="900"/>
        <w:rPr>
          <w:rFonts w:ascii="Calibri" w:hAnsi="Calibri" w:cs="Times"/>
          <w:b/>
          <w:bCs/>
          <w:i/>
          <w:iCs/>
          <w:noProof/>
          <w:sz w:val="20"/>
          <w:szCs w:val="20"/>
        </w:rPr>
      </w:pPr>
    </w:p>
    <w:p w14:paraId="34382B55" w14:textId="77777777" w:rsidR="0071716E" w:rsidRDefault="0071716E" w:rsidP="5F884969">
      <w:pPr>
        <w:spacing w:after="0"/>
        <w:ind w:left="900"/>
        <w:rPr>
          <w:rFonts w:ascii="Calibri" w:hAnsi="Calibri" w:cs="Times"/>
          <w:b/>
          <w:bCs/>
          <w:i/>
          <w:iCs/>
          <w:noProof/>
          <w:sz w:val="20"/>
          <w:szCs w:val="20"/>
        </w:rPr>
      </w:pPr>
    </w:p>
    <w:p w14:paraId="69E33916" w14:textId="77777777" w:rsidR="0071716E" w:rsidRDefault="0071716E" w:rsidP="5F884969">
      <w:pPr>
        <w:spacing w:after="0"/>
        <w:ind w:left="900"/>
        <w:rPr>
          <w:rFonts w:ascii="Calibri" w:hAnsi="Calibri" w:cs="Times"/>
          <w:b/>
          <w:bCs/>
          <w:i/>
          <w:iCs/>
          <w:noProof/>
          <w:sz w:val="20"/>
          <w:szCs w:val="20"/>
        </w:rPr>
      </w:pPr>
    </w:p>
    <w:p w14:paraId="4D11FFB2" w14:textId="77777777" w:rsidR="0071716E" w:rsidRDefault="0071716E" w:rsidP="5F884969">
      <w:pPr>
        <w:spacing w:after="0"/>
        <w:ind w:left="900"/>
        <w:rPr>
          <w:rFonts w:ascii="Calibri" w:hAnsi="Calibri" w:cs="Times"/>
          <w:b/>
          <w:bCs/>
          <w:i/>
          <w:iCs/>
          <w:noProof/>
          <w:sz w:val="20"/>
          <w:szCs w:val="20"/>
        </w:rPr>
      </w:pPr>
    </w:p>
    <w:p w14:paraId="468B2F6C" w14:textId="77777777" w:rsidR="0071716E" w:rsidRDefault="0071716E" w:rsidP="5F884969">
      <w:pPr>
        <w:spacing w:after="0"/>
        <w:ind w:left="900"/>
        <w:rPr>
          <w:rFonts w:ascii="Calibri" w:hAnsi="Calibri" w:cs="Times"/>
          <w:b/>
          <w:bCs/>
          <w:i/>
          <w:iCs/>
          <w:noProof/>
          <w:sz w:val="20"/>
          <w:szCs w:val="20"/>
        </w:rPr>
      </w:pPr>
    </w:p>
    <w:p w14:paraId="7DA3FD1A" w14:textId="77777777" w:rsidR="005E56FA" w:rsidRPr="00492208" w:rsidRDefault="5F884969" w:rsidP="5F884969">
      <w:pPr>
        <w:spacing w:after="0"/>
        <w:ind w:left="900"/>
        <w:rPr>
          <w:rFonts w:ascii="Calibri" w:hAnsi="Calibri" w:cs="Times"/>
          <w:noProof/>
          <w:sz w:val="20"/>
          <w:szCs w:val="20"/>
        </w:rPr>
      </w:pPr>
      <w:r w:rsidRPr="5F884969">
        <w:rPr>
          <w:rFonts w:ascii="Calibri" w:hAnsi="Calibri" w:cs="Times"/>
          <w:b/>
          <w:bCs/>
          <w:i/>
          <w:iCs/>
          <w:noProof/>
          <w:sz w:val="20"/>
          <w:szCs w:val="20"/>
        </w:rPr>
        <w:lastRenderedPageBreak/>
        <w:t>Figure 32:</w:t>
      </w:r>
      <w:r w:rsidRPr="5F884969">
        <w:rPr>
          <w:rFonts w:ascii="Calibri" w:hAnsi="Calibri" w:cs="Times"/>
          <w:noProof/>
          <w:sz w:val="20"/>
          <w:szCs w:val="20"/>
        </w:rPr>
        <w:t xml:space="preserve"> Environmental Health Index Among Racial/Ethnic Groups in the Burlington-South Burlington Region. Source: </w:t>
      </w:r>
      <w:r w:rsidRPr="5F884969">
        <w:rPr>
          <w:sz w:val="20"/>
          <w:szCs w:val="20"/>
        </w:rPr>
        <w:t>National Air Toxics Assessment (NATA) data, 2011.</w:t>
      </w:r>
    </w:p>
    <w:p w14:paraId="436678A9" w14:textId="04CD0CAE" w:rsidR="00E6668E" w:rsidRDefault="005E56FA" w:rsidP="00492208">
      <w:pPr>
        <w:ind w:left="900"/>
      </w:pPr>
      <w:r>
        <w:rPr>
          <w:noProof/>
          <w:lang w:eastAsia="en-US"/>
        </w:rPr>
        <w:drawing>
          <wp:inline distT="0" distB="0" distL="0" distR="0" wp14:anchorId="496C2FCD" wp14:editId="05CC535A">
            <wp:extent cx="5537835" cy="2720340"/>
            <wp:effectExtent l="0" t="0" r="24765" b="22860"/>
            <wp:docPr id="71" name="Chart 7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arto="http://schemas.microsoft.com/office/word/2006/arto" xmlns:a14="http://schemas.microsoft.com/office/drawing/2010/main" xmlns:c="http://schemas.openxmlformats.org/drawingml/2006/chart" xmlns:pic="http://schemas.openxmlformats.org/drawingml/2006/picture" xmlns:mv="urn:schemas-microsoft-com:mac:vml" xmlns:mo="http://schemas.microsoft.com/office/mac/office/2008/main" id="{E20B5543-EDE2-49D6-9BD5-5479445FB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AA65C7F" w14:textId="77777777" w:rsidR="004464A6" w:rsidRDefault="004464A6" w:rsidP="5F884969">
      <w:pPr>
        <w:pStyle w:val="ListParagraph"/>
        <w:widowControl w:val="0"/>
        <w:autoSpaceDE w:val="0"/>
        <w:autoSpaceDN w:val="0"/>
        <w:adjustRightInd w:val="0"/>
        <w:spacing w:after="0" w:line="240" w:lineRule="auto"/>
        <w:ind w:left="900"/>
        <w:rPr>
          <w:b/>
          <w:bCs/>
          <w:i/>
          <w:iCs/>
        </w:rPr>
      </w:pPr>
    </w:p>
    <w:p w14:paraId="2B371B7A" w14:textId="77777777" w:rsidR="004464A6" w:rsidRDefault="004464A6" w:rsidP="5F884969">
      <w:pPr>
        <w:pStyle w:val="ListParagraph"/>
        <w:widowControl w:val="0"/>
        <w:autoSpaceDE w:val="0"/>
        <w:autoSpaceDN w:val="0"/>
        <w:adjustRightInd w:val="0"/>
        <w:spacing w:after="0" w:line="240" w:lineRule="auto"/>
        <w:ind w:left="900"/>
        <w:rPr>
          <w:b/>
          <w:bCs/>
          <w:i/>
          <w:iCs/>
        </w:rPr>
      </w:pPr>
    </w:p>
    <w:p w14:paraId="7C25D8A8" w14:textId="77777777" w:rsidR="004464A6" w:rsidRPr="00205870" w:rsidRDefault="004464A6" w:rsidP="5F884969">
      <w:pPr>
        <w:pStyle w:val="ListParagraph"/>
        <w:widowControl w:val="0"/>
        <w:autoSpaceDE w:val="0"/>
        <w:autoSpaceDN w:val="0"/>
        <w:adjustRightInd w:val="0"/>
        <w:spacing w:after="0" w:line="240" w:lineRule="auto"/>
        <w:ind w:left="900"/>
        <w:rPr>
          <w:b/>
          <w:bCs/>
          <w:i/>
          <w:iCs/>
        </w:rPr>
      </w:pPr>
    </w:p>
    <w:p w14:paraId="4D2FB5B9" w14:textId="067761D0" w:rsidR="00E6668E" w:rsidRPr="00205870" w:rsidRDefault="5F884969" w:rsidP="5F884969">
      <w:pPr>
        <w:pStyle w:val="ListParagraph"/>
        <w:widowControl w:val="0"/>
        <w:autoSpaceDE w:val="0"/>
        <w:autoSpaceDN w:val="0"/>
        <w:adjustRightInd w:val="0"/>
        <w:spacing w:after="0" w:line="240" w:lineRule="auto"/>
        <w:ind w:left="900"/>
        <w:rPr>
          <w:rFonts w:ascii="Calibri" w:hAnsi="Calibri" w:cs="Calibri"/>
          <w:b/>
          <w:bCs/>
          <w:i/>
          <w:color w:val="000000" w:themeColor="text1"/>
        </w:rPr>
      </w:pPr>
      <w:r w:rsidRPr="00205870">
        <w:rPr>
          <w:rFonts w:ascii="Calibri" w:hAnsi="Calibri" w:cs="Calibri"/>
          <w:b/>
          <w:bCs/>
          <w:i/>
          <w:color w:val="000000" w:themeColor="text1"/>
        </w:rPr>
        <w:t>For the protected class groups HUD has provided data, describe how disparities in access to environmentally healthy neighborhoods relate to residential living patterns in the jurisdiction and region.</w:t>
      </w:r>
    </w:p>
    <w:p w14:paraId="3B5F483A" w14:textId="77777777" w:rsidR="00077BFE" w:rsidRPr="00FE5BA7" w:rsidRDefault="00077BFE" w:rsidP="00FE5BA7">
      <w:pPr>
        <w:pStyle w:val="ListParagraph"/>
        <w:widowControl w:val="0"/>
        <w:autoSpaceDE w:val="0"/>
        <w:autoSpaceDN w:val="0"/>
        <w:adjustRightInd w:val="0"/>
        <w:spacing w:after="0" w:line="240" w:lineRule="auto"/>
        <w:ind w:left="900"/>
        <w:rPr>
          <w:rFonts w:ascii="Calibri" w:hAnsi="Calibri" w:cs="Times"/>
          <w:b/>
          <w:color w:val="000000"/>
        </w:rPr>
      </w:pPr>
    </w:p>
    <w:p w14:paraId="332DEEE2" w14:textId="64E54A1C" w:rsidR="000D1D8D" w:rsidRPr="004464A6" w:rsidRDefault="5F884969" w:rsidP="004464A6">
      <w:pPr>
        <w:pStyle w:val="ListParagraph"/>
        <w:widowControl w:val="0"/>
        <w:autoSpaceDE w:val="0"/>
        <w:autoSpaceDN w:val="0"/>
        <w:adjustRightInd w:val="0"/>
        <w:ind w:left="900"/>
        <w:rPr>
          <w:rFonts w:ascii="Calibri" w:hAnsi="Calibri" w:cs="Times"/>
          <w:color w:val="000000" w:themeColor="text1"/>
        </w:rPr>
      </w:pPr>
      <w:r w:rsidRPr="5F884969">
        <w:rPr>
          <w:rFonts w:ascii="Calibri" w:hAnsi="Calibri" w:cs="Times"/>
          <w:color w:val="000000" w:themeColor="text1"/>
        </w:rPr>
        <w:t>As mentioned above, t</w:t>
      </w:r>
      <w:r w:rsidR="001F224A">
        <w:rPr>
          <w:rFonts w:ascii="Calibri" w:hAnsi="Calibri" w:cs="Times"/>
          <w:color w:val="000000" w:themeColor="text1"/>
        </w:rPr>
        <w:t xml:space="preserve">he Black population has the </w:t>
      </w:r>
      <w:r w:rsidRPr="5F884969">
        <w:rPr>
          <w:rFonts w:ascii="Calibri" w:hAnsi="Calibri" w:cs="Times"/>
          <w:color w:val="000000" w:themeColor="text1"/>
        </w:rPr>
        <w:t>highest access to environmentally friendly neighborhoods, with low disparity between races and ethnicities overall</w:t>
      </w:r>
      <w:r w:rsidRPr="00F53FB7">
        <w:rPr>
          <w:rFonts w:ascii="Calibri" w:hAnsi="Calibri" w:cs="Times"/>
          <w:color w:val="000000" w:themeColor="text1"/>
        </w:rPr>
        <w:t xml:space="preserve">. </w:t>
      </w:r>
      <w:r w:rsidR="00F53FB7" w:rsidRPr="00F53FB7">
        <w:rPr>
          <w:rFonts w:ascii="Calibri" w:hAnsi="Calibri" w:cs="Times"/>
          <w:color w:val="000000" w:themeColor="text1"/>
        </w:rPr>
        <w:t>Map 14 shows that environmental health in Burlington is generally good, with the exception of tract 39</w:t>
      </w:r>
      <w:r w:rsidRPr="00F53FB7">
        <w:rPr>
          <w:rFonts w:ascii="Calibri" w:hAnsi="Calibri" w:cs="Times"/>
          <w:color w:val="000000" w:themeColor="text1"/>
        </w:rPr>
        <w:t>.</w:t>
      </w:r>
      <w:r w:rsidRPr="5F884969">
        <w:rPr>
          <w:rFonts w:ascii="Calibri" w:hAnsi="Calibri" w:cs="Times"/>
          <w:color w:val="000000" w:themeColor="text1"/>
        </w:rPr>
        <w:t xml:space="preserve"> However, the areas within Burlington that have the highest Nonwhite population density, tracts 4 and 5, do have slightly lower Environmental Health Index scores than the immediate surrounding areas, although this trend is not consistent overall.</w:t>
      </w:r>
    </w:p>
    <w:p w14:paraId="0151FDA4" w14:textId="43D3CCF3" w:rsidR="00064A44" w:rsidRDefault="5F884969" w:rsidP="00064A44">
      <w:pPr>
        <w:spacing w:after="0"/>
        <w:ind w:left="900"/>
      </w:pPr>
      <w:r w:rsidRPr="5F884969">
        <w:rPr>
          <w:b/>
          <w:bCs/>
          <w:i/>
          <w:iCs/>
        </w:rPr>
        <w:t>Map 14:</w:t>
      </w:r>
      <w:r>
        <w:t xml:space="preserve"> Map showing the Environmental Health Index in the Burlington, VT area. </w:t>
      </w:r>
    </w:p>
    <w:p w14:paraId="0725AF7B" w14:textId="417C33CD" w:rsidR="00CE4500" w:rsidRDefault="00064A44" w:rsidP="00064A44">
      <w:pPr>
        <w:pStyle w:val="ListParagraph"/>
        <w:ind w:left="900"/>
        <w:rPr>
          <w:b/>
        </w:rPr>
      </w:pPr>
      <w:r>
        <w:rPr>
          <w:noProof/>
          <w:lang w:eastAsia="en-US"/>
        </w:rPr>
        <w:lastRenderedPageBreak/>
        <w:drawing>
          <wp:inline distT="0" distB="0" distL="0" distR="0" wp14:anchorId="54DC1FCA" wp14:editId="5F702212">
            <wp:extent cx="5283835" cy="3055141"/>
            <wp:effectExtent l="25400" t="25400" r="24765" b="18415"/>
            <wp:docPr id="17" name="Picture 17" descr="../Desktop/New%20HUD%20Maps/HUDMap13_Env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New%20HUD%20Maps/HUDMap13_EnvHealth.jpg"/>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5298137" cy="3063410"/>
                    </a:xfrm>
                    <a:prstGeom prst="rect">
                      <a:avLst/>
                    </a:prstGeom>
                    <a:noFill/>
                    <a:ln>
                      <a:solidFill>
                        <a:schemeClr val="tx1"/>
                      </a:solidFill>
                    </a:ln>
                  </pic:spPr>
                </pic:pic>
              </a:graphicData>
            </a:graphic>
          </wp:inline>
        </w:drawing>
      </w:r>
    </w:p>
    <w:p w14:paraId="55BBBA17" w14:textId="70F888C4" w:rsidR="006450CF" w:rsidRDefault="006450CF" w:rsidP="00E6668E">
      <w:pPr>
        <w:pStyle w:val="ListParagraph"/>
        <w:ind w:left="900"/>
        <w:rPr>
          <w:b/>
          <w:color w:val="FF0000"/>
        </w:rPr>
      </w:pPr>
    </w:p>
    <w:p w14:paraId="6707ED71" w14:textId="13EBEC3D" w:rsidR="000C35E6" w:rsidRPr="00205870" w:rsidRDefault="5F884969" w:rsidP="004464A6">
      <w:pPr>
        <w:pStyle w:val="ListParagraph"/>
        <w:ind w:left="900"/>
        <w:rPr>
          <w:b/>
          <w:bCs/>
          <w:i/>
        </w:rPr>
      </w:pPr>
      <w:r w:rsidRPr="00205870">
        <w:rPr>
          <w:b/>
          <w:bCs/>
          <w:i/>
        </w:rPr>
        <w:t>Informed by community participation, any consultation with other relevant government agencies, and the participant’s own local data and local knowledge, discuss whether there are programs, policies, or funding mechanisms that affect disparities in access to environmentally healthy neighborhoods.</w:t>
      </w:r>
    </w:p>
    <w:p w14:paraId="36C5B73E" w14:textId="015424B1" w:rsidR="000C35E6" w:rsidRPr="00F53FB7" w:rsidRDefault="5F884969" w:rsidP="00F53FB7">
      <w:pPr>
        <w:ind w:left="900"/>
        <w:rPr>
          <w:b/>
          <w:bCs/>
        </w:rPr>
      </w:pPr>
      <w:r>
        <w:t>The City of Burlington's Community &amp; Economic Development Office (CEDO) administers a HUD-funded program to reduce lead-based hazards in pre-1978 homes. The progra</w:t>
      </w:r>
      <w:r w:rsidR="004464A6">
        <w:t xml:space="preserve">m also provides </w:t>
      </w:r>
      <w:r>
        <w:t xml:space="preserve">education and outreach to resident to help keep their families safe from lead poisoning.  A healthy home assessment can provide information on a holistic approach to a family's health and well-being. Many free services are available to households in Burlington and Winooski. </w:t>
      </w:r>
    </w:p>
    <w:p w14:paraId="5FC6C75F" w14:textId="64FD109C" w:rsidR="00E6668E" w:rsidRPr="00AC685A" w:rsidRDefault="00E6668E" w:rsidP="6A6D091A">
      <w:pPr>
        <w:pStyle w:val="ListParagraph"/>
        <w:ind w:left="0" w:firstLine="708"/>
      </w:pPr>
    </w:p>
    <w:p w14:paraId="36B13D8B" w14:textId="07077863" w:rsidR="00E6668E" w:rsidRPr="00AC685A" w:rsidRDefault="5F884969" w:rsidP="00F53FB7">
      <w:pPr>
        <w:pStyle w:val="ListParagraph"/>
        <w:ind w:left="900"/>
      </w:pPr>
      <w:r>
        <w:t>CEDO also offers a repair program of low-income owner-occupied housing as well as access modifications for the elderly and disabled in partnership with VCIL.</w:t>
      </w:r>
    </w:p>
    <w:p w14:paraId="01FC96D1" w14:textId="172DDC27" w:rsidR="00E6668E" w:rsidRPr="00AC685A" w:rsidRDefault="00E6668E" w:rsidP="6A6D091A">
      <w:pPr>
        <w:pStyle w:val="ListParagraph"/>
        <w:ind w:left="0" w:firstLine="708"/>
      </w:pPr>
    </w:p>
    <w:p w14:paraId="2882E1B3" w14:textId="5D4D84DF" w:rsidR="00E6668E" w:rsidRDefault="6A6D091A" w:rsidP="00F53FB7">
      <w:pPr>
        <w:pStyle w:val="ListParagraph"/>
        <w:ind w:left="900"/>
      </w:pPr>
      <w:r>
        <w:t xml:space="preserve">In a recent land purchase, the City gained access to a strip of land connecting census tracts 3 and 4 (lowest income, most racially diverse) to the City's waterfront thereby providing access to one of Burlington's most treasured recreational areas. </w:t>
      </w:r>
    </w:p>
    <w:p w14:paraId="662C2198" w14:textId="77777777" w:rsidR="0003335B" w:rsidRDefault="0003335B" w:rsidP="00F53FB7">
      <w:pPr>
        <w:pStyle w:val="ListParagraph"/>
        <w:ind w:left="900"/>
      </w:pPr>
    </w:p>
    <w:p w14:paraId="4611AFE4" w14:textId="3F5091A1" w:rsidR="0003335B" w:rsidRPr="0003335B" w:rsidRDefault="0003335B" w:rsidP="00F53FB7">
      <w:pPr>
        <w:pStyle w:val="ListParagraph"/>
        <w:ind w:left="900"/>
      </w:pPr>
      <w:r w:rsidRPr="0003335B">
        <w:rPr>
          <w:rFonts w:cs="Helvetica"/>
          <w:color w:val="333333"/>
          <w:shd w:val="clear" w:color="auto" w:fill="FFFFFF"/>
        </w:rPr>
        <w:t>The assessment, cleanup and redevelopment of Brownfields (properties with real or perceived contamination) is a high priority for the City of Burlington.  Brownfield site conversions can improve ecological conditions, reduce risk to human health and the environment, increase</w:t>
      </w:r>
      <w:r>
        <w:rPr>
          <w:rFonts w:cs="Helvetica"/>
          <w:color w:val="333333"/>
          <w:shd w:val="clear" w:color="auto" w:fill="FFFFFF"/>
        </w:rPr>
        <w:t xml:space="preserve"> the tax base, </w:t>
      </w:r>
      <w:proofErr w:type="gramStart"/>
      <w:r>
        <w:rPr>
          <w:rFonts w:cs="Helvetica"/>
          <w:color w:val="333333"/>
          <w:shd w:val="clear" w:color="auto" w:fill="FFFFFF"/>
        </w:rPr>
        <w:t>create</w:t>
      </w:r>
      <w:proofErr w:type="gramEnd"/>
      <w:r>
        <w:rPr>
          <w:rFonts w:cs="Helvetica"/>
          <w:color w:val="333333"/>
          <w:shd w:val="clear" w:color="auto" w:fill="FFFFFF"/>
        </w:rPr>
        <w:t xml:space="preserve"> new jobs, housing, and green space</w:t>
      </w:r>
      <w:r w:rsidRPr="0003335B">
        <w:rPr>
          <w:rFonts w:cs="Helvetica"/>
          <w:color w:val="333333"/>
          <w:shd w:val="clear" w:color="auto" w:fill="FFFFFF"/>
        </w:rPr>
        <w:t>.</w:t>
      </w:r>
    </w:p>
    <w:p w14:paraId="536689DF" w14:textId="7D22E1FF" w:rsidR="00E6668E" w:rsidRPr="00AC685A" w:rsidRDefault="00E6668E" w:rsidP="00F53FB7">
      <w:pPr>
        <w:pStyle w:val="ListParagraph"/>
        <w:ind w:left="900" w:firstLine="708"/>
      </w:pPr>
    </w:p>
    <w:p w14:paraId="15193A5F" w14:textId="1A0D23F5" w:rsidR="00E6668E" w:rsidRDefault="5F884969" w:rsidP="00F53FB7">
      <w:pPr>
        <w:pStyle w:val="ListParagraph"/>
        <w:ind w:left="900"/>
      </w:pPr>
      <w:r>
        <w:t xml:space="preserve">Additionally, the City's Parks, Recreation and Waterfront Department serves over 1400 individuals and their families annually in the Burlington Area Community Gardens Program. </w:t>
      </w:r>
      <w:r>
        <w:lastRenderedPageBreak/>
        <w:t xml:space="preserve">Several of </w:t>
      </w:r>
      <w:r w:rsidRPr="5F884969">
        <w:t xml:space="preserve">these gardens are located in areas where protected classes live and strive to engage a diverse audience by assisting with the growing of specific ethnic vegetables as well as wheel chair accessible gardens. </w:t>
      </w:r>
    </w:p>
    <w:p w14:paraId="77EF7514" w14:textId="77777777" w:rsidR="00543D7C" w:rsidRDefault="00543D7C" w:rsidP="00F53FB7">
      <w:pPr>
        <w:pStyle w:val="ListParagraph"/>
        <w:ind w:left="900"/>
      </w:pPr>
    </w:p>
    <w:p w14:paraId="386B7109" w14:textId="74F6AD7C" w:rsidR="00543D7C" w:rsidRDefault="00543D7C" w:rsidP="00F53FB7">
      <w:pPr>
        <w:pStyle w:val="ListParagraph"/>
        <w:ind w:left="900"/>
      </w:pPr>
      <w:r>
        <w:t xml:space="preserve">Our community survey responses rated access to parks, playground and other green spaces at a high of 70% excellent and for public libraries 75% expressed it was either easy or somewhat easy to access this amenity. </w:t>
      </w:r>
    </w:p>
    <w:p w14:paraId="46D05A81" w14:textId="51E5FE90" w:rsidR="00E6668E" w:rsidRDefault="00E6668E" w:rsidP="5F884969">
      <w:pPr>
        <w:pStyle w:val="ListParagraph"/>
        <w:ind w:left="0"/>
      </w:pPr>
    </w:p>
    <w:p w14:paraId="0091CF4C" w14:textId="74CA492F" w:rsidR="00D139C3" w:rsidRPr="00F855C8" w:rsidRDefault="00D139C3" w:rsidP="00D139C3">
      <w:pPr>
        <w:pStyle w:val="ListParagraph"/>
        <w:widowControl w:val="0"/>
        <w:autoSpaceDE w:val="0"/>
        <w:autoSpaceDN w:val="0"/>
        <w:adjustRightInd w:val="0"/>
        <w:spacing w:after="0" w:line="240" w:lineRule="auto"/>
        <w:ind w:left="900"/>
        <w:outlineLvl w:val="0"/>
        <w:rPr>
          <w:rFonts w:ascii="Calibri" w:hAnsi="Calibri" w:cs="Calibri"/>
          <w:b/>
          <w:i/>
          <w:color w:val="000000" w:themeColor="text1"/>
        </w:rPr>
      </w:pPr>
      <w:r w:rsidRPr="00F855C8">
        <w:rPr>
          <w:rFonts w:ascii="Calibri" w:hAnsi="Calibri" w:cs="Calibri"/>
          <w:b/>
          <w:i/>
          <w:color w:val="000000" w:themeColor="text1"/>
        </w:rPr>
        <w:t>Burlington – South Burlington Region</w:t>
      </w:r>
    </w:p>
    <w:p w14:paraId="38290D9F" w14:textId="19FC5692" w:rsidR="00D139C3" w:rsidRPr="00F53FB7" w:rsidRDefault="00D139C3" w:rsidP="5F884969">
      <w:pPr>
        <w:pStyle w:val="ListParagraph"/>
        <w:ind w:left="0"/>
      </w:pPr>
    </w:p>
    <w:p w14:paraId="02A3F988" w14:textId="40C5EB0E" w:rsidR="004673D6" w:rsidRPr="00F53FB7" w:rsidRDefault="5F884969" w:rsidP="00205870">
      <w:pPr>
        <w:pStyle w:val="ListParagraph"/>
        <w:ind w:left="900"/>
      </w:pPr>
      <w:r w:rsidRPr="00F53FB7">
        <w:t>Pine Island Community Farm represents a partnership between the Vermont Land</w:t>
      </w:r>
      <w:r w:rsidR="00F53FB7">
        <w:t xml:space="preserve"> Trust and the Association </w:t>
      </w:r>
      <w:r w:rsidRPr="00F53FB7">
        <w:t>of Africans Living in Vermont.  Located in nearby Colchester, it supports New American farmers who wish to raise goats, chickens, or garden crops at the farm and sells pasture grown animals to families who wish to slaughter their own goats and chickens for meat. The farm is based on a collaborative</w:t>
      </w:r>
      <w:r w:rsidR="00205870">
        <w:t>.</w:t>
      </w:r>
      <w:r w:rsidRPr="00F53FB7">
        <w:t xml:space="preserve"> Each individual farm enterprise is run by the owner as his own small business.  Together, the business operations share the land, the barns, and the equipment.</w:t>
      </w:r>
    </w:p>
    <w:p w14:paraId="5A97982B" w14:textId="121F75FD" w:rsidR="00E6668E" w:rsidRPr="00B55EB6" w:rsidRDefault="5F884969" w:rsidP="000D1D8D">
      <w:pPr>
        <w:pStyle w:val="ListParagraph"/>
        <w:numPr>
          <w:ilvl w:val="0"/>
          <w:numId w:val="9"/>
        </w:numPr>
        <w:spacing w:line="360" w:lineRule="exact"/>
        <w:rPr>
          <w:b/>
          <w:bCs/>
          <w:i/>
          <w:iCs/>
        </w:rPr>
      </w:pPr>
      <w:bookmarkStart w:id="39" w:name="PatternsInDisparitytoOpportunity"/>
      <w:r w:rsidRPr="000D1D8D">
        <w:rPr>
          <w:b/>
          <w:bCs/>
        </w:rPr>
        <w:t>Patterns in Disparity to Opportunity</w:t>
      </w:r>
    </w:p>
    <w:bookmarkEnd w:id="39"/>
    <w:p w14:paraId="29D2A4EC" w14:textId="77777777" w:rsidR="00B55EB6" w:rsidRPr="000D1D8D" w:rsidRDefault="00B55EB6" w:rsidP="00B55EB6">
      <w:pPr>
        <w:pStyle w:val="ListParagraph"/>
        <w:spacing w:line="360" w:lineRule="exact"/>
        <w:ind w:left="1260"/>
        <w:rPr>
          <w:b/>
          <w:bCs/>
          <w:i/>
          <w:iCs/>
        </w:rPr>
      </w:pPr>
    </w:p>
    <w:p w14:paraId="2EFB1874" w14:textId="25F2F99D" w:rsidR="00E6668E" w:rsidRPr="00013909" w:rsidRDefault="5F884969" w:rsidP="5F884969">
      <w:pPr>
        <w:pStyle w:val="ListParagraph"/>
        <w:widowControl w:val="0"/>
        <w:autoSpaceDE w:val="0"/>
        <w:autoSpaceDN w:val="0"/>
        <w:adjustRightInd w:val="0"/>
        <w:spacing w:after="0" w:line="240" w:lineRule="auto"/>
        <w:ind w:left="900"/>
        <w:rPr>
          <w:rFonts w:ascii="Calibri" w:hAnsi="Calibri" w:cs="Calibri"/>
          <w:b/>
          <w:bCs/>
          <w:i/>
          <w:color w:val="000000" w:themeColor="text1"/>
        </w:rPr>
      </w:pPr>
      <w:r w:rsidRPr="00013909">
        <w:rPr>
          <w:rFonts w:ascii="Calibri" w:hAnsi="Calibri" w:cs="Calibri"/>
          <w:b/>
          <w:bCs/>
          <w:i/>
          <w:color w:val="000000" w:themeColor="text1"/>
        </w:rPr>
        <w:t xml:space="preserve">For the protected class groups HUD has provided data, identify and discuss any overarching patterns of access to opportunity and exposure to adverse community factors. Include how these patterns compare to patterns of segregation, integration, and R/ECAPs. Describe these patterns for the jurisdiction and region.  </w:t>
      </w:r>
    </w:p>
    <w:p w14:paraId="5A85F6C9" w14:textId="3C79399B" w:rsidR="00275AC9" w:rsidRDefault="00275AC9" w:rsidP="00E6668E">
      <w:pPr>
        <w:pStyle w:val="ListParagraph"/>
        <w:widowControl w:val="0"/>
        <w:autoSpaceDE w:val="0"/>
        <w:autoSpaceDN w:val="0"/>
        <w:adjustRightInd w:val="0"/>
        <w:spacing w:after="0" w:line="240" w:lineRule="auto"/>
        <w:ind w:left="900"/>
        <w:rPr>
          <w:rFonts w:ascii="Calibri" w:hAnsi="Calibri" w:cs="Calibri"/>
          <w:b/>
          <w:bCs/>
          <w:color w:val="000000"/>
        </w:rPr>
      </w:pPr>
    </w:p>
    <w:p w14:paraId="3B52A00C" w14:textId="77777777" w:rsidR="008D6285" w:rsidRDefault="008D6285" w:rsidP="002F7C2E">
      <w:pPr>
        <w:pStyle w:val="ListParagraph"/>
        <w:widowControl w:val="0"/>
        <w:autoSpaceDE w:val="0"/>
        <w:autoSpaceDN w:val="0"/>
        <w:adjustRightInd w:val="0"/>
        <w:spacing w:after="0" w:line="240" w:lineRule="auto"/>
        <w:ind w:left="900"/>
        <w:outlineLvl w:val="0"/>
        <w:rPr>
          <w:rFonts w:ascii="Calibri" w:hAnsi="Calibri" w:cs="Calibri"/>
          <w:b/>
          <w:color w:val="000000" w:themeColor="text1"/>
        </w:rPr>
      </w:pPr>
      <w:r>
        <w:rPr>
          <w:rFonts w:ascii="Calibri" w:hAnsi="Calibri" w:cs="Calibri"/>
          <w:b/>
          <w:color w:val="000000" w:themeColor="text1"/>
        </w:rPr>
        <w:t>Burlington</w:t>
      </w:r>
    </w:p>
    <w:p w14:paraId="55B094EC" w14:textId="46254ADF" w:rsidR="00DC058E" w:rsidRPr="00DC058E" w:rsidRDefault="00F53FB7" w:rsidP="00DC058E">
      <w:pPr>
        <w:pStyle w:val="ListParagraph"/>
        <w:widowControl w:val="0"/>
        <w:autoSpaceDE w:val="0"/>
        <w:autoSpaceDN w:val="0"/>
        <w:adjustRightInd w:val="0"/>
        <w:spacing w:after="0" w:line="240" w:lineRule="auto"/>
        <w:ind w:left="900"/>
        <w:rPr>
          <w:rFonts w:ascii="Calibri" w:hAnsi="Calibri" w:cs="Calibri"/>
          <w:color w:val="000000" w:themeColor="text1"/>
        </w:rPr>
      </w:pPr>
      <w:r>
        <w:rPr>
          <w:rFonts w:ascii="Calibri" w:hAnsi="Calibri" w:cs="Calibri"/>
          <w:color w:val="000000" w:themeColor="text1"/>
        </w:rPr>
        <w:t xml:space="preserve">With the exception of the Environmental Health Index, </w:t>
      </w:r>
      <w:r w:rsidR="00DC058E">
        <w:rPr>
          <w:rFonts w:ascii="Calibri" w:hAnsi="Calibri" w:cs="Calibri"/>
          <w:color w:val="000000" w:themeColor="text1"/>
        </w:rPr>
        <w:t>non-White</w:t>
      </w:r>
      <w:r>
        <w:rPr>
          <w:rFonts w:ascii="Calibri" w:hAnsi="Calibri" w:cs="Calibri"/>
          <w:color w:val="000000" w:themeColor="text1"/>
        </w:rPr>
        <w:t xml:space="preserve"> and non-Hispanic populations tend to have lower opportunity and higher exposure to adverse community factors. </w:t>
      </w:r>
      <w:r w:rsidR="00DC058E">
        <w:rPr>
          <w:rFonts w:ascii="Calibri" w:hAnsi="Calibri" w:cs="Calibri"/>
          <w:color w:val="000000" w:themeColor="text1"/>
        </w:rPr>
        <w:t>Interestingly, White and Hispanic dissimilarity is the lowest in Burlington. Thus, there is some correlation between increased segregation and decreased access to opportunity.</w:t>
      </w:r>
      <w:r w:rsidR="00237C7F">
        <w:rPr>
          <w:rFonts w:ascii="Calibri" w:hAnsi="Calibri" w:cs="Calibri"/>
          <w:color w:val="000000" w:themeColor="text1"/>
        </w:rPr>
        <w:t xml:space="preserve"> However, correlation does not mean causation,</w:t>
      </w:r>
      <w:r w:rsidR="006F5363">
        <w:rPr>
          <w:rFonts w:ascii="Calibri" w:hAnsi="Calibri" w:cs="Calibri"/>
          <w:color w:val="000000" w:themeColor="text1"/>
        </w:rPr>
        <w:t xml:space="preserve"> and this is not true in all cases</w:t>
      </w:r>
      <w:r w:rsidR="00237C7F">
        <w:rPr>
          <w:rFonts w:ascii="Calibri" w:hAnsi="Calibri" w:cs="Calibri"/>
          <w:color w:val="000000" w:themeColor="text1"/>
        </w:rPr>
        <w:t xml:space="preserve"> yet this trend should be closely watched in the future.</w:t>
      </w:r>
    </w:p>
    <w:p w14:paraId="05E5B2D9" w14:textId="77777777" w:rsidR="00402036" w:rsidRDefault="00402036" w:rsidP="00F53FB7">
      <w:pPr>
        <w:pStyle w:val="ListParagraph"/>
        <w:widowControl w:val="0"/>
        <w:autoSpaceDE w:val="0"/>
        <w:autoSpaceDN w:val="0"/>
        <w:adjustRightInd w:val="0"/>
        <w:spacing w:after="0" w:line="240" w:lineRule="auto"/>
        <w:ind w:left="900"/>
        <w:rPr>
          <w:rFonts w:ascii="Calibri" w:hAnsi="Calibri" w:cs="Calibri"/>
          <w:color w:val="000000" w:themeColor="text1"/>
        </w:rPr>
      </w:pPr>
    </w:p>
    <w:p w14:paraId="0FD98667" w14:textId="6151CE7E" w:rsidR="008D6285" w:rsidRDefault="006F5363" w:rsidP="00B05CD4">
      <w:pPr>
        <w:pStyle w:val="ListParagraph"/>
        <w:widowControl w:val="0"/>
        <w:autoSpaceDE w:val="0"/>
        <w:autoSpaceDN w:val="0"/>
        <w:adjustRightInd w:val="0"/>
        <w:spacing w:after="0" w:line="240" w:lineRule="auto"/>
        <w:ind w:left="900"/>
        <w:rPr>
          <w:rFonts w:ascii="Calibri" w:hAnsi="Calibri" w:cs="Calibri"/>
          <w:color w:val="000000" w:themeColor="text1"/>
        </w:rPr>
      </w:pPr>
      <w:r>
        <w:rPr>
          <w:rFonts w:ascii="Calibri" w:hAnsi="Calibri" w:cs="Calibri"/>
          <w:color w:val="000000" w:themeColor="text1"/>
        </w:rPr>
        <w:t>Further</w:t>
      </w:r>
      <w:r w:rsidR="00F53FB7">
        <w:rPr>
          <w:rFonts w:ascii="Calibri" w:hAnsi="Calibri" w:cs="Calibri"/>
          <w:color w:val="000000" w:themeColor="text1"/>
        </w:rPr>
        <w:t xml:space="preserve">, socioeconomic factors tend to play a large, if not larger </w:t>
      </w:r>
      <w:r w:rsidR="009E4974">
        <w:rPr>
          <w:rFonts w:ascii="Calibri" w:hAnsi="Calibri" w:cs="Calibri"/>
          <w:color w:val="000000" w:themeColor="text1"/>
        </w:rPr>
        <w:t xml:space="preserve">role </w:t>
      </w:r>
      <w:r w:rsidR="00F53FB7">
        <w:rPr>
          <w:rFonts w:ascii="Calibri" w:hAnsi="Calibri" w:cs="Calibri"/>
          <w:color w:val="000000" w:themeColor="text1"/>
        </w:rPr>
        <w:t xml:space="preserve">than </w:t>
      </w:r>
      <w:r w:rsidR="009E4974">
        <w:rPr>
          <w:rFonts w:ascii="Calibri" w:hAnsi="Calibri" w:cs="Calibri"/>
          <w:color w:val="000000" w:themeColor="text1"/>
        </w:rPr>
        <w:t>race/ethnicity by itself,</w:t>
      </w:r>
      <w:r w:rsidR="00237C7F">
        <w:rPr>
          <w:rFonts w:ascii="Calibri" w:hAnsi="Calibri" w:cs="Calibri"/>
          <w:color w:val="000000" w:themeColor="text1"/>
        </w:rPr>
        <w:t xml:space="preserve"> in determining </w:t>
      </w:r>
      <w:r w:rsidR="00402036">
        <w:rPr>
          <w:rFonts w:ascii="Calibri" w:hAnsi="Calibri" w:cs="Calibri"/>
          <w:color w:val="000000" w:themeColor="text1"/>
        </w:rPr>
        <w:t xml:space="preserve">access to opportunity and exposure to adverse community factors. </w:t>
      </w:r>
      <w:r>
        <w:rPr>
          <w:rFonts w:ascii="Calibri" w:hAnsi="Calibri" w:cs="Calibri"/>
          <w:color w:val="000000" w:themeColor="text1"/>
        </w:rPr>
        <w:t xml:space="preserve">More consistent than variation by race and ethnicity, populations living below the poverty line across all race/ethnicities tend to experience less access to opportunity and more adversity community factors. </w:t>
      </w:r>
      <w:r w:rsidR="00402036">
        <w:rPr>
          <w:rFonts w:ascii="Calibri" w:hAnsi="Calibri" w:cs="Calibri"/>
          <w:color w:val="000000" w:themeColor="text1"/>
        </w:rPr>
        <w:t>Although it is often difficult to disentangle socioeconomic factors from racial ones, it is important to consider how futur</w:t>
      </w:r>
      <w:r>
        <w:rPr>
          <w:rFonts w:ascii="Calibri" w:hAnsi="Calibri" w:cs="Calibri"/>
          <w:color w:val="000000" w:themeColor="text1"/>
        </w:rPr>
        <w:t xml:space="preserve">e policies and actions taken within </w:t>
      </w:r>
      <w:r w:rsidR="00402036">
        <w:rPr>
          <w:rFonts w:ascii="Calibri" w:hAnsi="Calibri" w:cs="Calibri"/>
          <w:color w:val="000000" w:themeColor="text1"/>
        </w:rPr>
        <w:t xml:space="preserve">Burlington improve the general socioeconomic condition of </w:t>
      </w:r>
      <w:r w:rsidR="009E4974">
        <w:rPr>
          <w:rFonts w:ascii="Calibri" w:hAnsi="Calibri" w:cs="Calibri"/>
          <w:color w:val="000000" w:themeColor="text1"/>
        </w:rPr>
        <w:t>protected class groups.</w:t>
      </w:r>
    </w:p>
    <w:p w14:paraId="40B74C25" w14:textId="77777777" w:rsidR="00013909" w:rsidRPr="00B05CD4" w:rsidRDefault="00013909" w:rsidP="00B05CD4">
      <w:pPr>
        <w:pStyle w:val="ListParagraph"/>
        <w:widowControl w:val="0"/>
        <w:autoSpaceDE w:val="0"/>
        <w:autoSpaceDN w:val="0"/>
        <w:adjustRightInd w:val="0"/>
        <w:spacing w:after="0" w:line="240" w:lineRule="auto"/>
        <w:ind w:left="900"/>
        <w:rPr>
          <w:rFonts w:ascii="Calibri" w:hAnsi="Calibri" w:cs="Calibri"/>
          <w:color w:val="000000" w:themeColor="text1"/>
        </w:rPr>
      </w:pPr>
    </w:p>
    <w:p w14:paraId="2705C9DA" w14:textId="6B30E7F8" w:rsidR="008D6285" w:rsidRPr="00F855C8" w:rsidRDefault="008D6285" w:rsidP="002F7C2E">
      <w:pPr>
        <w:pStyle w:val="ListParagraph"/>
        <w:widowControl w:val="0"/>
        <w:autoSpaceDE w:val="0"/>
        <w:autoSpaceDN w:val="0"/>
        <w:adjustRightInd w:val="0"/>
        <w:spacing w:after="0" w:line="240" w:lineRule="auto"/>
        <w:ind w:left="900"/>
        <w:outlineLvl w:val="0"/>
        <w:rPr>
          <w:rFonts w:ascii="Calibri" w:hAnsi="Calibri" w:cs="Calibri"/>
          <w:b/>
          <w:i/>
          <w:color w:val="000000" w:themeColor="text1"/>
        </w:rPr>
      </w:pPr>
      <w:r w:rsidRPr="00F855C8">
        <w:rPr>
          <w:rFonts w:ascii="Calibri" w:hAnsi="Calibri" w:cs="Calibri"/>
          <w:b/>
          <w:i/>
          <w:color w:val="000000" w:themeColor="text1"/>
        </w:rPr>
        <w:t>Burlington – South Burlington Region</w:t>
      </w:r>
    </w:p>
    <w:p w14:paraId="4B3C8F19" w14:textId="2DDA6D65" w:rsidR="00702B00" w:rsidRPr="000D51B5" w:rsidRDefault="00B05CD4" w:rsidP="00DC058E">
      <w:pPr>
        <w:pStyle w:val="ListParagraph"/>
        <w:widowControl w:val="0"/>
        <w:autoSpaceDE w:val="0"/>
        <w:autoSpaceDN w:val="0"/>
        <w:adjustRightInd w:val="0"/>
        <w:spacing w:after="0" w:line="240" w:lineRule="auto"/>
        <w:ind w:left="900"/>
        <w:rPr>
          <w:rFonts w:ascii="Calibri" w:hAnsi="Calibri" w:cs="Calibri"/>
          <w:color w:val="000000" w:themeColor="text1"/>
        </w:rPr>
      </w:pPr>
      <w:r>
        <w:rPr>
          <w:rFonts w:ascii="Calibri" w:hAnsi="Calibri" w:cs="Calibri"/>
          <w:color w:val="000000" w:themeColor="text1"/>
        </w:rPr>
        <w:t>In</w:t>
      </w:r>
      <w:r w:rsidR="000D51B5">
        <w:rPr>
          <w:rFonts w:ascii="Calibri" w:hAnsi="Calibri" w:cs="Calibri"/>
          <w:color w:val="000000" w:themeColor="text1"/>
        </w:rPr>
        <w:t xml:space="preserve"> general, there is less exposure in the Region to poverty and environmentally friendly neighborhoods. </w:t>
      </w:r>
      <w:r w:rsidR="004A3CE2">
        <w:t>The scores for the Low Transportation Cost Index are generally lower and show greater variance in the region as a whole than it is in Burlington.</w:t>
      </w:r>
      <w:r w:rsidR="00F855C8" w:rsidRPr="00F855C8">
        <w:rPr>
          <w:rFonts w:ascii="Calibri" w:hAnsi="Calibri" w:cs="Times"/>
          <w:color w:val="000000" w:themeColor="text1"/>
        </w:rPr>
        <w:t xml:space="preserve"> </w:t>
      </w:r>
      <w:r w:rsidR="00F855C8" w:rsidRPr="5F884969">
        <w:rPr>
          <w:rFonts w:ascii="Calibri" w:hAnsi="Calibri" w:cs="Times"/>
          <w:color w:val="000000" w:themeColor="text1"/>
        </w:rPr>
        <w:t>The Labor Market Engagement Index within the greater Burl</w:t>
      </w:r>
      <w:r w:rsidR="00F855C8">
        <w:rPr>
          <w:rFonts w:ascii="Calibri" w:hAnsi="Calibri" w:cs="Times"/>
          <w:color w:val="000000" w:themeColor="text1"/>
        </w:rPr>
        <w:t xml:space="preserve">ington-South Burlington region </w:t>
      </w:r>
      <w:r w:rsidR="00F855C8" w:rsidRPr="5F884969">
        <w:rPr>
          <w:rFonts w:ascii="Calibri" w:hAnsi="Calibri" w:cs="Times"/>
          <w:color w:val="000000" w:themeColor="text1"/>
        </w:rPr>
        <w:t>shows, overall, slightly higher labor market engagement when compared to the Burlington jurisdiction.</w:t>
      </w:r>
    </w:p>
    <w:p w14:paraId="57235BA7" w14:textId="77777777" w:rsidR="00ED51BC" w:rsidRPr="00275AC9" w:rsidRDefault="00ED51BC" w:rsidP="00E6668E">
      <w:pPr>
        <w:pStyle w:val="ListParagraph"/>
        <w:widowControl w:val="0"/>
        <w:autoSpaceDE w:val="0"/>
        <w:autoSpaceDN w:val="0"/>
        <w:adjustRightInd w:val="0"/>
        <w:spacing w:after="0" w:line="240" w:lineRule="auto"/>
        <w:ind w:left="900"/>
        <w:rPr>
          <w:rFonts w:ascii="Calibri" w:hAnsi="Calibri" w:cs="Calibri"/>
          <w:bCs/>
          <w:color w:val="000000"/>
        </w:rPr>
      </w:pPr>
    </w:p>
    <w:p w14:paraId="5628AC2F" w14:textId="2CFCB15E" w:rsidR="00275AC9" w:rsidRDefault="5F884969" w:rsidP="5F884969">
      <w:pPr>
        <w:pStyle w:val="ListParagraph"/>
        <w:widowControl w:val="0"/>
        <w:autoSpaceDE w:val="0"/>
        <w:autoSpaceDN w:val="0"/>
        <w:adjustRightInd w:val="0"/>
        <w:spacing w:after="0" w:line="240" w:lineRule="auto"/>
        <w:ind w:left="900"/>
        <w:rPr>
          <w:rFonts w:ascii="Calibri" w:hAnsi="Calibri" w:cs="Calibri"/>
          <w:b/>
          <w:bCs/>
          <w:color w:val="000000" w:themeColor="text1"/>
        </w:rPr>
      </w:pPr>
      <w:r w:rsidRPr="5F884969">
        <w:rPr>
          <w:rFonts w:ascii="Calibri" w:hAnsi="Calibri" w:cs="Calibri"/>
          <w:b/>
          <w:bCs/>
          <w:color w:val="000000" w:themeColor="text1"/>
        </w:rPr>
        <w:t>Based on the opportunity indicators assessed above, identify areas that experience: (a) high access; and (b) low access across multiple indicators.</w:t>
      </w:r>
    </w:p>
    <w:p w14:paraId="207E1E99" w14:textId="5721B8EF" w:rsidR="00275AC9" w:rsidRDefault="00275AC9" w:rsidP="00E6668E">
      <w:pPr>
        <w:pStyle w:val="ListParagraph"/>
        <w:widowControl w:val="0"/>
        <w:autoSpaceDE w:val="0"/>
        <w:autoSpaceDN w:val="0"/>
        <w:adjustRightInd w:val="0"/>
        <w:spacing w:after="0" w:line="240" w:lineRule="auto"/>
        <w:ind w:left="900"/>
        <w:rPr>
          <w:rFonts w:ascii="Calibri" w:hAnsi="Calibri" w:cs="Calibri"/>
          <w:b/>
          <w:bCs/>
          <w:color w:val="000000"/>
        </w:rPr>
      </w:pPr>
    </w:p>
    <w:p w14:paraId="655EDAB3" w14:textId="7328DCF7" w:rsidR="00E87972" w:rsidRPr="00B05CD4" w:rsidRDefault="00DC058E" w:rsidP="00B05CD4">
      <w:pPr>
        <w:pStyle w:val="ListParagraph"/>
        <w:widowControl w:val="0"/>
        <w:autoSpaceDE w:val="0"/>
        <w:autoSpaceDN w:val="0"/>
        <w:adjustRightInd w:val="0"/>
        <w:spacing w:after="0" w:line="240" w:lineRule="auto"/>
        <w:ind w:left="900"/>
        <w:rPr>
          <w:rFonts w:ascii="Calibri" w:hAnsi="Calibri" w:cs="Calibri"/>
          <w:color w:val="000000" w:themeColor="text1"/>
        </w:rPr>
      </w:pPr>
      <w:r>
        <w:rPr>
          <w:rFonts w:ascii="Calibri" w:hAnsi="Calibri" w:cs="Calibri"/>
          <w:color w:val="000000" w:themeColor="text1"/>
        </w:rPr>
        <w:t xml:space="preserve">The North and West section of Burlington tend to have lower access to opportunity across multiple indicators, while the South-Eastern part of Burlington tends to have higher access to opportunities. Again, the Environmental Health Index is an exception to this trend. </w:t>
      </w:r>
    </w:p>
    <w:p w14:paraId="1FFA873D" w14:textId="77777777" w:rsidR="00DC058E" w:rsidRPr="00275AC9" w:rsidRDefault="00DC058E" w:rsidP="00275AC9">
      <w:pPr>
        <w:pStyle w:val="ListParagraph"/>
        <w:widowControl w:val="0"/>
        <w:autoSpaceDE w:val="0"/>
        <w:autoSpaceDN w:val="0"/>
        <w:adjustRightInd w:val="0"/>
        <w:spacing w:after="0" w:line="240" w:lineRule="auto"/>
        <w:ind w:left="900"/>
        <w:rPr>
          <w:rFonts w:ascii="Calibri" w:hAnsi="Calibri" w:cs="Times"/>
          <w:color w:val="000000"/>
        </w:rPr>
      </w:pPr>
    </w:p>
    <w:p w14:paraId="54058A96" w14:textId="77777777" w:rsidR="004121A4" w:rsidRPr="00B91C64" w:rsidRDefault="5F884969" w:rsidP="00013909">
      <w:pPr>
        <w:pStyle w:val="ListParagraph"/>
        <w:ind w:firstLine="168"/>
        <w:outlineLvl w:val="0"/>
        <w:rPr>
          <w:b/>
          <w:bCs/>
          <w:u w:val="single"/>
        </w:rPr>
      </w:pPr>
      <w:r w:rsidRPr="00B91C64">
        <w:rPr>
          <w:b/>
          <w:bCs/>
          <w:u w:val="single"/>
        </w:rPr>
        <w:t>Additional Information</w:t>
      </w:r>
    </w:p>
    <w:p w14:paraId="67AC9A6E" w14:textId="752D2FB9" w:rsidR="00F11448" w:rsidRPr="00013909" w:rsidRDefault="5F884969" w:rsidP="00013909">
      <w:pPr>
        <w:pStyle w:val="ListParagraph"/>
        <w:widowControl w:val="0"/>
        <w:autoSpaceDE w:val="0"/>
        <w:autoSpaceDN w:val="0"/>
        <w:adjustRightInd w:val="0"/>
        <w:spacing w:after="0" w:line="240" w:lineRule="auto"/>
        <w:ind w:left="888"/>
        <w:rPr>
          <w:rFonts w:ascii="Calibri" w:hAnsi="Calibri" w:cs="Times"/>
          <w:b/>
          <w:bCs/>
          <w:i/>
        </w:rPr>
      </w:pPr>
      <w:r w:rsidRPr="00013909">
        <w:rPr>
          <w:rFonts w:ascii="Calibri" w:hAnsi="Calibri" w:cs="Calibri"/>
          <w:b/>
          <w:bCs/>
          <w:i/>
        </w:rPr>
        <w:t xml:space="preserve">Beyond the HUD-provided data, provide additional relevant information, if any, about disparities in access to opportunity in the jurisdiction and region affecting groups with other protected characteristics. </w:t>
      </w:r>
    </w:p>
    <w:p w14:paraId="30E0FFFA" w14:textId="77777777" w:rsidR="00757002" w:rsidRPr="00757002" w:rsidRDefault="00757002" w:rsidP="00013909">
      <w:pPr>
        <w:spacing w:beforeAutospacing="1" w:afterAutospacing="1"/>
        <w:ind w:left="720" w:firstLine="168"/>
        <w:rPr>
          <w:b/>
          <w:i/>
        </w:rPr>
      </w:pPr>
      <w:r w:rsidRPr="00757002">
        <w:rPr>
          <w:b/>
          <w:i/>
        </w:rPr>
        <w:t>Burlington</w:t>
      </w:r>
    </w:p>
    <w:p w14:paraId="26AE568A" w14:textId="42C8F469" w:rsidR="001F6BBA" w:rsidRPr="00695A7A" w:rsidRDefault="001F6BBA" w:rsidP="00013909">
      <w:pPr>
        <w:spacing w:beforeAutospacing="1" w:afterAutospacing="1"/>
        <w:ind w:left="888" w:firstLine="12"/>
      </w:pPr>
      <w:r w:rsidRPr="001F6BBA">
        <w:t>Although the City of Burlington has a low unemployment rate,</w:t>
      </w:r>
      <w:r w:rsidR="00D21425">
        <w:t xml:space="preserve"> unemployment disproportionately impacts Black/African Americans at a rate significantly higher than other races. </w:t>
      </w:r>
      <w:r w:rsidR="008F4857">
        <w:t xml:space="preserve"> L</w:t>
      </w:r>
      <w:r w:rsidRPr="001F6BBA">
        <w:t xml:space="preserve">ow wages places additional burdens on both renters and homeowners. </w:t>
      </w:r>
      <w:r>
        <w:t xml:space="preserve">According to the 2016 Out of Reach study, the State of Vermont places 13th in the ability to afford a two-bedroom Fair Market Rate apartment. The annual income needed to afford the 2 bedroom </w:t>
      </w:r>
      <w:r w:rsidRPr="00695A7A">
        <w:t>apartment is over $54,000 in the Burlington-South Burlington Region; however the City of Burlington median household income is $44,671.</w:t>
      </w:r>
      <w:r w:rsidR="008F4857" w:rsidRPr="00695A7A">
        <w:t xml:space="preserve"> This median household income is significantly less for Black/African American households at </w:t>
      </w:r>
      <w:r w:rsidR="00757002" w:rsidRPr="00695A7A">
        <w:t>$31,250.</w:t>
      </w:r>
    </w:p>
    <w:p w14:paraId="2A2C4849" w14:textId="0CD1BA97" w:rsidR="001F6BBA" w:rsidRPr="00695A7A" w:rsidRDefault="00AA780A" w:rsidP="00013909">
      <w:pPr>
        <w:pStyle w:val="ListParagraph"/>
        <w:ind w:left="888"/>
      </w:pPr>
      <w:r w:rsidRPr="00695A7A">
        <w:t>According to the USDA Economic Research Service, an average of 12.4% (32,000) Vermont households were food insecure from 2011 to 2015. In Burlington, a distinct disparity exists between populations based on race for those who access food stamps. Fifteen percent of White households received food stamps as opposed to 45% Black/African American households; 42% Asian households and 35% American Indian households. Food insecurity can lead to significant disparities in access to opportunity.</w:t>
      </w:r>
      <w:r w:rsidR="008D63DF" w:rsidRPr="00695A7A">
        <w:t xml:space="preserve"> According to the Urban Institute’s 2010 study on food insecurity, it suggests that SNAP receipt reduces the likelihood of being food insecure by roughly 30 percent and reduces the likelihood of being very food insecure by 20 percent. These findings provide evidence that SNAP is meeting its key goal of reducing food-related hardship.</w:t>
      </w:r>
    </w:p>
    <w:p w14:paraId="4677ADCD" w14:textId="234B6E41" w:rsidR="00695A7A" w:rsidRPr="00757002" w:rsidRDefault="00695A7A" w:rsidP="00B24747">
      <w:pPr>
        <w:autoSpaceDE w:val="0"/>
        <w:autoSpaceDN w:val="0"/>
        <w:ind w:left="888"/>
      </w:pPr>
      <w:r w:rsidRPr="00695A7A">
        <w:t>Burlington School District Equity and Diversity Report and Vermont Legal Aid Report of 2014, note youth of color in Burlington receive in-school suspension three times more often, and out-of-school suspension twice as often as white students, while enrollment in Honors and AP classes is at half the rate. These statistics hold true for low income youth and youth on Individual Education Plans (IEP). The four year cohort graduation rate is lower for youth of color than white students and community reports name high levels of disinterest and disconnection among young men of color within ELL classes. Statewide, 4 year graduation rates show a 14% gap between black and white students (ACS 2014). ELL students enroll at a disproportionally low rate in post-secondary institutions within two years of high school completion and fail to complete college within six years.</w:t>
      </w:r>
    </w:p>
    <w:p w14:paraId="42921C09" w14:textId="77777777" w:rsidR="00757002" w:rsidRPr="00757002" w:rsidRDefault="00757002" w:rsidP="5F884969">
      <w:pPr>
        <w:pStyle w:val="ListParagraph"/>
        <w:ind w:left="540"/>
      </w:pPr>
    </w:p>
    <w:p w14:paraId="0856C47A" w14:textId="77777777" w:rsidR="00757002" w:rsidRPr="00A13ED9" w:rsidRDefault="00757002" w:rsidP="00602E99">
      <w:pPr>
        <w:pStyle w:val="ListParagraph"/>
        <w:widowControl w:val="0"/>
        <w:autoSpaceDE w:val="0"/>
        <w:autoSpaceDN w:val="0"/>
        <w:adjustRightInd w:val="0"/>
        <w:spacing w:after="0" w:line="240" w:lineRule="auto"/>
        <w:ind w:left="1416"/>
        <w:outlineLvl w:val="0"/>
        <w:rPr>
          <w:rFonts w:ascii="Calibri" w:hAnsi="Calibri" w:cs="Calibri"/>
          <w:b/>
          <w:i/>
        </w:rPr>
      </w:pPr>
      <w:r w:rsidRPr="00A13ED9">
        <w:rPr>
          <w:rFonts w:ascii="Calibri" w:hAnsi="Calibri" w:cs="Calibri"/>
          <w:b/>
          <w:i/>
        </w:rPr>
        <w:t>Burlington – South Burlington Region</w:t>
      </w:r>
    </w:p>
    <w:p w14:paraId="7576C581" w14:textId="77777777" w:rsidR="00EA0866" w:rsidRPr="004A41DA" w:rsidRDefault="00EA0866" w:rsidP="00602E99">
      <w:pPr>
        <w:pStyle w:val="ListParagraph"/>
        <w:widowControl w:val="0"/>
        <w:autoSpaceDE w:val="0"/>
        <w:autoSpaceDN w:val="0"/>
        <w:adjustRightInd w:val="0"/>
        <w:spacing w:after="0" w:line="240" w:lineRule="auto"/>
        <w:ind w:left="1416"/>
        <w:outlineLvl w:val="0"/>
        <w:rPr>
          <w:rFonts w:ascii="Calibri" w:hAnsi="Calibri" w:cs="Calibri"/>
          <w:b/>
          <w:i/>
          <w:color w:val="FF0000"/>
        </w:rPr>
      </w:pPr>
    </w:p>
    <w:p w14:paraId="4CF2816C" w14:textId="71FBCA56" w:rsidR="00EA0866" w:rsidRPr="00B24747" w:rsidRDefault="00EA0866" w:rsidP="00B24747">
      <w:pPr>
        <w:widowControl w:val="0"/>
        <w:autoSpaceDE w:val="0"/>
        <w:autoSpaceDN w:val="0"/>
        <w:adjustRightInd w:val="0"/>
        <w:spacing w:after="0" w:line="240" w:lineRule="auto"/>
        <w:ind w:left="900"/>
        <w:rPr>
          <w:bCs/>
          <w:iCs/>
        </w:rPr>
      </w:pPr>
      <w:r w:rsidRPr="00B24747">
        <w:rPr>
          <w:bCs/>
          <w:iCs/>
        </w:rPr>
        <w:t>More than 29% of the workers in the Region commute over 30 minutes to their workplace. This travel time can and does impact their opportunities for employment and transportation. In addition, there is considerable disparity between protected classes on the utilization of an automobile for transportation to work. For Whites in the Region, 74% are more likely to use private automobile transportation for their commute. However, the protected classes by race and ethnicity are significantly less likely to use their own car – 56% Black, 57% Asian, 59% American Indian or 57% Hispanic. As protected classes relying more on public transportation, taxi cabs or perhaps other means of transportation, it could result in paying a significant amount of their income on housing and transportation as well as limiting the employment or labor opportunities based on other means of transportation.</w:t>
      </w:r>
    </w:p>
    <w:p w14:paraId="42312240" w14:textId="77777777" w:rsidR="00EA0866" w:rsidRPr="00B24747" w:rsidRDefault="00EA0866" w:rsidP="00602E99">
      <w:pPr>
        <w:pStyle w:val="ListParagraph"/>
        <w:widowControl w:val="0"/>
        <w:autoSpaceDE w:val="0"/>
        <w:autoSpaceDN w:val="0"/>
        <w:adjustRightInd w:val="0"/>
        <w:spacing w:after="0" w:line="240" w:lineRule="auto"/>
        <w:ind w:left="1221"/>
        <w:rPr>
          <w:bCs/>
          <w:iCs/>
        </w:rPr>
      </w:pPr>
    </w:p>
    <w:p w14:paraId="70621A84" w14:textId="22F40E62" w:rsidR="00E92F28" w:rsidRPr="00B24747" w:rsidRDefault="008D63DF" w:rsidP="00B24747">
      <w:pPr>
        <w:ind w:left="900"/>
      </w:pPr>
      <w:r w:rsidRPr="00B24747">
        <w:t xml:space="preserve">For the Region, significant disparities also exist among protected race/ethnicity populations receiving food stamps, indicative of both higher poverty level and perhaps food insecurity issues. While only 11% of the White population in the Region receive food stamps, 20% of Asians, 30% of Blacks and American Indians and 19% of Hispanics receive food stamps. </w:t>
      </w:r>
    </w:p>
    <w:p w14:paraId="63A1C52D" w14:textId="77777777" w:rsidR="00E92F28" w:rsidRPr="00B24747" w:rsidRDefault="00E92F28" w:rsidP="00B24747">
      <w:pPr>
        <w:pStyle w:val="m-8819975321542226219gmail-m5810155667287746255msolistparagraph"/>
        <w:ind w:left="900"/>
        <w:rPr>
          <w:rFonts w:asciiTheme="minorHAnsi" w:hAnsiTheme="minorHAnsi"/>
          <w:sz w:val="22"/>
          <w:szCs w:val="22"/>
        </w:rPr>
      </w:pPr>
      <w:r w:rsidRPr="00B24747">
        <w:rPr>
          <w:rFonts w:asciiTheme="minorHAnsi" w:hAnsiTheme="minorHAnsi"/>
          <w:sz w:val="22"/>
          <w:szCs w:val="22"/>
        </w:rPr>
        <w:t xml:space="preserve">UVM Professor Stephanie </w:t>
      </w:r>
      <w:proofErr w:type="spellStart"/>
      <w:r w:rsidRPr="00B24747">
        <w:rPr>
          <w:rFonts w:asciiTheme="minorHAnsi" w:hAnsiTheme="minorHAnsi"/>
          <w:sz w:val="22"/>
          <w:szCs w:val="22"/>
        </w:rPr>
        <w:t>Seguino</w:t>
      </w:r>
      <w:proofErr w:type="spellEnd"/>
      <w:r w:rsidRPr="00B24747">
        <w:rPr>
          <w:rFonts w:asciiTheme="minorHAnsi" w:hAnsiTheme="minorHAnsi"/>
          <w:sz w:val="22"/>
          <w:szCs w:val="22"/>
        </w:rPr>
        <w:t>, in a published report "DRIVING WHILE BLACK AND BROWN IN VERMONT", notes there is a higher incidence of traffic stops by law enforcement of people of color. Incidents with the criminal justice system also lead to disparities in opportunities.</w:t>
      </w:r>
    </w:p>
    <w:p w14:paraId="50163ADE" w14:textId="77777777" w:rsidR="00E92F28" w:rsidRPr="00B24747" w:rsidRDefault="00E92F28" w:rsidP="00B24747">
      <w:pPr>
        <w:pStyle w:val="m-8819975321542226219gmail-m5810155667287746255msolistparagraph"/>
        <w:ind w:left="900"/>
        <w:rPr>
          <w:rFonts w:asciiTheme="minorHAnsi" w:hAnsiTheme="minorHAnsi"/>
          <w:sz w:val="22"/>
          <w:szCs w:val="22"/>
        </w:rPr>
      </w:pPr>
      <w:r w:rsidRPr="00B24747">
        <w:rPr>
          <w:rFonts w:asciiTheme="minorHAnsi" w:hAnsiTheme="minorHAnsi"/>
          <w:sz w:val="22"/>
          <w:szCs w:val="22"/>
        </w:rPr>
        <w:t>Other disparities exist for youth of color. Black youth are referred to court for delinquent and criminal charges at five times the expected rate for their population. Black youth are sent to Woodside Juvenile Detention nearly twice as often as White youth relative to cases adjudicated in court and Black youth are sent to Woodside eight times more often than expected based on population alone.</w:t>
      </w:r>
    </w:p>
    <w:p w14:paraId="7EA0386E" w14:textId="77777777" w:rsidR="00E92F28" w:rsidRPr="008D63DF" w:rsidRDefault="00E92F28" w:rsidP="00602E99">
      <w:pPr>
        <w:pStyle w:val="ListParagraph"/>
        <w:ind w:left="1221"/>
      </w:pPr>
    </w:p>
    <w:p w14:paraId="73A29101" w14:textId="4492281E" w:rsidR="004121A4" w:rsidRPr="00970F79" w:rsidRDefault="004121A4" w:rsidP="00602E99">
      <w:pPr>
        <w:pStyle w:val="ListParagraph"/>
        <w:ind w:left="1056"/>
        <w:rPr>
          <w:color w:val="FF0000"/>
        </w:rPr>
      </w:pPr>
    </w:p>
    <w:p w14:paraId="544553B2" w14:textId="6F7401F1" w:rsidR="00F11448" w:rsidRPr="00602E99" w:rsidRDefault="5F884969" w:rsidP="00423846">
      <w:pPr>
        <w:pStyle w:val="ListParagraph"/>
        <w:widowControl w:val="0"/>
        <w:autoSpaceDE w:val="0"/>
        <w:autoSpaceDN w:val="0"/>
        <w:adjustRightInd w:val="0"/>
        <w:spacing w:after="0" w:line="240" w:lineRule="auto"/>
        <w:ind w:left="630"/>
        <w:rPr>
          <w:rFonts w:ascii="Calibri" w:hAnsi="Calibri" w:cs="Times"/>
          <w:b/>
          <w:bCs/>
          <w:i/>
        </w:rPr>
      </w:pPr>
      <w:r w:rsidRPr="00602E99">
        <w:rPr>
          <w:rFonts w:ascii="Calibri" w:hAnsi="Calibri" w:cs="Calibri"/>
          <w:b/>
          <w:bCs/>
          <w:i/>
        </w:rPr>
        <w:t xml:space="preserve">The program participant may also describe other information relevant to its assessment of disparities in access to opportunity, including any activities aimed at improving access to opportunities for areas that may lack such access, or in promoting access to opportunity (e.g., proficient schools, employment opportunities, and transportation). </w:t>
      </w:r>
    </w:p>
    <w:p w14:paraId="2A99C8F8" w14:textId="41215792" w:rsidR="5F884969" w:rsidRPr="008D4489" w:rsidRDefault="5F884969" w:rsidP="00602E99">
      <w:pPr>
        <w:pStyle w:val="ListParagraph"/>
        <w:spacing w:after="0" w:line="240" w:lineRule="auto"/>
        <w:ind w:left="1056"/>
        <w:rPr>
          <w:rFonts w:ascii="Calibri" w:hAnsi="Calibri" w:cs="Calibri"/>
          <w:b/>
          <w:bCs/>
        </w:rPr>
      </w:pPr>
    </w:p>
    <w:p w14:paraId="3D64D407" w14:textId="1A62D355" w:rsidR="00423846" w:rsidRDefault="5F884969" w:rsidP="00423846">
      <w:pPr>
        <w:pStyle w:val="ListParagraph"/>
        <w:ind w:left="1224" w:hanging="504"/>
      </w:pPr>
      <w:r w:rsidRPr="008D4489">
        <w:t>In 2014 Downtown Strategy Report, it was noted that Burlingt</w:t>
      </w:r>
      <w:r w:rsidR="00423846">
        <w:t>on is lagging behind the region &amp;</w:t>
      </w:r>
    </w:p>
    <w:p w14:paraId="0F5368B2" w14:textId="6026DFF7" w:rsidR="00423846" w:rsidRDefault="5F884969" w:rsidP="00423846">
      <w:pPr>
        <w:pStyle w:val="ListParagraph"/>
        <w:ind w:left="1224" w:hanging="504"/>
      </w:pPr>
      <w:proofErr w:type="gramStart"/>
      <w:r w:rsidRPr="008D4489">
        <w:t>peer</w:t>
      </w:r>
      <w:proofErr w:type="gramEnd"/>
      <w:r w:rsidRPr="008D4489">
        <w:t xml:space="preserve"> cities in the production of new downtown housing – housing that is particularly</w:t>
      </w:r>
    </w:p>
    <w:p w14:paraId="642438E8" w14:textId="77777777" w:rsidR="00423846" w:rsidRDefault="5F884969" w:rsidP="00423846">
      <w:pPr>
        <w:pStyle w:val="ListParagraph"/>
        <w:ind w:left="1224" w:hanging="504"/>
      </w:pPr>
      <w:proofErr w:type="gramStart"/>
      <w:r w:rsidRPr="008D4489">
        <w:t>important</w:t>
      </w:r>
      <w:proofErr w:type="gramEnd"/>
      <w:r w:rsidRPr="008D4489">
        <w:t xml:space="preserve"> for serving low-income families, young professional</w:t>
      </w:r>
      <w:r w:rsidR="00423846">
        <w:t>s, empty nesters, families, and</w:t>
      </w:r>
    </w:p>
    <w:p w14:paraId="524C7400" w14:textId="77777777" w:rsidR="00423846" w:rsidRDefault="5F884969" w:rsidP="00423846">
      <w:pPr>
        <w:pStyle w:val="ListParagraph"/>
        <w:ind w:left="1224" w:hanging="504"/>
      </w:pPr>
      <w:proofErr w:type="gramStart"/>
      <w:r w:rsidRPr="008D4489">
        <w:t>seniors</w:t>
      </w:r>
      <w:proofErr w:type="gramEnd"/>
      <w:r w:rsidRPr="008D4489">
        <w:t>. Proposed new mixed-use development will allow individual</w:t>
      </w:r>
      <w:r w:rsidR="00423846">
        <w:t>s and families to live close to</w:t>
      </w:r>
    </w:p>
    <w:p w14:paraId="69998D8A" w14:textId="77777777" w:rsidR="00423846" w:rsidRDefault="5F884969" w:rsidP="00423846">
      <w:pPr>
        <w:pStyle w:val="ListParagraph"/>
        <w:ind w:left="1224" w:hanging="504"/>
      </w:pPr>
      <w:proofErr w:type="gramStart"/>
      <w:r w:rsidRPr="008D4489">
        <w:t>where</w:t>
      </w:r>
      <w:proofErr w:type="gramEnd"/>
      <w:r w:rsidRPr="008D4489">
        <w:t xml:space="preserve"> there are employment opportunities. Developme</w:t>
      </w:r>
      <w:r w:rsidR="00423846">
        <w:t>nt was approved with changes</w:t>
      </w:r>
    </w:p>
    <w:p w14:paraId="715357E0" w14:textId="6D20BEF3" w:rsidR="5F884969" w:rsidRPr="008D4489" w:rsidRDefault="00423846" w:rsidP="00423846">
      <w:pPr>
        <w:pStyle w:val="ListParagraph"/>
        <w:ind w:left="1224" w:hanging="504"/>
      </w:pPr>
      <w:proofErr w:type="gramStart"/>
      <w:r>
        <w:t>to</w:t>
      </w:r>
      <w:proofErr w:type="gramEnd"/>
      <w:r>
        <w:t xml:space="preserve"> </w:t>
      </w:r>
      <w:r w:rsidR="5F884969" w:rsidRPr="008D4489">
        <w:t>density requirements.</w:t>
      </w:r>
    </w:p>
    <w:p w14:paraId="48DDA07E" w14:textId="09B6AD81" w:rsidR="5F884969" w:rsidRPr="008D4489" w:rsidRDefault="5F884969" w:rsidP="00423846">
      <w:pPr>
        <w:pStyle w:val="ListParagraph"/>
        <w:ind w:left="1056" w:hanging="504"/>
      </w:pPr>
    </w:p>
    <w:p w14:paraId="3EA1BE83" w14:textId="2CFE65D4" w:rsidR="004121A4" w:rsidRPr="008D4489" w:rsidRDefault="5F884969" w:rsidP="00423846">
      <w:pPr>
        <w:pStyle w:val="ListParagraph"/>
      </w:pPr>
      <w:r w:rsidRPr="008D4489">
        <w:t xml:space="preserve">The development of a Plan BTV/Bike Walk provides safe transportation opportunities for all; coupled with a Bike Recycle Program which provides free bicycles to low income persons, safe, </w:t>
      </w:r>
      <w:r w:rsidRPr="008D4489">
        <w:lastRenderedPageBreak/>
        <w:t xml:space="preserve">healthy and available transportation options help access opportunities for employment, schools and recreation. </w:t>
      </w:r>
    </w:p>
    <w:p w14:paraId="1B3788C3" w14:textId="77777777" w:rsidR="009A7C27" w:rsidRPr="009A7C27" w:rsidRDefault="009A7C27" w:rsidP="00602E99">
      <w:pPr>
        <w:pStyle w:val="ListParagraph"/>
        <w:ind w:left="1056"/>
        <w:rPr>
          <w:color w:val="FF0000"/>
        </w:rPr>
      </w:pPr>
    </w:p>
    <w:p w14:paraId="5E1677D6" w14:textId="6E7D6A1C" w:rsidR="004121A4" w:rsidRPr="002735D1" w:rsidRDefault="5F884969" w:rsidP="002735D1">
      <w:pPr>
        <w:ind w:firstLine="708"/>
        <w:outlineLvl w:val="0"/>
        <w:rPr>
          <w:b/>
          <w:bCs/>
          <w:u w:val="single"/>
        </w:rPr>
      </w:pPr>
      <w:r w:rsidRPr="002735D1">
        <w:rPr>
          <w:b/>
          <w:bCs/>
          <w:u w:val="single"/>
        </w:rPr>
        <w:t>Contributing Factors of Disparities in Access to Opportunity</w:t>
      </w:r>
    </w:p>
    <w:p w14:paraId="003C4E23" w14:textId="178488FC" w:rsidR="00F11448" w:rsidRPr="00602E99" w:rsidRDefault="5F884969" w:rsidP="002735D1">
      <w:pPr>
        <w:widowControl w:val="0"/>
        <w:autoSpaceDE w:val="0"/>
        <w:autoSpaceDN w:val="0"/>
        <w:adjustRightInd w:val="0"/>
        <w:ind w:left="708"/>
        <w:rPr>
          <w:rFonts w:ascii="Calibri" w:hAnsi="Calibri" w:cs="Calibri"/>
          <w:b/>
          <w:bCs/>
          <w:i/>
        </w:rPr>
      </w:pPr>
      <w:r w:rsidRPr="00602E99">
        <w:rPr>
          <w:rFonts w:ascii="Calibri" w:hAnsi="Calibri" w:cs="Calibri"/>
          <w:b/>
          <w:bCs/>
          <w:i/>
        </w:rPr>
        <w:t xml:space="preserve">Consider the listed factors and any other factors affecting the jurisdiction and region. Identify factors that significantly create, contribute to, perpetuate, or increase the severity of disparities in access to opportunity. </w:t>
      </w:r>
    </w:p>
    <w:p w14:paraId="7BC5BBF5" w14:textId="0C66CF7F" w:rsidR="001858DA" w:rsidRPr="00970F79" w:rsidRDefault="001858DA" w:rsidP="00602E99">
      <w:pPr>
        <w:pStyle w:val="ColorfulList-Accent11"/>
        <w:ind w:left="1596" w:right="576"/>
        <w:textAlignment w:val="baseline"/>
        <w:rPr>
          <w:rFonts w:asciiTheme="minorHAnsi" w:eastAsia="Times New Roman" w:hAnsiTheme="minorHAnsi"/>
          <w:b/>
          <w:bCs/>
          <w:color w:val="FF0000"/>
        </w:rPr>
      </w:pPr>
    </w:p>
    <w:p w14:paraId="6BC8A66E" w14:textId="77777777" w:rsidR="001858DA" w:rsidRDefault="5F884969" w:rsidP="00602E99">
      <w:pPr>
        <w:pStyle w:val="ColorfulList-Accent11"/>
        <w:ind w:right="576"/>
        <w:textAlignment w:val="baseline"/>
        <w:rPr>
          <w:rFonts w:asciiTheme="minorHAnsi" w:eastAsia="Times New Roman" w:hAnsiTheme="minorHAnsi"/>
          <w:b/>
          <w:bCs/>
        </w:rPr>
      </w:pPr>
      <w:r w:rsidRPr="00B91C64">
        <w:rPr>
          <w:rFonts w:asciiTheme="minorHAnsi" w:eastAsia="Times New Roman" w:hAnsiTheme="minorHAnsi"/>
          <w:b/>
          <w:bCs/>
        </w:rPr>
        <w:t>Availability, type, frequency, and reliability of public transportation</w:t>
      </w:r>
    </w:p>
    <w:p w14:paraId="5982A2F3" w14:textId="1C8C737C" w:rsidR="00B91C64" w:rsidRDefault="00B91C64" w:rsidP="00602E99">
      <w:pPr>
        <w:pStyle w:val="ColorfulList-Accent11"/>
        <w:ind w:right="576"/>
        <w:textAlignment w:val="baseline"/>
        <w:rPr>
          <w:rFonts w:asciiTheme="minorHAnsi" w:eastAsia="Times New Roman" w:hAnsiTheme="minorHAnsi"/>
          <w:bCs/>
        </w:rPr>
      </w:pPr>
      <w:r>
        <w:rPr>
          <w:rFonts w:asciiTheme="minorHAnsi" w:eastAsia="Times New Roman" w:hAnsiTheme="minorHAnsi"/>
          <w:bCs/>
        </w:rPr>
        <w:t>Public transportation, in Burlington and the Region consists of Green Mountain shared passenger bus transportation service available for use by the general public. Public transportation also includes paratransit services for persons with disabilities. Although there appears to be availability, frequency and reliable bus transportation within Burlington, Winooski and adjoining towns in Chittenden County, concerns arose on accessibility with residents who are working second and third shifts as well as connectivity and frequency between the downtown hub of Burlington and the other counties within the jurisdiction.</w:t>
      </w:r>
    </w:p>
    <w:p w14:paraId="53371EA8" w14:textId="77777777" w:rsidR="00B91C64" w:rsidRPr="00B91C64" w:rsidRDefault="00B91C64" w:rsidP="00B91C64">
      <w:pPr>
        <w:pStyle w:val="ColorfulList-Accent11"/>
        <w:ind w:right="576"/>
        <w:textAlignment w:val="baseline"/>
        <w:rPr>
          <w:rFonts w:asciiTheme="minorHAnsi" w:eastAsia="Times New Roman" w:hAnsiTheme="minorHAnsi"/>
          <w:bCs/>
        </w:rPr>
      </w:pPr>
    </w:p>
    <w:p w14:paraId="0BA5B0B1" w14:textId="77777777" w:rsidR="001858DA" w:rsidRDefault="5F884969" w:rsidP="00B91C64">
      <w:pPr>
        <w:pStyle w:val="ColorfulList-Accent11"/>
        <w:ind w:right="576"/>
        <w:textAlignment w:val="baseline"/>
        <w:rPr>
          <w:rFonts w:asciiTheme="minorHAnsi" w:eastAsia="Times New Roman" w:hAnsiTheme="minorHAnsi"/>
          <w:b/>
          <w:bCs/>
        </w:rPr>
      </w:pPr>
      <w:r w:rsidRPr="00B91C64">
        <w:rPr>
          <w:rFonts w:asciiTheme="minorHAnsi" w:eastAsia="Times New Roman" w:hAnsiTheme="minorHAnsi"/>
          <w:b/>
          <w:bCs/>
        </w:rPr>
        <w:t>Impediments to mobility</w:t>
      </w:r>
    </w:p>
    <w:p w14:paraId="2B5BD00C" w14:textId="78F0123F" w:rsidR="001858DA" w:rsidRPr="000A3630" w:rsidRDefault="000A3630" w:rsidP="000A3630">
      <w:pPr>
        <w:pStyle w:val="ColorfulList-Accent11"/>
        <w:ind w:right="576"/>
        <w:textAlignment w:val="baseline"/>
        <w:rPr>
          <w:rFonts w:asciiTheme="minorHAnsi" w:eastAsia="Times New Roman" w:hAnsiTheme="minorHAnsi"/>
          <w:bCs/>
        </w:rPr>
      </w:pPr>
      <w:r>
        <w:rPr>
          <w:rFonts w:asciiTheme="minorHAnsi" w:eastAsia="Times New Roman" w:hAnsiTheme="minorHAnsi"/>
          <w:bCs/>
        </w:rPr>
        <w:t>Impediments to mobility refers to barriers faced by individuals and families when attempting to move to a neighborhood or are of their choice. With the conversion of public housing units to RAD properties, residents now have the option of moving with their housing voucher to other properties or even perhaps moving out of the Burlington area. However, there appears to be a lack of units priced either in Burlington or the Region at Fair Market Rent level. Private landlords, to increase their returns on investment have opted to price units at market rate levels and due to perpetually low vacancy rates, are able to find renters in college students and higher wage earners</w:t>
      </w:r>
    </w:p>
    <w:p w14:paraId="7C491E85" w14:textId="63363C2C" w:rsidR="001858DA" w:rsidRDefault="001858DA" w:rsidP="000A3630">
      <w:pPr>
        <w:tabs>
          <w:tab w:val="left" w:pos="720"/>
        </w:tabs>
        <w:spacing w:after="0" w:line="240" w:lineRule="auto"/>
        <w:jc w:val="both"/>
        <w:textAlignment w:val="baseline"/>
        <w:rPr>
          <w:rFonts w:eastAsia="Times New Roman"/>
          <w:b/>
          <w:bCs/>
          <w:color w:val="FF0000"/>
          <w:spacing w:val="1"/>
        </w:rPr>
      </w:pPr>
    </w:p>
    <w:p w14:paraId="32AF4D56" w14:textId="6C6D7DE8" w:rsidR="000A3630" w:rsidRDefault="000A3630" w:rsidP="000A3630">
      <w:pPr>
        <w:tabs>
          <w:tab w:val="left" w:pos="720"/>
        </w:tabs>
        <w:spacing w:after="0" w:line="240" w:lineRule="auto"/>
        <w:jc w:val="both"/>
        <w:textAlignment w:val="baseline"/>
        <w:rPr>
          <w:rFonts w:eastAsia="Times New Roman"/>
          <w:b/>
          <w:bCs/>
          <w:spacing w:val="1"/>
        </w:rPr>
      </w:pPr>
      <w:r>
        <w:rPr>
          <w:rFonts w:eastAsia="Times New Roman"/>
          <w:b/>
          <w:bCs/>
          <w:color w:val="FF0000"/>
          <w:spacing w:val="1"/>
        </w:rPr>
        <w:t xml:space="preserve">             </w:t>
      </w:r>
      <w:r w:rsidRPr="000A3630">
        <w:rPr>
          <w:rFonts w:eastAsia="Times New Roman"/>
          <w:b/>
          <w:bCs/>
          <w:spacing w:val="1"/>
        </w:rPr>
        <w:t>Displacement of residents due to economic pressures</w:t>
      </w:r>
    </w:p>
    <w:p w14:paraId="6F8455A4" w14:textId="42D66618" w:rsidR="000A3630" w:rsidRDefault="000A3630" w:rsidP="000A3630">
      <w:pPr>
        <w:tabs>
          <w:tab w:val="left" w:pos="720"/>
        </w:tabs>
        <w:spacing w:after="0" w:line="240" w:lineRule="auto"/>
        <w:jc w:val="both"/>
        <w:textAlignment w:val="baseline"/>
        <w:rPr>
          <w:rFonts w:eastAsia="Times New Roman"/>
          <w:b/>
          <w:bCs/>
          <w:spacing w:val="1"/>
        </w:rPr>
      </w:pPr>
      <w:r>
        <w:rPr>
          <w:rFonts w:eastAsia="Times New Roman"/>
          <w:b/>
          <w:bCs/>
          <w:spacing w:val="1"/>
        </w:rPr>
        <w:tab/>
      </w:r>
    </w:p>
    <w:p w14:paraId="361787C0" w14:textId="1B4FEE50" w:rsidR="000A3630" w:rsidRPr="000A3630" w:rsidRDefault="00206C28" w:rsidP="00206C28">
      <w:pPr>
        <w:tabs>
          <w:tab w:val="left" w:pos="720"/>
        </w:tabs>
        <w:spacing w:after="0" w:line="240" w:lineRule="auto"/>
        <w:ind w:left="708"/>
        <w:jc w:val="both"/>
        <w:textAlignment w:val="baseline"/>
        <w:rPr>
          <w:rFonts w:eastAsia="Times New Roman"/>
          <w:bCs/>
        </w:rPr>
      </w:pPr>
      <w:r>
        <w:rPr>
          <w:rFonts w:eastAsia="Times New Roman"/>
          <w:bCs/>
          <w:spacing w:val="1"/>
        </w:rPr>
        <w:tab/>
      </w:r>
      <w:r w:rsidR="000A3630">
        <w:rPr>
          <w:rFonts w:eastAsia="Times New Roman"/>
          <w:bCs/>
          <w:spacing w:val="1"/>
        </w:rPr>
        <w:t>With local</w:t>
      </w:r>
      <w:r w:rsidR="00FE573A">
        <w:rPr>
          <w:rFonts w:eastAsia="Times New Roman"/>
          <w:bCs/>
          <w:spacing w:val="1"/>
        </w:rPr>
        <w:t xml:space="preserve"> private and public </w:t>
      </w:r>
      <w:r w:rsidR="000A3630">
        <w:rPr>
          <w:rFonts w:eastAsia="Times New Roman"/>
          <w:bCs/>
          <w:spacing w:val="1"/>
        </w:rPr>
        <w:t xml:space="preserve">investments into low-income </w:t>
      </w:r>
      <w:r w:rsidR="00FE573A">
        <w:rPr>
          <w:rFonts w:eastAsia="Times New Roman"/>
          <w:bCs/>
          <w:spacing w:val="1"/>
        </w:rPr>
        <w:t xml:space="preserve">census tracts some residents might be forced to relocate as previously low-income housing is renovated and then rented at market rate. Additionally, with renovated older properties, new public infrastructure, private landlords and the market itself may sustain higher rents, displacing current residents. </w:t>
      </w:r>
    </w:p>
    <w:p w14:paraId="0E11C49B" w14:textId="77777777" w:rsidR="00210EF0" w:rsidRPr="00970F79" w:rsidRDefault="00210EF0" w:rsidP="00210EF0">
      <w:pPr>
        <w:widowControl w:val="0"/>
        <w:autoSpaceDE w:val="0"/>
        <w:autoSpaceDN w:val="0"/>
        <w:adjustRightInd w:val="0"/>
        <w:rPr>
          <w:rFonts w:ascii="Calibri" w:hAnsi="Calibri" w:cs="Calibri"/>
          <w:color w:val="FF0000"/>
        </w:rPr>
      </w:pPr>
    </w:p>
    <w:p w14:paraId="080A42CA" w14:textId="2916DC31" w:rsidR="0024558A" w:rsidRDefault="5F884969" w:rsidP="5F884969">
      <w:pPr>
        <w:pStyle w:val="ListParagraph"/>
        <w:numPr>
          <w:ilvl w:val="1"/>
          <w:numId w:val="2"/>
        </w:numPr>
        <w:ind w:left="540" w:hanging="360"/>
        <w:rPr>
          <w:rFonts w:ascii="Garamond" w:hAnsi="Garamond"/>
          <w:b/>
          <w:bCs/>
          <w:sz w:val="24"/>
          <w:szCs w:val="24"/>
        </w:rPr>
      </w:pPr>
      <w:bookmarkStart w:id="40" w:name="DisproportionateHousingNeeds"/>
      <w:r w:rsidRPr="5F884969">
        <w:rPr>
          <w:rFonts w:ascii="Garamond" w:hAnsi="Garamond"/>
          <w:b/>
          <w:bCs/>
          <w:sz w:val="24"/>
          <w:szCs w:val="24"/>
        </w:rPr>
        <w:t>Disproportionate Housing Needs</w:t>
      </w:r>
    </w:p>
    <w:bookmarkEnd w:id="40"/>
    <w:p w14:paraId="7B53CE5F" w14:textId="77777777" w:rsidR="004121A4" w:rsidRPr="00684669" w:rsidRDefault="5F884969" w:rsidP="002F7C2E">
      <w:pPr>
        <w:ind w:left="540"/>
        <w:outlineLvl w:val="0"/>
        <w:rPr>
          <w:rFonts w:ascii="Calibri" w:hAnsi="Calibri"/>
          <w:b/>
          <w:bCs/>
          <w:u w:val="single"/>
        </w:rPr>
      </w:pPr>
      <w:r w:rsidRPr="5F884969">
        <w:rPr>
          <w:rFonts w:ascii="Calibri" w:hAnsi="Calibri"/>
          <w:b/>
          <w:bCs/>
          <w:u w:val="single"/>
        </w:rPr>
        <w:t>Key Findings</w:t>
      </w:r>
    </w:p>
    <w:p w14:paraId="139BFAE9" w14:textId="77777777" w:rsidR="00F11448" w:rsidRDefault="5F884969" w:rsidP="5F884969">
      <w:pPr>
        <w:pStyle w:val="ListParagraph"/>
        <w:numPr>
          <w:ilvl w:val="0"/>
          <w:numId w:val="10"/>
        </w:numPr>
        <w:spacing w:after="0" w:line="240" w:lineRule="auto"/>
        <w:ind w:left="900"/>
        <w:rPr>
          <w:rFonts w:ascii="Calibri" w:hAnsi="Calibri"/>
        </w:rPr>
      </w:pPr>
      <w:r w:rsidRPr="5F884969">
        <w:rPr>
          <w:rFonts w:ascii="Calibri" w:hAnsi="Calibri" w:cs="Calibri"/>
          <w:color w:val="000000" w:themeColor="text1"/>
        </w:rPr>
        <w:t>Within Burlington, Black households experience the highest rate of housing problems</w:t>
      </w:r>
      <w:r w:rsidRPr="5F884969">
        <w:rPr>
          <w:rFonts w:ascii="Calibri" w:hAnsi="Calibri"/>
        </w:rPr>
        <w:t xml:space="preserve"> while Native American households experience the highest rate of </w:t>
      </w:r>
      <w:r w:rsidRPr="5F884969">
        <w:rPr>
          <w:rFonts w:ascii="Calibri" w:hAnsi="Calibri"/>
          <w:i/>
          <w:iCs/>
        </w:rPr>
        <w:t>severe</w:t>
      </w:r>
      <w:r w:rsidRPr="5F884969">
        <w:rPr>
          <w:rFonts w:ascii="Calibri" w:hAnsi="Calibri"/>
        </w:rPr>
        <w:t xml:space="preserve"> housing problems.</w:t>
      </w:r>
    </w:p>
    <w:p w14:paraId="61F589D2" w14:textId="77777777" w:rsidR="00F11448" w:rsidRDefault="5F884969" w:rsidP="5F884969">
      <w:pPr>
        <w:pStyle w:val="ListParagraph"/>
        <w:numPr>
          <w:ilvl w:val="0"/>
          <w:numId w:val="10"/>
        </w:numPr>
        <w:spacing w:after="0" w:line="240" w:lineRule="auto"/>
        <w:ind w:left="900"/>
        <w:rPr>
          <w:rFonts w:ascii="Calibri" w:hAnsi="Calibri"/>
        </w:rPr>
      </w:pPr>
      <w:r w:rsidRPr="5F884969">
        <w:rPr>
          <w:rFonts w:ascii="Calibri" w:hAnsi="Calibri"/>
        </w:rPr>
        <w:t xml:space="preserve">Within the Burlington-South Burlington region, Asian or Pacific Islander households experience the highest rate of housing problems, both in general and </w:t>
      </w:r>
      <w:r w:rsidRPr="5F884969">
        <w:rPr>
          <w:rFonts w:ascii="Calibri" w:hAnsi="Calibri"/>
          <w:i/>
          <w:iCs/>
        </w:rPr>
        <w:t>severe.</w:t>
      </w:r>
    </w:p>
    <w:p w14:paraId="23B51A94" w14:textId="77777777" w:rsidR="00F11448" w:rsidRDefault="5F884969" w:rsidP="5F884969">
      <w:pPr>
        <w:pStyle w:val="ListParagraph"/>
        <w:numPr>
          <w:ilvl w:val="0"/>
          <w:numId w:val="10"/>
        </w:numPr>
        <w:spacing w:after="0" w:line="240" w:lineRule="auto"/>
        <w:ind w:left="900"/>
        <w:rPr>
          <w:rFonts w:ascii="Calibri" w:hAnsi="Calibri"/>
        </w:rPr>
      </w:pPr>
      <w:r w:rsidRPr="5F884969">
        <w:rPr>
          <w:rFonts w:ascii="Calibri" w:hAnsi="Calibri"/>
        </w:rPr>
        <w:t>Housing burden seems to be spatially correlated to areas with higher non-white population densities.</w:t>
      </w:r>
    </w:p>
    <w:p w14:paraId="61F7E955" w14:textId="77777777" w:rsidR="004121A4" w:rsidRDefault="004121A4" w:rsidP="004121A4">
      <w:pPr>
        <w:pStyle w:val="ListParagraph"/>
        <w:ind w:left="540"/>
      </w:pPr>
    </w:p>
    <w:p w14:paraId="7EBF556A" w14:textId="77777777" w:rsidR="004121A4" w:rsidRPr="00CB6619" w:rsidRDefault="5F884969" w:rsidP="002F7C2E">
      <w:pPr>
        <w:pStyle w:val="ListParagraph"/>
        <w:ind w:left="540"/>
        <w:outlineLvl w:val="0"/>
        <w:rPr>
          <w:b/>
          <w:bCs/>
          <w:u w:val="single"/>
        </w:rPr>
      </w:pPr>
      <w:r w:rsidRPr="5F884969">
        <w:rPr>
          <w:b/>
          <w:bCs/>
          <w:u w:val="single"/>
        </w:rPr>
        <w:t>Analysis</w:t>
      </w:r>
    </w:p>
    <w:p w14:paraId="43E1F67C" w14:textId="64763D77" w:rsidR="00F11448" w:rsidRPr="00602E99" w:rsidRDefault="5F884969" w:rsidP="5F884969">
      <w:pPr>
        <w:pStyle w:val="ListParagraph"/>
        <w:widowControl w:val="0"/>
        <w:autoSpaceDE w:val="0"/>
        <w:autoSpaceDN w:val="0"/>
        <w:adjustRightInd w:val="0"/>
        <w:spacing w:after="120" w:line="240" w:lineRule="auto"/>
        <w:ind w:left="540"/>
        <w:contextualSpacing w:val="0"/>
        <w:rPr>
          <w:rFonts w:ascii="Calibri" w:hAnsi="Calibri" w:cs="Calibri"/>
          <w:b/>
          <w:bCs/>
          <w:i/>
          <w:color w:val="000000" w:themeColor="text1"/>
        </w:rPr>
      </w:pPr>
      <w:r w:rsidRPr="00602E99">
        <w:rPr>
          <w:rFonts w:ascii="Calibri" w:hAnsi="Calibri" w:cs="Calibri"/>
          <w:b/>
          <w:bCs/>
          <w:i/>
          <w:color w:val="000000" w:themeColor="text1"/>
        </w:rPr>
        <w:t>Which protected class groups (by race/ethnicity and familial status) experience higher rates of housing problems (cost burden, overcrowding, or substandard housing) when compared to other groups for the jurisdiction and region?  Which groups also experience higher rates of severe housing cost burdens when compared to other groups?</w:t>
      </w:r>
    </w:p>
    <w:p w14:paraId="0DD733FE" w14:textId="168AA2F0" w:rsidR="00EB56F9" w:rsidRPr="004673D6" w:rsidRDefault="00210EF0" w:rsidP="004673D6">
      <w:pPr>
        <w:pStyle w:val="ListParagraph"/>
        <w:widowControl w:val="0"/>
        <w:autoSpaceDE w:val="0"/>
        <w:autoSpaceDN w:val="0"/>
        <w:adjustRightInd w:val="0"/>
        <w:ind w:left="540"/>
        <w:rPr>
          <w:rFonts w:ascii="Calibri" w:hAnsi="Calibri" w:cs="Calibri"/>
          <w:color w:val="000000" w:themeColor="text1"/>
        </w:rPr>
      </w:pPr>
      <w:r>
        <w:rPr>
          <w:rFonts w:ascii="Calibri" w:hAnsi="Calibri" w:cs="Calibri"/>
          <w:color w:val="000000" w:themeColor="text1"/>
        </w:rPr>
        <w:t>Table 16</w:t>
      </w:r>
      <w:r w:rsidR="5F884969" w:rsidRPr="5F884969">
        <w:rPr>
          <w:rFonts w:ascii="Calibri" w:hAnsi="Calibri" w:cs="Calibri"/>
          <w:color w:val="000000" w:themeColor="text1"/>
        </w:rPr>
        <w:t xml:space="preserve"> shows the demographics of households with disproportionate housing needs, both within Burlington and throughout the Burlington-South Burlington region. This table shows the number of households within different subpopulations that experience any of the 4 housing problems identified by HUD. These problems include:</w:t>
      </w:r>
    </w:p>
    <w:p w14:paraId="13F24B17" w14:textId="7DE421BD" w:rsidR="00EB56F9" w:rsidRPr="005A300E" w:rsidRDefault="5F884969" w:rsidP="5F884969">
      <w:pPr>
        <w:pStyle w:val="BodyText"/>
        <w:numPr>
          <w:ilvl w:val="0"/>
          <w:numId w:val="11"/>
        </w:numPr>
        <w:spacing w:after="60" w:line="240" w:lineRule="auto"/>
        <w:ind w:left="1170"/>
        <w:rPr>
          <w:rFonts w:ascii="Calibri" w:hAnsi="Calibri"/>
          <w:sz w:val="24"/>
          <w:szCs w:val="24"/>
        </w:rPr>
      </w:pPr>
      <w:r w:rsidRPr="5F884969">
        <w:rPr>
          <w:rFonts w:ascii="Calibri" w:hAnsi="Calibri"/>
          <w:sz w:val="24"/>
          <w:szCs w:val="24"/>
        </w:rPr>
        <w:t>Lacks complete kitchen facilities</w:t>
      </w:r>
    </w:p>
    <w:p w14:paraId="513768D7" w14:textId="77777777" w:rsidR="00EB56F9" w:rsidRPr="005A300E" w:rsidRDefault="5F884969" w:rsidP="5F884969">
      <w:pPr>
        <w:pStyle w:val="BodyText"/>
        <w:numPr>
          <w:ilvl w:val="0"/>
          <w:numId w:val="11"/>
        </w:numPr>
        <w:spacing w:after="60" w:line="240" w:lineRule="auto"/>
        <w:ind w:left="1170"/>
        <w:rPr>
          <w:rFonts w:ascii="Calibri" w:hAnsi="Calibri"/>
          <w:sz w:val="24"/>
          <w:szCs w:val="24"/>
        </w:rPr>
      </w:pPr>
      <w:r w:rsidRPr="5F884969">
        <w:rPr>
          <w:rFonts w:ascii="Calibri" w:hAnsi="Calibri"/>
          <w:sz w:val="24"/>
          <w:szCs w:val="24"/>
        </w:rPr>
        <w:t>Lacks complete plumbing facilities</w:t>
      </w:r>
    </w:p>
    <w:p w14:paraId="55BDDA21" w14:textId="77777777" w:rsidR="00EB56F9" w:rsidRPr="005A300E" w:rsidRDefault="5F884969" w:rsidP="5F884969">
      <w:pPr>
        <w:pStyle w:val="BodyText"/>
        <w:numPr>
          <w:ilvl w:val="0"/>
          <w:numId w:val="11"/>
        </w:numPr>
        <w:spacing w:after="60" w:line="240" w:lineRule="auto"/>
        <w:ind w:left="1170"/>
        <w:rPr>
          <w:rFonts w:ascii="Calibri" w:hAnsi="Calibri"/>
          <w:sz w:val="24"/>
          <w:szCs w:val="24"/>
        </w:rPr>
      </w:pPr>
      <w:r w:rsidRPr="5F884969">
        <w:rPr>
          <w:rFonts w:ascii="Calibri" w:hAnsi="Calibri"/>
          <w:sz w:val="24"/>
          <w:szCs w:val="24"/>
        </w:rPr>
        <w:t>More than one person per room</w:t>
      </w:r>
    </w:p>
    <w:p w14:paraId="6F661A39" w14:textId="77777777" w:rsidR="00EB56F9" w:rsidRDefault="5F884969" w:rsidP="5F884969">
      <w:pPr>
        <w:pStyle w:val="BodyText"/>
        <w:numPr>
          <w:ilvl w:val="0"/>
          <w:numId w:val="11"/>
        </w:numPr>
        <w:spacing w:after="180" w:line="240" w:lineRule="auto"/>
        <w:ind w:left="1170"/>
        <w:rPr>
          <w:rFonts w:ascii="Calibri" w:hAnsi="Calibri"/>
          <w:sz w:val="24"/>
          <w:szCs w:val="24"/>
        </w:rPr>
      </w:pPr>
      <w:r w:rsidRPr="5F884969">
        <w:rPr>
          <w:rFonts w:ascii="Calibri" w:hAnsi="Calibri"/>
          <w:sz w:val="24"/>
          <w:szCs w:val="24"/>
        </w:rPr>
        <w:t>Cost Burden - monthly housing costs (including utilities) exceed 30% of monthly income</w:t>
      </w:r>
    </w:p>
    <w:p w14:paraId="3B08EEAC" w14:textId="30242341" w:rsidR="00EB56F9" w:rsidRDefault="5F884969" w:rsidP="5F884969">
      <w:pPr>
        <w:pStyle w:val="BodyText"/>
        <w:spacing w:line="240" w:lineRule="auto"/>
        <w:ind w:left="540"/>
        <w:rPr>
          <w:rFonts w:ascii="Calibri" w:hAnsi="Calibri"/>
          <w:sz w:val="24"/>
          <w:szCs w:val="24"/>
        </w:rPr>
      </w:pPr>
      <w:r w:rsidRPr="5F884969">
        <w:rPr>
          <w:rFonts w:ascii="Calibri" w:hAnsi="Calibri"/>
          <w:sz w:val="24"/>
          <w:szCs w:val="24"/>
        </w:rPr>
        <w:t xml:space="preserve">The bottom half </w:t>
      </w:r>
      <w:r w:rsidR="005B73AF">
        <w:rPr>
          <w:rFonts w:ascii="Calibri" w:hAnsi="Calibri"/>
          <w:sz w:val="24"/>
          <w:szCs w:val="24"/>
        </w:rPr>
        <w:t>of table 16</w:t>
      </w:r>
      <w:r w:rsidR="009A7C27">
        <w:rPr>
          <w:rFonts w:ascii="Calibri" w:hAnsi="Calibri"/>
          <w:sz w:val="24"/>
          <w:szCs w:val="24"/>
        </w:rPr>
        <w:t xml:space="preserve"> </w:t>
      </w:r>
      <w:r w:rsidRPr="5F884969">
        <w:rPr>
          <w:rFonts w:ascii="Calibri" w:hAnsi="Calibri"/>
          <w:sz w:val="24"/>
          <w:szCs w:val="24"/>
        </w:rPr>
        <w:t>shows the number of households experiencing “severe” housing problems, which includes the following housing problems:</w:t>
      </w:r>
    </w:p>
    <w:p w14:paraId="60B920F6" w14:textId="77777777" w:rsidR="00EB56F9" w:rsidRPr="005A300E" w:rsidRDefault="5F884969" w:rsidP="5F884969">
      <w:pPr>
        <w:pStyle w:val="BodyText"/>
        <w:numPr>
          <w:ilvl w:val="0"/>
          <w:numId w:val="12"/>
        </w:numPr>
        <w:spacing w:after="60" w:line="240" w:lineRule="auto"/>
        <w:ind w:left="1170"/>
        <w:rPr>
          <w:rFonts w:ascii="Calibri" w:hAnsi="Calibri"/>
          <w:sz w:val="24"/>
          <w:szCs w:val="24"/>
        </w:rPr>
      </w:pPr>
      <w:r w:rsidRPr="5F884969">
        <w:rPr>
          <w:rFonts w:ascii="Calibri" w:hAnsi="Calibri"/>
          <w:sz w:val="24"/>
          <w:szCs w:val="24"/>
        </w:rPr>
        <w:t>Lacks complete kitchen facilities</w:t>
      </w:r>
    </w:p>
    <w:p w14:paraId="39326D76" w14:textId="77777777" w:rsidR="00EB56F9" w:rsidRPr="005A300E" w:rsidRDefault="5F884969" w:rsidP="5F884969">
      <w:pPr>
        <w:pStyle w:val="BodyText"/>
        <w:numPr>
          <w:ilvl w:val="0"/>
          <w:numId w:val="12"/>
        </w:numPr>
        <w:spacing w:after="60" w:line="240" w:lineRule="auto"/>
        <w:ind w:left="1170"/>
        <w:rPr>
          <w:rFonts w:ascii="Calibri" w:hAnsi="Calibri"/>
          <w:sz w:val="24"/>
          <w:szCs w:val="24"/>
        </w:rPr>
      </w:pPr>
      <w:r w:rsidRPr="5F884969">
        <w:rPr>
          <w:rFonts w:ascii="Calibri" w:hAnsi="Calibri"/>
          <w:sz w:val="24"/>
          <w:szCs w:val="24"/>
        </w:rPr>
        <w:t>Lacks complete plumbing facilities</w:t>
      </w:r>
    </w:p>
    <w:p w14:paraId="5E9E1784" w14:textId="77777777" w:rsidR="00EB56F9" w:rsidRPr="005A300E" w:rsidRDefault="5F884969" w:rsidP="5F884969">
      <w:pPr>
        <w:pStyle w:val="BodyText"/>
        <w:numPr>
          <w:ilvl w:val="0"/>
          <w:numId w:val="12"/>
        </w:numPr>
        <w:spacing w:after="60" w:line="240" w:lineRule="auto"/>
        <w:ind w:left="1170"/>
        <w:rPr>
          <w:rFonts w:ascii="Calibri" w:hAnsi="Calibri"/>
          <w:sz w:val="24"/>
          <w:szCs w:val="24"/>
        </w:rPr>
      </w:pPr>
      <w:r w:rsidRPr="5F884969">
        <w:rPr>
          <w:rFonts w:ascii="Calibri" w:hAnsi="Calibri"/>
          <w:sz w:val="24"/>
          <w:szCs w:val="24"/>
        </w:rPr>
        <w:t>More than one person per room</w:t>
      </w:r>
    </w:p>
    <w:p w14:paraId="71F90003" w14:textId="77777777" w:rsidR="00EB56F9" w:rsidRPr="005A300E" w:rsidRDefault="5F884969" w:rsidP="5F884969">
      <w:pPr>
        <w:pStyle w:val="BodyText"/>
        <w:numPr>
          <w:ilvl w:val="0"/>
          <w:numId w:val="12"/>
        </w:numPr>
        <w:spacing w:after="180" w:line="240" w:lineRule="auto"/>
        <w:ind w:left="1170"/>
        <w:rPr>
          <w:rFonts w:ascii="Calibri" w:hAnsi="Calibri"/>
          <w:sz w:val="24"/>
          <w:szCs w:val="24"/>
        </w:rPr>
      </w:pPr>
      <w:r w:rsidRPr="5F884969">
        <w:rPr>
          <w:rFonts w:ascii="Calibri" w:hAnsi="Calibri"/>
          <w:sz w:val="24"/>
          <w:szCs w:val="24"/>
        </w:rPr>
        <w:t>Severe Cost Burden - monthly housing costs (including utilities) exceed 50% of monthly income</w:t>
      </w:r>
    </w:p>
    <w:p w14:paraId="788263DB" w14:textId="77777777" w:rsidR="00EB56F9" w:rsidRDefault="5F884969" w:rsidP="5F884969">
      <w:pPr>
        <w:pStyle w:val="BodyText"/>
        <w:spacing w:line="240" w:lineRule="auto"/>
        <w:ind w:left="540"/>
        <w:rPr>
          <w:rFonts w:ascii="Calibri" w:hAnsi="Calibri"/>
          <w:sz w:val="24"/>
          <w:szCs w:val="24"/>
        </w:rPr>
      </w:pPr>
      <w:r w:rsidRPr="5F884969">
        <w:rPr>
          <w:rFonts w:ascii="Calibri" w:hAnsi="Calibri"/>
          <w:sz w:val="24"/>
          <w:szCs w:val="24"/>
        </w:rPr>
        <w:t>You will notice that the first three problems are the same, with the major difference between the standard housing problems and “severe” housing problems being the definition of cost burden.</w:t>
      </w:r>
    </w:p>
    <w:p w14:paraId="3D3DB0A2" w14:textId="59889038" w:rsidR="00EB56F9" w:rsidRDefault="5F884969" w:rsidP="5F884969">
      <w:pPr>
        <w:pStyle w:val="BodyText"/>
        <w:spacing w:after="0" w:line="240" w:lineRule="auto"/>
        <w:ind w:left="540"/>
        <w:rPr>
          <w:rFonts w:ascii="Calibri" w:hAnsi="Calibri"/>
          <w:sz w:val="24"/>
          <w:szCs w:val="24"/>
        </w:rPr>
      </w:pPr>
      <w:r w:rsidRPr="5F884969">
        <w:rPr>
          <w:rFonts w:ascii="Calibri" w:hAnsi="Calibri"/>
          <w:sz w:val="24"/>
          <w:szCs w:val="24"/>
        </w:rPr>
        <w:t>Information on housing problems is drawn from CHAS, which demonstrate the extent of housing problems and housing needs, particularly for low-income households. The CHAS data are produced via custom tabulations of ACS data by the U.S. Census Bureau.</w:t>
      </w:r>
    </w:p>
    <w:p w14:paraId="35B2B3FE" w14:textId="77777777" w:rsidR="00602E99" w:rsidRDefault="00602E99" w:rsidP="5F884969">
      <w:pPr>
        <w:pStyle w:val="BodyText"/>
        <w:spacing w:after="0" w:line="240" w:lineRule="auto"/>
        <w:ind w:left="540"/>
        <w:rPr>
          <w:rFonts w:ascii="Calibri" w:hAnsi="Calibri"/>
          <w:sz w:val="24"/>
          <w:szCs w:val="24"/>
        </w:rPr>
      </w:pPr>
    </w:p>
    <w:p w14:paraId="23AFECC5" w14:textId="77777777" w:rsidR="00602E99" w:rsidRDefault="00602E99" w:rsidP="5F884969">
      <w:pPr>
        <w:pStyle w:val="BodyText"/>
        <w:spacing w:after="0" w:line="240" w:lineRule="auto"/>
        <w:ind w:left="540"/>
        <w:rPr>
          <w:rFonts w:ascii="Calibri" w:hAnsi="Calibri"/>
          <w:sz w:val="24"/>
          <w:szCs w:val="24"/>
        </w:rPr>
      </w:pPr>
    </w:p>
    <w:p w14:paraId="2F1AFEB6" w14:textId="77777777" w:rsidR="00602E99" w:rsidRDefault="00602E99" w:rsidP="5F884969">
      <w:pPr>
        <w:pStyle w:val="BodyText"/>
        <w:spacing w:after="0" w:line="240" w:lineRule="auto"/>
        <w:ind w:left="540"/>
        <w:rPr>
          <w:rFonts w:ascii="Calibri" w:hAnsi="Calibri"/>
          <w:sz w:val="24"/>
          <w:szCs w:val="24"/>
        </w:rPr>
      </w:pPr>
    </w:p>
    <w:p w14:paraId="39AA47FC" w14:textId="77777777" w:rsidR="00602E99" w:rsidRDefault="00602E99" w:rsidP="5F884969">
      <w:pPr>
        <w:pStyle w:val="BodyText"/>
        <w:spacing w:after="0" w:line="240" w:lineRule="auto"/>
        <w:ind w:left="540"/>
        <w:rPr>
          <w:rFonts w:ascii="Calibri" w:hAnsi="Calibri"/>
          <w:sz w:val="24"/>
          <w:szCs w:val="24"/>
        </w:rPr>
      </w:pPr>
    </w:p>
    <w:p w14:paraId="16FD933B" w14:textId="77777777" w:rsidR="0071716E" w:rsidRDefault="0071716E" w:rsidP="5F884969">
      <w:pPr>
        <w:pStyle w:val="BodyText"/>
        <w:spacing w:after="0" w:line="240" w:lineRule="auto"/>
        <w:ind w:left="540"/>
        <w:rPr>
          <w:rFonts w:ascii="Calibri" w:hAnsi="Calibri"/>
          <w:sz w:val="24"/>
          <w:szCs w:val="24"/>
        </w:rPr>
      </w:pPr>
    </w:p>
    <w:p w14:paraId="1905EC4B" w14:textId="77777777" w:rsidR="0071716E" w:rsidRDefault="0071716E" w:rsidP="5F884969">
      <w:pPr>
        <w:pStyle w:val="BodyText"/>
        <w:spacing w:after="0" w:line="240" w:lineRule="auto"/>
        <w:ind w:left="540"/>
        <w:rPr>
          <w:rFonts w:ascii="Calibri" w:hAnsi="Calibri"/>
          <w:sz w:val="24"/>
          <w:szCs w:val="24"/>
        </w:rPr>
      </w:pPr>
    </w:p>
    <w:p w14:paraId="1346B305" w14:textId="77777777" w:rsidR="0071716E" w:rsidRDefault="0071716E" w:rsidP="5F884969">
      <w:pPr>
        <w:pStyle w:val="BodyText"/>
        <w:spacing w:after="0" w:line="240" w:lineRule="auto"/>
        <w:ind w:left="540"/>
        <w:rPr>
          <w:rFonts w:ascii="Calibri" w:hAnsi="Calibri"/>
          <w:sz w:val="24"/>
          <w:szCs w:val="24"/>
        </w:rPr>
      </w:pPr>
    </w:p>
    <w:p w14:paraId="1A4E7C05" w14:textId="77777777" w:rsidR="0071716E" w:rsidRDefault="0071716E" w:rsidP="5F884969">
      <w:pPr>
        <w:pStyle w:val="BodyText"/>
        <w:spacing w:after="0" w:line="240" w:lineRule="auto"/>
        <w:ind w:left="540"/>
        <w:rPr>
          <w:rFonts w:ascii="Calibri" w:hAnsi="Calibri"/>
          <w:sz w:val="24"/>
          <w:szCs w:val="24"/>
        </w:rPr>
      </w:pPr>
    </w:p>
    <w:p w14:paraId="4FF87DF1" w14:textId="77777777" w:rsidR="0071716E" w:rsidRDefault="0071716E" w:rsidP="5F884969">
      <w:pPr>
        <w:pStyle w:val="BodyText"/>
        <w:spacing w:after="0" w:line="240" w:lineRule="auto"/>
        <w:ind w:left="540"/>
        <w:rPr>
          <w:rFonts w:ascii="Calibri" w:hAnsi="Calibri"/>
          <w:sz w:val="24"/>
          <w:szCs w:val="24"/>
        </w:rPr>
      </w:pPr>
    </w:p>
    <w:p w14:paraId="54986D68" w14:textId="77777777" w:rsidR="00602E99" w:rsidRDefault="00602E99" w:rsidP="5F884969">
      <w:pPr>
        <w:pStyle w:val="BodyText"/>
        <w:spacing w:after="0" w:line="240" w:lineRule="auto"/>
        <w:ind w:left="540"/>
        <w:rPr>
          <w:rFonts w:ascii="Calibri" w:hAnsi="Calibri"/>
          <w:sz w:val="24"/>
          <w:szCs w:val="24"/>
        </w:rPr>
      </w:pPr>
    </w:p>
    <w:p w14:paraId="4A296FA7" w14:textId="77777777" w:rsidR="00D96284" w:rsidRDefault="00D96284" w:rsidP="00D96284">
      <w:pPr>
        <w:spacing w:after="0"/>
        <w:rPr>
          <w:rFonts w:ascii="Calibri" w:hAnsi="Calibri"/>
          <w:b/>
          <w:i/>
          <w:sz w:val="20"/>
          <w:szCs w:val="20"/>
        </w:rPr>
      </w:pPr>
    </w:p>
    <w:p w14:paraId="205A79DE" w14:textId="224C1F5C" w:rsidR="00D96284" w:rsidRPr="00D96284" w:rsidRDefault="00210EF0" w:rsidP="5F884969">
      <w:pPr>
        <w:spacing w:after="0"/>
        <w:rPr>
          <w:rFonts w:ascii="Calibri" w:hAnsi="Calibri"/>
          <w:sz w:val="20"/>
          <w:szCs w:val="20"/>
        </w:rPr>
      </w:pPr>
      <w:r>
        <w:rPr>
          <w:rFonts w:ascii="Calibri" w:hAnsi="Calibri"/>
          <w:b/>
          <w:bCs/>
          <w:i/>
          <w:iCs/>
          <w:sz w:val="20"/>
          <w:szCs w:val="20"/>
        </w:rPr>
        <w:lastRenderedPageBreak/>
        <w:t>Table 16</w:t>
      </w:r>
      <w:r w:rsidR="5F884969" w:rsidRPr="5F884969">
        <w:rPr>
          <w:rFonts w:ascii="Calibri" w:hAnsi="Calibri"/>
          <w:b/>
          <w:bCs/>
          <w:i/>
          <w:iCs/>
          <w:sz w:val="20"/>
          <w:szCs w:val="20"/>
        </w:rPr>
        <w:t>:</w:t>
      </w:r>
      <w:r w:rsidR="5F884969" w:rsidRPr="5F884969">
        <w:rPr>
          <w:rFonts w:ascii="Calibri" w:hAnsi="Calibri"/>
          <w:sz w:val="20"/>
          <w:szCs w:val="20"/>
        </w:rPr>
        <w:t xml:space="preserve"> Demographics of people with disproportionate housing needs in Burlington and Burlington-South Burlington Region. Source: </w:t>
      </w:r>
      <w:r w:rsidR="5F884969" w:rsidRPr="5F884969">
        <w:rPr>
          <w:rFonts w:ascii="Calibri" w:eastAsia="Times New Roman" w:hAnsi="Calibri"/>
          <w:color w:val="000000" w:themeColor="text1"/>
          <w:sz w:val="20"/>
          <w:szCs w:val="20"/>
        </w:rPr>
        <w:t>Comprehensive Housing Affordability Strategy (</w:t>
      </w:r>
      <w:r w:rsidR="5F884969" w:rsidRPr="5F884969">
        <w:rPr>
          <w:rFonts w:ascii="Calibri" w:hAnsi="Calibri"/>
          <w:sz w:val="20"/>
          <w:szCs w:val="20"/>
        </w:rPr>
        <w:t xml:space="preserve">CHAS). </w:t>
      </w:r>
    </w:p>
    <w:tbl>
      <w:tblPr>
        <w:tblW w:w="10363" w:type="dxa"/>
        <w:jc w:val="center"/>
        <w:tblLook w:val="04A0" w:firstRow="1" w:lastRow="0" w:firstColumn="1" w:lastColumn="0" w:noHBand="0" w:noVBand="1"/>
      </w:tblPr>
      <w:tblGrid>
        <w:gridCol w:w="2792"/>
        <w:gridCol w:w="1159"/>
        <w:gridCol w:w="1361"/>
        <w:gridCol w:w="1170"/>
        <w:gridCol w:w="1260"/>
        <w:gridCol w:w="1266"/>
        <w:gridCol w:w="1355"/>
      </w:tblGrid>
      <w:tr w:rsidR="00D96284" w:rsidRPr="000B0777" w14:paraId="046A5FC3" w14:textId="77777777" w:rsidTr="5F884969">
        <w:trPr>
          <w:trHeight w:val="368"/>
          <w:jc w:val="center"/>
        </w:trPr>
        <w:tc>
          <w:tcPr>
            <w:tcW w:w="1036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7EB4A" w14:textId="25DD5535" w:rsidR="00D96284" w:rsidRPr="000F5279" w:rsidRDefault="00210EF0" w:rsidP="5F884969">
            <w:pPr>
              <w:spacing w:after="0"/>
              <w:rPr>
                <w:rFonts w:ascii="Calibri" w:eastAsia="Times New Roman" w:hAnsi="Calibri"/>
                <w:b/>
                <w:bCs/>
                <w:color w:val="000000" w:themeColor="text1"/>
              </w:rPr>
            </w:pPr>
            <w:r>
              <w:rPr>
                <w:rFonts w:ascii="Calibri" w:eastAsia="Times New Roman" w:hAnsi="Calibri"/>
                <w:b/>
                <w:bCs/>
                <w:color w:val="000000" w:themeColor="text1"/>
              </w:rPr>
              <w:t>Table 16</w:t>
            </w:r>
            <w:r w:rsidR="5F884969" w:rsidRPr="5F884969">
              <w:rPr>
                <w:rFonts w:ascii="Calibri" w:eastAsia="Times New Roman" w:hAnsi="Calibri"/>
                <w:b/>
                <w:bCs/>
                <w:color w:val="000000" w:themeColor="text1"/>
              </w:rPr>
              <w:t>: Demographics of Households with Disproportionate Housing Needs</w:t>
            </w:r>
          </w:p>
        </w:tc>
      </w:tr>
      <w:tr w:rsidR="00D96284" w:rsidRPr="000B0777" w14:paraId="3749BC92" w14:textId="77777777" w:rsidTr="5F884969">
        <w:trPr>
          <w:trHeight w:val="476"/>
          <w:jc w:val="center"/>
        </w:trPr>
        <w:tc>
          <w:tcPr>
            <w:tcW w:w="2792" w:type="dxa"/>
            <w:tcBorders>
              <w:top w:val="nil"/>
              <w:left w:val="single" w:sz="4" w:space="0" w:color="auto"/>
              <w:bottom w:val="single" w:sz="4" w:space="0" w:color="auto"/>
              <w:right w:val="single" w:sz="4" w:space="0" w:color="auto"/>
            </w:tcBorders>
            <w:shd w:val="clear" w:color="auto" w:fill="B8CCE4"/>
            <w:vAlign w:val="bottom"/>
            <w:hideMark/>
          </w:tcPr>
          <w:p w14:paraId="7FE86233"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Disproportionate Housing Needs</w:t>
            </w:r>
          </w:p>
        </w:tc>
        <w:tc>
          <w:tcPr>
            <w:tcW w:w="3690" w:type="dxa"/>
            <w:gridSpan w:val="3"/>
            <w:tcBorders>
              <w:top w:val="single" w:sz="4" w:space="0" w:color="auto"/>
              <w:left w:val="nil"/>
              <w:bottom w:val="single" w:sz="4" w:space="0" w:color="auto"/>
              <w:right w:val="single" w:sz="4" w:space="0" w:color="auto"/>
            </w:tcBorders>
            <w:shd w:val="clear" w:color="auto" w:fill="B8CCE4"/>
            <w:vAlign w:val="bottom"/>
            <w:hideMark/>
          </w:tcPr>
          <w:p w14:paraId="110C3EBC"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Burlington</w:t>
            </w:r>
          </w:p>
        </w:tc>
        <w:tc>
          <w:tcPr>
            <w:tcW w:w="3881" w:type="dxa"/>
            <w:gridSpan w:val="3"/>
            <w:tcBorders>
              <w:top w:val="single" w:sz="4" w:space="0" w:color="auto"/>
              <w:left w:val="nil"/>
              <w:bottom w:val="single" w:sz="4" w:space="0" w:color="auto"/>
              <w:right w:val="single" w:sz="4" w:space="0" w:color="auto"/>
            </w:tcBorders>
            <w:shd w:val="clear" w:color="auto" w:fill="B8CCE4"/>
            <w:vAlign w:val="bottom"/>
            <w:hideMark/>
          </w:tcPr>
          <w:p w14:paraId="1DCF5DAF"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Burlington-South Burlington Region</w:t>
            </w:r>
          </w:p>
        </w:tc>
      </w:tr>
      <w:tr w:rsidR="00D96284" w:rsidRPr="000B0777" w14:paraId="0A185304" w14:textId="77777777" w:rsidTr="5F884969">
        <w:trPr>
          <w:trHeight w:val="810"/>
          <w:jc w:val="center"/>
        </w:trPr>
        <w:tc>
          <w:tcPr>
            <w:tcW w:w="2792" w:type="dxa"/>
            <w:tcBorders>
              <w:top w:val="nil"/>
              <w:left w:val="single" w:sz="4" w:space="0" w:color="auto"/>
              <w:bottom w:val="single" w:sz="4" w:space="0" w:color="auto"/>
              <w:right w:val="single" w:sz="4" w:space="0" w:color="auto"/>
            </w:tcBorders>
            <w:shd w:val="clear" w:color="auto" w:fill="DCE6F1"/>
            <w:vAlign w:val="bottom"/>
            <w:hideMark/>
          </w:tcPr>
          <w:p w14:paraId="22D3F725"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Households experiencing any of 4 housing problems</w:t>
            </w:r>
          </w:p>
        </w:tc>
        <w:tc>
          <w:tcPr>
            <w:tcW w:w="1159" w:type="dxa"/>
            <w:tcBorders>
              <w:top w:val="nil"/>
              <w:left w:val="nil"/>
              <w:bottom w:val="single" w:sz="4" w:space="0" w:color="auto"/>
              <w:right w:val="single" w:sz="4" w:space="0" w:color="auto"/>
            </w:tcBorders>
            <w:shd w:val="clear" w:color="auto" w:fill="DCE6F1"/>
            <w:noWrap/>
            <w:vAlign w:val="bottom"/>
            <w:hideMark/>
          </w:tcPr>
          <w:p w14:paraId="38BD1292"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problems</w:t>
            </w:r>
          </w:p>
        </w:tc>
        <w:tc>
          <w:tcPr>
            <w:tcW w:w="1361" w:type="dxa"/>
            <w:tcBorders>
              <w:top w:val="nil"/>
              <w:left w:val="nil"/>
              <w:bottom w:val="single" w:sz="4" w:space="0" w:color="auto"/>
              <w:right w:val="single" w:sz="4" w:space="0" w:color="auto"/>
            </w:tcBorders>
            <w:shd w:val="clear" w:color="auto" w:fill="DCE6F1"/>
            <w:noWrap/>
            <w:vAlign w:val="bottom"/>
            <w:hideMark/>
          </w:tcPr>
          <w:p w14:paraId="487E337F"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households</w:t>
            </w:r>
          </w:p>
        </w:tc>
        <w:tc>
          <w:tcPr>
            <w:tcW w:w="1170" w:type="dxa"/>
            <w:tcBorders>
              <w:top w:val="nil"/>
              <w:left w:val="nil"/>
              <w:bottom w:val="single" w:sz="4" w:space="0" w:color="auto"/>
              <w:right w:val="single" w:sz="4" w:space="0" w:color="auto"/>
            </w:tcBorders>
            <w:shd w:val="clear" w:color="auto" w:fill="DCE6F1"/>
            <w:noWrap/>
            <w:vAlign w:val="bottom"/>
            <w:hideMark/>
          </w:tcPr>
          <w:p w14:paraId="2C8A5B6A"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problems</w:t>
            </w:r>
          </w:p>
        </w:tc>
        <w:tc>
          <w:tcPr>
            <w:tcW w:w="1260" w:type="dxa"/>
            <w:tcBorders>
              <w:top w:val="nil"/>
              <w:left w:val="nil"/>
              <w:bottom w:val="single" w:sz="4" w:space="0" w:color="auto"/>
              <w:right w:val="single" w:sz="4" w:space="0" w:color="auto"/>
            </w:tcBorders>
            <w:shd w:val="clear" w:color="auto" w:fill="DCE6F1"/>
            <w:noWrap/>
            <w:vAlign w:val="bottom"/>
            <w:hideMark/>
          </w:tcPr>
          <w:p w14:paraId="52E1C7E6"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problems</w:t>
            </w:r>
          </w:p>
        </w:tc>
        <w:tc>
          <w:tcPr>
            <w:tcW w:w="1266" w:type="dxa"/>
            <w:tcBorders>
              <w:top w:val="nil"/>
              <w:left w:val="nil"/>
              <w:bottom w:val="single" w:sz="4" w:space="0" w:color="auto"/>
              <w:right w:val="single" w:sz="4" w:space="0" w:color="auto"/>
            </w:tcBorders>
            <w:shd w:val="clear" w:color="auto" w:fill="DCE6F1"/>
            <w:noWrap/>
            <w:vAlign w:val="bottom"/>
            <w:hideMark/>
          </w:tcPr>
          <w:p w14:paraId="3ABEACF4"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households</w:t>
            </w:r>
          </w:p>
        </w:tc>
        <w:tc>
          <w:tcPr>
            <w:tcW w:w="1355" w:type="dxa"/>
            <w:tcBorders>
              <w:top w:val="nil"/>
              <w:left w:val="nil"/>
              <w:bottom w:val="single" w:sz="4" w:space="0" w:color="auto"/>
              <w:right w:val="single" w:sz="4" w:space="0" w:color="auto"/>
            </w:tcBorders>
            <w:shd w:val="clear" w:color="auto" w:fill="DCE6F1"/>
            <w:noWrap/>
            <w:vAlign w:val="bottom"/>
            <w:hideMark/>
          </w:tcPr>
          <w:p w14:paraId="3FFDE3C8"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problems</w:t>
            </w:r>
          </w:p>
        </w:tc>
      </w:tr>
      <w:tr w:rsidR="00D96284" w:rsidRPr="000B0777" w14:paraId="4991259F" w14:textId="77777777" w:rsidTr="5F884969">
        <w:trPr>
          <w:trHeight w:val="395"/>
          <w:jc w:val="center"/>
        </w:trPr>
        <w:tc>
          <w:tcPr>
            <w:tcW w:w="279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2356E62"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 xml:space="preserve">Race/Ethnicity </w:t>
            </w:r>
          </w:p>
        </w:tc>
        <w:tc>
          <w:tcPr>
            <w:tcW w:w="1159" w:type="dxa"/>
            <w:tcBorders>
              <w:top w:val="nil"/>
              <w:left w:val="nil"/>
              <w:bottom w:val="single" w:sz="4" w:space="0" w:color="auto"/>
              <w:right w:val="single" w:sz="4" w:space="0" w:color="auto"/>
            </w:tcBorders>
            <w:shd w:val="clear" w:color="auto" w:fill="D9D9D9" w:themeFill="background1" w:themeFillShade="D9"/>
            <w:noWrap/>
            <w:vAlign w:val="bottom"/>
            <w:hideMark/>
          </w:tcPr>
          <w:p w14:paraId="36D88CB4"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 </w:t>
            </w:r>
          </w:p>
        </w:tc>
        <w:tc>
          <w:tcPr>
            <w:tcW w:w="1361" w:type="dxa"/>
            <w:tcBorders>
              <w:top w:val="nil"/>
              <w:left w:val="nil"/>
              <w:bottom w:val="single" w:sz="4" w:space="0" w:color="auto"/>
              <w:right w:val="single" w:sz="4" w:space="0" w:color="auto"/>
            </w:tcBorders>
            <w:shd w:val="clear" w:color="auto" w:fill="D9D9D9" w:themeFill="background1" w:themeFillShade="D9"/>
            <w:noWrap/>
            <w:vAlign w:val="bottom"/>
            <w:hideMark/>
          </w:tcPr>
          <w:p w14:paraId="2C9AACD5"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 </w:t>
            </w:r>
          </w:p>
        </w:tc>
        <w:tc>
          <w:tcPr>
            <w:tcW w:w="1170" w:type="dxa"/>
            <w:tcBorders>
              <w:top w:val="nil"/>
              <w:left w:val="nil"/>
              <w:bottom w:val="single" w:sz="4" w:space="0" w:color="auto"/>
              <w:right w:val="single" w:sz="4" w:space="0" w:color="auto"/>
            </w:tcBorders>
            <w:shd w:val="clear" w:color="auto" w:fill="D9D9D9" w:themeFill="background1" w:themeFillShade="D9"/>
            <w:noWrap/>
            <w:vAlign w:val="bottom"/>
            <w:hideMark/>
          </w:tcPr>
          <w:p w14:paraId="44E5403E"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 </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9DE74B3"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 </w:t>
            </w:r>
          </w:p>
        </w:tc>
        <w:tc>
          <w:tcPr>
            <w:tcW w:w="1266" w:type="dxa"/>
            <w:tcBorders>
              <w:top w:val="nil"/>
              <w:left w:val="nil"/>
              <w:bottom w:val="single" w:sz="4" w:space="0" w:color="auto"/>
              <w:right w:val="single" w:sz="4" w:space="0" w:color="auto"/>
            </w:tcBorders>
            <w:shd w:val="clear" w:color="auto" w:fill="D9D9D9" w:themeFill="background1" w:themeFillShade="D9"/>
            <w:noWrap/>
            <w:vAlign w:val="bottom"/>
            <w:hideMark/>
          </w:tcPr>
          <w:p w14:paraId="562FB943"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 </w:t>
            </w:r>
          </w:p>
        </w:tc>
        <w:tc>
          <w:tcPr>
            <w:tcW w:w="1355" w:type="dxa"/>
            <w:tcBorders>
              <w:top w:val="nil"/>
              <w:left w:val="nil"/>
              <w:bottom w:val="single" w:sz="4" w:space="0" w:color="auto"/>
              <w:right w:val="single" w:sz="4" w:space="0" w:color="auto"/>
            </w:tcBorders>
            <w:shd w:val="clear" w:color="auto" w:fill="D9D9D9" w:themeFill="background1" w:themeFillShade="D9"/>
            <w:noWrap/>
            <w:vAlign w:val="bottom"/>
            <w:hideMark/>
          </w:tcPr>
          <w:p w14:paraId="7FE32F0E"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 </w:t>
            </w:r>
          </w:p>
        </w:tc>
      </w:tr>
      <w:tr w:rsidR="00D96284" w:rsidRPr="000B0777" w14:paraId="2FE45C53" w14:textId="77777777" w:rsidTr="5F884969">
        <w:trPr>
          <w:trHeight w:val="46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605D1036"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White,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6D43E472"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6,870</w:t>
            </w:r>
          </w:p>
        </w:tc>
        <w:tc>
          <w:tcPr>
            <w:tcW w:w="1361" w:type="dxa"/>
            <w:tcBorders>
              <w:top w:val="nil"/>
              <w:left w:val="nil"/>
              <w:bottom w:val="single" w:sz="4" w:space="0" w:color="auto"/>
              <w:right w:val="single" w:sz="4" w:space="0" w:color="auto"/>
            </w:tcBorders>
            <w:shd w:val="clear" w:color="auto" w:fill="auto"/>
            <w:noWrap/>
            <w:vAlign w:val="center"/>
            <w:hideMark/>
          </w:tcPr>
          <w:p w14:paraId="609FDAC7"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14,648</w:t>
            </w:r>
          </w:p>
        </w:tc>
        <w:tc>
          <w:tcPr>
            <w:tcW w:w="1170" w:type="dxa"/>
            <w:tcBorders>
              <w:top w:val="nil"/>
              <w:left w:val="nil"/>
              <w:bottom w:val="single" w:sz="4" w:space="0" w:color="auto"/>
              <w:right w:val="single" w:sz="4" w:space="0" w:color="auto"/>
            </w:tcBorders>
            <w:shd w:val="clear" w:color="auto" w:fill="auto"/>
            <w:noWrap/>
            <w:vAlign w:val="center"/>
            <w:hideMark/>
          </w:tcPr>
          <w:p w14:paraId="6F98FDC0"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46.90%</w:t>
            </w:r>
          </w:p>
        </w:tc>
        <w:tc>
          <w:tcPr>
            <w:tcW w:w="1260" w:type="dxa"/>
            <w:tcBorders>
              <w:top w:val="nil"/>
              <w:left w:val="nil"/>
              <w:bottom w:val="single" w:sz="4" w:space="0" w:color="auto"/>
              <w:right w:val="single" w:sz="4" w:space="0" w:color="auto"/>
            </w:tcBorders>
            <w:shd w:val="clear" w:color="auto" w:fill="auto"/>
            <w:noWrap/>
            <w:vAlign w:val="center"/>
            <w:hideMark/>
          </w:tcPr>
          <w:p w14:paraId="5B4B9972"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27,780</w:t>
            </w:r>
          </w:p>
        </w:tc>
        <w:tc>
          <w:tcPr>
            <w:tcW w:w="1266" w:type="dxa"/>
            <w:tcBorders>
              <w:top w:val="nil"/>
              <w:left w:val="nil"/>
              <w:bottom w:val="single" w:sz="4" w:space="0" w:color="auto"/>
              <w:right w:val="single" w:sz="4" w:space="0" w:color="auto"/>
            </w:tcBorders>
            <w:shd w:val="clear" w:color="auto" w:fill="auto"/>
            <w:noWrap/>
            <w:vAlign w:val="center"/>
            <w:hideMark/>
          </w:tcPr>
          <w:p w14:paraId="7E4A9D6D"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79,387</w:t>
            </w:r>
          </w:p>
        </w:tc>
        <w:tc>
          <w:tcPr>
            <w:tcW w:w="1355" w:type="dxa"/>
            <w:tcBorders>
              <w:top w:val="nil"/>
              <w:left w:val="nil"/>
              <w:bottom w:val="single" w:sz="4" w:space="0" w:color="auto"/>
              <w:right w:val="single" w:sz="4" w:space="0" w:color="auto"/>
            </w:tcBorders>
            <w:shd w:val="clear" w:color="auto" w:fill="auto"/>
            <w:noWrap/>
            <w:vAlign w:val="center"/>
            <w:hideMark/>
          </w:tcPr>
          <w:p w14:paraId="0F8657D6"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34.99%</w:t>
            </w:r>
          </w:p>
        </w:tc>
      </w:tr>
      <w:tr w:rsidR="00D96284" w:rsidRPr="000B0777" w14:paraId="09C02A5D" w14:textId="77777777" w:rsidTr="5F884969">
        <w:trPr>
          <w:trHeight w:val="46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66B69CBD"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Black,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06A7EE88"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389</w:t>
            </w:r>
          </w:p>
        </w:tc>
        <w:tc>
          <w:tcPr>
            <w:tcW w:w="1361" w:type="dxa"/>
            <w:tcBorders>
              <w:top w:val="nil"/>
              <w:left w:val="nil"/>
              <w:bottom w:val="single" w:sz="4" w:space="0" w:color="auto"/>
              <w:right w:val="single" w:sz="4" w:space="0" w:color="auto"/>
            </w:tcBorders>
            <w:shd w:val="clear" w:color="auto" w:fill="auto"/>
            <w:noWrap/>
            <w:vAlign w:val="center"/>
            <w:hideMark/>
          </w:tcPr>
          <w:p w14:paraId="73769226"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489</w:t>
            </w:r>
          </w:p>
        </w:tc>
        <w:tc>
          <w:tcPr>
            <w:tcW w:w="1170" w:type="dxa"/>
            <w:tcBorders>
              <w:top w:val="nil"/>
              <w:left w:val="nil"/>
              <w:bottom w:val="single" w:sz="4" w:space="0" w:color="auto"/>
              <w:right w:val="single" w:sz="4" w:space="0" w:color="auto"/>
            </w:tcBorders>
            <w:shd w:val="clear" w:color="auto" w:fill="auto"/>
            <w:noWrap/>
            <w:vAlign w:val="center"/>
            <w:hideMark/>
          </w:tcPr>
          <w:p w14:paraId="26D1A53B"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79.55%</w:t>
            </w:r>
          </w:p>
        </w:tc>
        <w:tc>
          <w:tcPr>
            <w:tcW w:w="1260" w:type="dxa"/>
            <w:tcBorders>
              <w:top w:val="nil"/>
              <w:left w:val="nil"/>
              <w:bottom w:val="single" w:sz="4" w:space="0" w:color="auto"/>
              <w:right w:val="single" w:sz="4" w:space="0" w:color="auto"/>
            </w:tcBorders>
            <w:shd w:val="clear" w:color="auto" w:fill="auto"/>
            <w:noWrap/>
            <w:vAlign w:val="center"/>
            <w:hideMark/>
          </w:tcPr>
          <w:p w14:paraId="53BC91CA"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603</w:t>
            </w:r>
          </w:p>
        </w:tc>
        <w:tc>
          <w:tcPr>
            <w:tcW w:w="1266" w:type="dxa"/>
            <w:tcBorders>
              <w:top w:val="nil"/>
              <w:left w:val="nil"/>
              <w:bottom w:val="single" w:sz="4" w:space="0" w:color="auto"/>
              <w:right w:val="single" w:sz="4" w:space="0" w:color="auto"/>
            </w:tcBorders>
            <w:shd w:val="clear" w:color="auto" w:fill="auto"/>
            <w:noWrap/>
            <w:vAlign w:val="center"/>
            <w:hideMark/>
          </w:tcPr>
          <w:p w14:paraId="0431C58F"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1,032</w:t>
            </w:r>
          </w:p>
        </w:tc>
        <w:tc>
          <w:tcPr>
            <w:tcW w:w="1355" w:type="dxa"/>
            <w:tcBorders>
              <w:top w:val="nil"/>
              <w:left w:val="nil"/>
              <w:bottom w:val="single" w:sz="4" w:space="0" w:color="auto"/>
              <w:right w:val="single" w:sz="4" w:space="0" w:color="auto"/>
            </w:tcBorders>
            <w:shd w:val="clear" w:color="auto" w:fill="auto"/>
            <w:noWrap/>
            <w:vAlign w:val="center"/>
            <w:hideMark/>
          </w:tcPr>
          <w:p w14:paraId="0474A3E5"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58.43%</w:t>
            </w:r>
          </w:p>
        </w:tc>
      </w:tr>
      <w:tr w:rsidR="00D96284" w:rsidRPr="000B0777" w14:paraId="39E837AB" w14:textId="77777777" w:rsidTr="5F884969">
        <w:trPr>
          <w:trHeight w:val="46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2C25DEAB"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Hispanic</w:t>
            </w:r>
          </w:p>
        </w:tc>
        <w:tc>
          <w:tcPr>
            <w:tcW w:w="1159" w:type="dxa"/>
            <w:tcBorders>
              <w:top w:val="nil"/>
              <w:left w:val="nil"/>
              <w:bottom w:val="single" w:sz="4" w:space="0" w:color="auto"/>
              <w:right w:val="single" w:sz="4" w:space="0" w:color="auto"/>
            </w:tcBorders>
            <w:shd w:val="clear" w:color="auto" w:fill="auto"/>
            <w:noWrap/>
            <w:vAlign w:val="center"/>
            <w:hideMark/>
          </w:tcPr>
          <w:p w14:paraId="43DC1864"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215</w:t>
            </w:r>
          </w:p>
        </w:tc>
        <w:tc>
          <w:tcPr>
            <w:tcW w:w="1361" w:type="dxa"/>
            <w:tcBorders>
              <w:top w:val="nil"/>
              <w:left w:val="nil"/>
              <w:bottom w:val="single" w:sz="4" w:space="0" w:color="auto"/>
              <w:right w:val="single" w:sz="4" w:space="0" w:color="auto"/>
            </w:tcBorders>
            <w:shd w:val="clear" w:color="auto" w:fill="auto"/>
            <w:noWrap/>
            <w:vAlign w:val="center"/>
            <w:hideMark/>
          </w:tcPr>
          <w:p w14:paraId="6DA09F19"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374</w:t>
            </w:r>
          </w:p>
        </w:tc>
        <w:tc>
          <w:tcPr>
            <w:tcW w:w="1170" w:type="dxa"/>
            <w:tcBorders>
              <w:top w:val="nil"/>
              <w:left w:val="nil"/>
              <w:bottom w:val="single" w:sz="4" w:space="0" w:color="auto"/>
              <w:right w:val="single" w:sz="4" w:space="0" w:color="auto"/>
            </w:tcBorders>
            <w:shd w:val="clear" w:color="auto" w:fill="auto"/>
            <w:noWrap/>
            <w:vAlign w:val="center"/>
            <w:hideMark/>
          </w:tcPr>
          <w:p w14:paraId="46047C11"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57.49%</w:t>
            </w:r>
          </w:p>
        </w:tc>
        <w:tc>
          <w:tcPr>
            <w:tcW w:w="1260" w:type="dxa"/>
            <w:tcBorders>
              <w:top w:val="nil"/>
              <w:left w:val="nil"/>
              <w:bottom w:val="single" w:sz="4" w:space="0" w:color="auto"/>
              <w:right w:val="single" w:sz="4" w:space="0" w:color="auto"/>
            </w:tcBorders>
            <w:shd w:val="clear" w:color="auto" w:fill="auto"/>
            <w:noWrap/>
            <w:vAlign w:val="center"/>
            <w:hideMark/>
          </w:tcPr>
          <w:p w14:paraId="351866ED"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449</w:t>
            </w:r>
          </w:p>
        </w:tc>
        <w:tc>
          <w:tcPr>
            <w:tcW w:w="1266" w:type="dxa"/>
            <w:tcBorders>
              <w:top w:val="nil"/>
              <w:left w:val="nil"/>
              <w:bottom w:val="single" w:sz="4" w:space="0" w:color="auto"/>
              <w:right w:val="single" w:sz="4" w:space="0" w:color="auto"/>
            </w:tcBorders>
            <w:shd w:val="clear" w:color="auto" w:fill="auto"/>
            <w:noWrap/>
            <w:vAlign w:val="center"/>
            <w:hideMark/>
          </w:tcPr>
          <w:p w14:paraId="04316845"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999</w:t>
            </w:r>
          </w:p>
        </w:tc>
        <w:tc>
          <w:tcPr>
            <w:tcW w:w="1355" w:type="dxa"/>
            <w:tcBorders>
              <w:top w:val="nil"/>
              <w:left w:val="nil"/>
              <w:bottom w:val="single" w:sz="4" w:space="0" w:color="auto"/>
              <w:right w:val="single" w:sz="4" w:space="0" w:color="auto"/>
            </w:tcBorders>
            <w:shd w:val="clear" w:color="auto" w:fill="auto"/>
            <w:noWrap/>
            <w:vAlign w:val="center"/>
            <w:hideMark/>
          </w:tcPr>
          <w:p w14:paraId="7679CE31"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44.94%</w:t>
            </w:r>
          </w:p>
        </w:tc>
      </w:tr>
      <w:tr w:rsidR="00D96284" w:rsidRPr="000B0777" w14:paraId="25C4030F" w14:textId="77777777" w:rsidTr="5F884969">
        <w:trPr>
          <w:trHeight w:val="46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1CAC7D5B"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Asian or Pacific Islander,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2051C48F"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380</w:t>
            </w:r>
          </w:p>
        </w:tc>
        <w:tc>
          <w:tcPr>
            <w:tcW w:w="1361" w:type="dxa"/>
            <w:tcBorders>
              <w:top w:val="nil"/>
              <w:left w:val="nil"/>
              <w:bottom w:val="single" w:sz="4" w:space="0" w:color="auto"/>
              <w:right w:val="single" w:sz="4" w:space="0" w:color="auto"/>
            </w:tcBorders>
            <w:shd w:val="clear" w:color="auto" w:fill="auto"/>
            <w:noWrap/>
            <w:vAlign w:val="center"/>
            <w:hideMark/>
          </w:tcPr>
          <w:p w14:paraId="7BEE53C6"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584</w:t>
            </w:r>
          </w:p>
        </w:tc>
        <w:tc>
          <w:tcPr>
            <w:tcW w:w="1170" w:type="dxa"/>
            <w:tcBorders>
              <w:top w:val="nil"/>
              <w:left w:val="nil"/>
              <w:bottom w:val="single" w:sz="4" w:space="0" w:color="auto"/>
              <w:right w:val="single" w:sz="4" w:space="0" w:color="auto"/>
            </w:tcBorders>
            <w:shd w:val="clear" w:color="auto" w:fill="auto"/>
            <w:noWrap/>
            <w:vAlign w:val="center"/>
            <w:hideMark/>
          </w:tcPr>
          <w:p w14:paraId="0110CB1E"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65.07%</w:t>
            </w:r>
          </w:p>
        </w:tc>
        <w:tc>
          <w:tcPr>
            <w:tcW w:w="1260" w:type="dxa"/>
            <w:tcBorders>
              <w:top w:val="nil"/>
              <w:left w:val="nil"/>
              <w:bottom w:val="single" w:sz="4" w:space="0" w:color="auto"/>
              <w:right w:val="single" w:sz="4" w:space="0" w:color="auto"/>
            </w:tcBorders>
            <w:shd w:val="clear" w:color="auto" w:fill="auto"/>
            <w:noWrap/>
            <w:vAlign w:val="center"/>
            <w:hideMark/>
          </w:tcPr>
          <w:p w14:paraId="7C4CFEDC"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869</w:t>
            </w:r>
          </w:p>
        </w:tc>
        <w:tc>
          <w:tcPr>
            <w:tcW w:w="1266" w:type="dxa"/>
            <w:tcBorders>
              <w:top w:val="nil"/>
              <w:left w:val="nil"/>
              <w:bottom w:val="single" w:sz="4" w:space="0" w:color="auto"/>
              <w:right w:val="single" w:sz="4" w:space="0" w:color="auto"/>
            </w:tcBorders>
            <w:shd w:val="clear" w:color="auto" w:fill="auto"/>
            <w:noWrap/>
            <w:vAlign w:val="center"/>
            <w:hideMark/>
          </w:tcPr>
          <w:p w14:paraId="30DA2A45"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1,338</w:t>
            </w:r>
          </w:p>
        </w:tc>
        <w:tc>
          <w:tcPr>
            <w:tcW w:w="1355" w:type="dxa"/>
            <w:tcBorders>
              <w:top w:val="nil"/>
              <w:left w:val="nil"/>
              <w:bottom w:val="single" w:sz="4" w:space="0" w:color="auto"/>
              <w:right w:val="single" w:sz="4" w:space="0" w:color="auto"/>
            </w:tcBorders>
            <w:shd w:val="clear" w:color="auto" w:fill="auto"/>
            <w:noWrap/>
            <w:vAlign w:val="center"/>
            <w:hideMark/>
          </w:tcPr>
          <w:p w14:paraId="3C94711C"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64.95%</w:t>
            </w:r>
          </w:p>
        </w:tc>
      </w:tr>
      <w:tr w:rsidR="00D96284" w:rsidRPr="000B0777" w14:paraId="5031048C" w14:textId="77777777" w:rsidTr="5F884969">
        <w:trPr>
          <w:trHeight w:val="46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6BB61FA7"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Native American,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44E93544"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54</w:t>
            </w:r>
          </w:p>
        </w:tc>
        <w:tc>
          <w:tcPr>
            <w:tcW w:w="1361" w:type="dxa"/>
            <w:tcBorders>
              <w:top w:val="nil"/>
              <w:left w:val="nil"/>
              <w:bottom w:val="single" w:sz="4" w:space="0" w:color="auto"/>
              <w:right w:val="single" w:sz="4" w:space="0" w:color="auto"/>
            </w:tcBorders>
            <w:shd w:val="clear" w:color="auto" w:fill="auto"/>
            <w:noWrap/>
            <w:vAlign w:val="center"/>
            <w:hideMark/>
          </w:tcPr>
          <w:p w14:paraId="41AD4540"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78</w:t>
            </w:r>
          </w:p>
        </w:tc>
        <w:tc>
          <w:tcPr>
            <w:tcW w:w="1170" w:type="dxa"/>
            <w:tcBorders>
              <w:top w:val="nil"/>
              <w:left w:val="nil"/>
              <w:bottom w:val="single" w:sz="4" w:space="0" w:color="auto"/>
              <w:right w:val="single" w:sz="4" w:space="0" w:color="auto"/>
            </w:tcBorders>
            <w:shd w:val="clear" w:color="auto" w:fill="auto"/>
            <w:noWrap/>
            <w:vAlign w:val="center"/>
            <w:hideMark/>
          </w:tcPr>
          <w:p w14:paraId="2F467008"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69.23%</w:t>
            </w:r>
          </w:p>
        </w:tc>
        <w:tc>
          <w:tcPr>
            <w:tcW w:w="1260" w:type="dxa"/>
            <w:tcBorders>
              <w:top w:val="nil"/>
              <w:left w:val="nil"/>
              <w:bottom w:val="single" w:sz="4" w:space="0" w:color="auto"/>
              <w:right w:val="single" w:sz="4" w:space="0" w:color="auto"/>
            </w:tcBorders>
            <w:shd w:val="clear" w:color="auto" w:fill="auto"/>
            <w:noWrap/>
            <w:vAlign w:val="center"/>
            <w:hideMark/>
          </w:tcPr>
          <w:p w14:paraId="3C44BD32"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157</w:t>
            </w:r>
          </w:p>
        </w:tc>
        <w:tc>
          <w:tcPr>
            <w:tcW w:w="1266" w:type="dxa"/>
            <w:tcBorders>
              <w:top w:val="nil"/>
              <w:left w:val="nil"/>
              <w:bottom w:val="single" w:sz="4" w:space="0" w:color="auto"/>
              <w:right w:val="single" w:sz="4" w:space="0" w:color="auto"/>
            </w:tcBorders>
            <w:shd w:val="clear" w:color="auto" w:fill="auto"/>
            <w:noWrap/>
            <w:vAlign w:val="center"/>
            <w:hideMark/>
          </w:tcPr>
          <w:p w14:paraId="341AFC49"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307</w:t>
            </w:r>
          </w:p>
        </w:tc>
        <w:tc>
          <w:tcPr>
            <w:tcW w:w="1355" w:type="dxa"/>
            <w:tcBorders>
              <w:top w:val="nil"/>
              <w:left w:val="nil"/>
              <w:bottom w:val="single" w:sz="4" w:space="0" w:color="auto"/>
              <w:right w:val="single" w:sz="4" w:space="0" w:color="auto"/>
            </w:tcBorders>
            <w:shd w:val="clear" w:color="auto" w:fill="auto"/>
            <w:noWrap/>
            <w:vAlign w:val="center"/>
            <w:hideMark/>
          </w:tcPr>
          <w:p w14:paraId="0A4D3D30"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51.14%</w:t>
            </w:r>
          </w:p>
        </w:tc>
      </w:tr>
      <w:tr w:rsidR="00D96284" w:rsidRPr="000B0777" w14:paraId="079FBFF0" w14:textId="77777777" w:rsidTr="5F884969">
        <w:trPr>
          <w:trHeight w:val="46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03884BD9"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Other,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1ED28745"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138</w:t>
            </w:r>
          </w:p>
        </w:tc>
        <w:tc>
          <w:tcPr>
            <w:tcW w:w="1361" w:type="dxa"/>
            <w:tcBorders>
              <w:top w:val="nil"/>
              <w:left w:val="nil"/>
              <w:bottom w:val="single" w:sz="4" w:space="0" w:color="auto"/>
              <w:right w:val="single" w:sz="4" w:space="0" w:color="auto"/>
            </w:tcBorders>
            <w:shd w:val="clear" w:color="auto" w:fill="auto"/>
            <w:noWrap/>
            <w:vAlign w:val="center"/>
            <w:hideMark/>
          </w:tcPr>
          <w:p w14:paraId="0D9C27D4"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226</w:t>
            </w:r>
          </w:p>
        </w:tc>
        <w:tc>
          <w:tcPr>
            <w:tcW w:w="1170" w:type="dxa"/>
            <w:tcBorders>
              <w:top w:val="nil"/>
              <w:left w:val="nil"/>
              <w:bottom w:val="single" w:sz="4" w:space="0" w:color="auto"/>
              <w:right w:val="single" w:sz="4" w:space="0" w:color="auto"/>
            </w:tcBorders>
            <w:shd w:val="clear" w:color="auto" w:fill="auto"/>
            <w:noWrap/>
            <w:vAlign w:val="center"/>
            <w:hideMark/>
          </w:tcPr>
          <w:p w14:paraId="3AB0A79D"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61.06%</w:t>
            </w:r>
          </w:p>
        </w:tc>
        <w:tc>
          <w:tcPr>
            <w:tcW w:w="1260" w:type="dxa"/>
            <w:tcBorders>
              <w:top w:val="nil"/>
              <w:left w:val="nil"/>
              <w:bottom w:val="single" w:sz="4" w:space="0" w:color="auto"/>
              <w:right w:val="single" w:sz="4" w:space="0" w:color="auto"/>
            </w:tcBorders>
            <w:shd w:val="clear" w:color="auto" w:fill="auto"/>
            <w:noWrap/>
            <w:vAlign w:val="center"/>
            <w:hideMark/>
          </w:tcPr>
          <w:p w14:paraId="261B0356"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647</w:t>
            </w:r>
          </w:p>
        </w:tc>
        <w:tc>
          <w:tcPr>
            <w:tcW w:w="1266" w:type="dxa"/>
            <w:tcBorders>
              <w:top w:val="nil"/>
              <w:left w:val="nil"/>
              <w:bottom w:val="single" w:sz="4" w:space="0" w:color="auto"/>
              <w:right w:val="single" w:sz="4" w:space="0" w:color="auto"/>
            </w:tcBorders>
            <w:shd w:val="clear" w:color="auto" w:fill="auto"/>
            <w:noWrap/>
            <w:vAlign w:val="center"/>
            <w:hideMark/>
          </w:tcPr>
          <w:p w14:paraId="755BB0C9"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1,130</w:t>
            </w:r>
          </w:p>
        </w:tc>
        <w:tc>
          <w:tcPr>
            <w:tcW w:w="1355" w:type="dxa"/>
            <w:tcBorders>
              <w:top w:val="nil"/>
              <w:left w:val="nil"/>
              <w:bottom w:val="single" w:sz="4" w:space="0" w:color="auto"/>
              <w:right w:val="single" w:sz="4" w:space="0" w:color="auto"/>
            </w:tcBorders>
            <w:shd w:val="clear" w:color="auto" w:fill="auto"/>
            <w:noWrap/>
            <w:vAlign w:val="center"/>
            <w:hideMark/>
          </w:tcPr>
          <w:p w14:paraId="599A1836"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57.26%</w:t>
            </w:r>
          </w:p>
        </w:tc>
      </w:tr>
      <w:tr w:rsidR="00D96284" w:rsidRPr="000B0777" w14:paraId="11F95A5C" w14:textId="77777777" w:rsidTr="5F884969">
        <w:trPr>
          <w:trHeight w:val="42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16931861" w14:textId="77777777" w:rsidR="00D96284" w:rsidRPr="000B0777" w:rsidRDefault="5F884969" w:rsidP="5F884969">
            <w:pPr>
              <w:spacing w:after="0"/>
              <w:ind w:firstLineChars="100" w:firstLine="220"/>
              <w:rPr>
                <w:rFonts w:ascii="Calibri" w:eastAsia="Times New Roman" w:hAnsi="Calibri"/>
                <w:i/>
                <w:iCs/>
                <w:color w:val="000000" w:themeColor="text1"/>
              </w:rPr>
            </w:pPr>
            <w:r w:rsidRPr="5F884969">
              <w:rPr>
                <w:rFonts w:ascii="Calibri" w:eastAsia="Times New Roman" w:hAnsi="Calibri"/>
                <w:i/>
                <w:iCs/>
                <w:color w:val="000000" w:themeColor="text1"/>
              </w:rPr>
              <w:t>Total</w:t>
            </w:r>
          </w:p>
        </w:tc>
        <w:tc>
          <w:tcPr>
            <w:tcW w:w="1159" w:type="dxa"/>
            <w:tcBorders>
              <w:top w:val="nil"/>
              <w:left w:val="nil"/>
              <w:bottom w:val="single" w:sz="4" w:space="0" w:color="auto"/>
              <w:right w:val="single" w:sz="4" w:space="0" w:color="auto"/>
            </w:tcBorders>
            <w:shd w:val="clear" w:color="auto" w:fill="auto"/>
            <w:noWrap/>
            <w:vAlign w:val="center"/>
            <w:hideMark/>
          </w:tcPr>
          <w:p w14:paraId="241B11F0"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8,065</w:t>
            </w:r>
          </w:p>
        </w:tc>
        <w:tc>
          <w:tcPr>
            <w:tcW w:w="1361" w:type="dxa"/>
            <w:tcBorders>
              <w:top w:val="nil"/>
              <w:left w:val="nil"/>
              <w:bottom w:val="single" w:sz="4" w:space="0" w:color="auto"/>
              <w:right w:val="single" w:sz="4" w:space="0" w:color="auto"/>
            </w:tcBorders>
            <w:shd w:val="clear" w:color="auto" w:fill="auto"/>
            <w:noWrap/>
            <w:vAlign w:val="center"/>
            <w:hideMark/>
          </w:tcPr>
          <w:p w14:paraId="3D8BEFB7"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16,425</w:t>
            </w:r>
          </w:p>
        </w:tc>
        <w:tc>
          <w:tcPr>
            <w:tcW w:w="1170" w:type="dxa"/>
            <w:tcBorders>
              <w:top w:val="nil"/>
              <w:left w:val="nil"/>
              <w:bottom w:val="single" w:sz="4" w:space="0" w:color="auto"/>
              <w:right w:val="single" w:sz="4" w:space="0" w:color="auto"/>
            </w:tcBorders>
            <w:shd w:val="clear" w:color="auto" w:fill="auto"/>
            <w:noWrap/>
            <w:vAlign w:val="center"/>
            <w:hideMark/>
          </w:tcPr>
          <w:p w14:paraId="3C781CEB"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49.10%</w:t>
            </w:r>
          </w:p>
        </w:tc>
        <w:tc>
          <w:tcPr>
            <w:tcW w:w="1260" w:type="dxa"/>
            <w:tcBorders>
              <w:top w:val="nil"/>
              <w:left w:val="nil"/>
              <w:bottom w:val="single" w:sz="4" w:space="0" w:color="auto"/>
              <w:right w:val="single" w:sz="4" w:space="0" w:color="auto"/>
            </w:tcBorders>
            <w:shd w:val="clear" w:color="auto" w:fill="auto"/>
            <w:noWrap/>
            <w:vAlign w:val="center"/>
            <w:hideMark/>
          </w:tcPr>
          <w:p w14:paraId="66FA2A40"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30,520</w:t>
            </w:r>
          </w:p>
        </w:tc>
        <w:tc>
          <w:tcPr>
            <w:tcW w:w="1266" w:type="dxa"/>
            <w:tcBorders>
              <w:top w:val="nil"/>
              <w:left w:val="nil"/>
              <w:bottom w:val="single" w:sz="4" w:space="0" w:color="auto"/>
              <w:right w:val="single" w:sz="4" w:space="0" w:color="auto"/>
            </w:tcBorders>
            <w:shd w:val="clear" w:color="auto" w:fill="auto"/>
            <w:noWrap/>
            <w:vAlign w:val="center"/>
            <w:hideMark/>
          </w:tcPr>
          <w:p w14:paraId="2633D303"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84,225</w:t>
            </w:r>
          </w:p>
        </w:tc>
        <w:tc>
          <w:tcPr>
            <w:tcW w:w="1355" w:type="dxa"/>
            <w:tcBorders>
              <w:top w:val="nil"/>
              <w:left w:val="nil"/>
              <w:bottom w:val="single" w:sz="4" w:space="0" w:color="auto"/>
              <w:right w:val="single" w:sz="4" w:space="0" w:color="auto"/>
            </w:tcBorders>
            <w:shd w:val="clear" w:color="auto" w:fill="auto"/>
            <w:noWrap/>
            <w:vAlign w:val="center"/>
            <w:hideMark/>
          </w:tcPr>
          <w:p w14:paraId="2D32D3F0"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36.24%</w:t>
            </w:r>
          </w:p>
        </w:tc>
      </w:tr>
      <w:tr w:rsidR="00D96284" w:rsidRPr="000B0777" w14:paraId="1CF0B0E4" w14:textId="77777777" w:rsidTr="5F884969">
        <w:trPr>
          <w:trHeight w:val="296"/>
          <w:jc w:val="center"/>
        </w:trPr>
        <w:tc>
          <w:tcPr>
            <w:tcW w:w="279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0C296E"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Household Type and Size</w:t>
            </w:r>
          </w:p>
        </w:tc>
        <w:tc>
          <w:tcPr>
            <w:tcW w:w="1159" w:type="dxa"/>
            <w:tcBorders>
              <w:top w:val="nil"/>
              <w:left w:val="nil"/>
              <w:bottom w:val="single" w:sz="4" w:space="0" w:color="auto"/>
              <w:right w:val="single" w:sz="4" w:space="0" w:color="auto"/>
            </w:tcBorders>
            <w:shd w:val="clear" w:color="auto" w:fill="D9D9D9" w:themeFill="background1" w:themeFillShade="D9"/>
            <w:noWrap/>
            <w:vAlign w:val="center"/>
            <w:hideMark/>
          </w:tcPr>
          <w:p w14:paraId="3B9E28AB" w14:textId="77777777" w:rsidR="00D96284" w:rsidRPr="000B0777" w:rsidRDefault="00D96284" w:rsidP="0025019A">
            <w:pPr>
              <w:spacing w:after="0"/>
              <w:jc w:val="center"/>
              <w:rPr>
                <w:rFonts w:ascii="Calibri" w:eastAsia="Times New Roman" w:hAnsi="Calibri"/>
                <w:b/>
                <w:bCs/>
                <w:color w:val="000000"/>
              </w:rPr>
            </w:pPr>
          </w:p>
        </w:tc>
        <w:tc>
          <w:tcPr>
            <w:tcW w:w="1361" w:type="dxa"/>
            <w:tcBorders>
              <w:top w:val="nil"/>
              <w:left w:val="nil"/>
              <w:bottom w:val="single" w:sz="4" w:space="0" w:color="auto"/>
              <w:right w:val="single" w:sz="4" w:space="0" w:color="auto"/>
            </w:tcBorders>
            <w:shd w:val="clear" w:color="auto" w:fill="D9D9D9" w:themeFill="background1" w:themeFillShade="D9"/>
            <w:noWrap/>
            <w:vAlign w:val="center"/>
            <w:hideMark/>
          </w:tcPr>
          <w:p w14:paraId="3D8AFB71" w14:textId="77777777" w:rsidR="00D96284" w:rsidRPr="000B0777" w:rsidRDefault="00D96284" w:rsidP="0025019A">
            <w:pPr>
              <w:spacing w:after="0"/>
              <w:jc w:val="center"/>
              <w:rPr>
                <w:rFonts w:ascii="Calibri" w:eastAsia="Times New Roman" w:hAnsi="Calibri"/>
                <w:b/>
                <w:bCs/>
                <w:color w:val="000000"/>
              </w:rPr>
            </w:pPr>
          </w:p>
        </w:tc>
        <w:tc>
          <w:tcPr>
            <w:tcW w:w="1170" w:type="dxa"/>
            <w:tcBorders>
              <w:top w:val="nil"/>
              <w:left w:val="nil"/>
              <w:bottom w:val="single" w:sz="4" w:space="0" w:color="auto"/>
              <w:right w:val="single" w:sz="4" w:space="0" w:color="auto"/>
            </w:tcBorders>
            <w:shd w:val="clear" w:color="auto" w:fill="D9D9D9" w:themeFill="background1" w:themeFillShade="D9"/>
            <w:noWrap/>
            <w:vAlign w:val="center"/>
            <w:hideMark/>
          </w:tcPr>
          <w:p w14:paraId="17DCF74B" w14:textId="77777777" w:rsidR="00D96284" w:rsidRPr="000B0777" w:rsidRDefault="00D96284" w:rsidP="0025019A">
            <w:pPr>
              <w:spacing w:after="0"/>
              <w:jc w:val="center"/>
              <w:rPr>
                <w:rFonts w:ascii="Calibri" w:eastAsia="Times New Roman" w:hAnsi="Calibri"/>
                <w:b/>
                <w:bCs/>
                <w:color w:val="000000"/>
              </w:rPr>
            </w:pP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7B88A" w14:textId="77777777" w:rsidR="00D96284" w:rsidRPr="000B0777" w:rsidRDefault="00D96284" w:rsidP="0025019A">
            <w:pPr>
              <w:spacing w:after="0"/>
              <w:jc w:val="center"/>
              <w:rPr>
                <w:rFonts w:ascii="Calibri" w:eastAsia="Times New Roman" w:hAnsi="Calibri"/>
                <w:b/>
                <w:bCs/>
                <w:color w:val="000000"/>
              </w:rPr>
            </w:pP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14:paraId="2A3F33C4" w14:textId="77777777" w:rsidR="00D96284" w:rsidRPr="000B0777" w:rsidRDefault="00D96284" w:rsidP="0025019A">
            <w:pPr>
              <w:spacing w:after="0"/>
              <w:jc w:val="center"/>
              <w:rPr>
                <w:rFonts w:ascii="Calibri" w:eastAsia="Times New Roman" w:hAnsi="Calibri"/>
                <w:b/>
                <w:bCs/>
                <w:color w:val="000000"/>
              </w:rPr>
            </w:pPr>
          </w:p>
        </w:tc>
        <w:tc>
          <w:tcPr>
            <w:tcW w:w="1355" w:type="dxa"/>
            <w:tcBorders>
              <w:top w:val="nil"/>
              <w:left w:val="nil"/>
              <w:bottom w:val="single" w:sz="4" w:space="0" w:color="auto"/>
              <w:right w:val="single" w:sz="4" w:space="0" w:color="auto"/>
            </w:tcBorders>
            <w:shd w:val="clear" w:color="auto" w:fill="D9D9D9" w:themeFill="background1" w:themeFillShade="D9"/>
            <w:noWrap/>
            <w:vAlign w:val="center"/>
            <w:hideMark/>
          </w:tcPr>
          <w:p w14:paraId="55B1B16E" w14:textId="77777777" w:rsidR="00D96284" w:rsidRPr="000B0777" w:rsidRDefault="00D96284" w:rsidP="0025019A">
            <w:pPr>
              <w:spacing w:after="0"/>
              <w:jc w:val="center"/>
              <w:rPr>
                <w:rFonts w:ascii="Calibri" w:eastAsia="Times New Roman" w:hAnsi="Calibri"/>
                <w:b/>
                <w:bCs/>
                <w:color w:val="000000"/>
              </w:rPr>
            </w:pPr>
          </w:p>
        </w:tc>
      </w:tr>
      <w:tr w:rsidR="00D96284" w:rsidRPr="000B0777" w14:paraId="7B3BE157" w14:textId="77777777" w:rsidTr="5F884969">
        <w:trPr>
          <w:trHeight w:val="40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58BECBD4"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Family households, &lt;5 people</w:t>
            </w:r>
          </w:p>
        </w:tc>
        <w:tc>
          <w:tcPr>
            <w:tcW w:w="1159" w:type="dxa"/>
            <w:tcBorders>
              <w:top w:val="nil"/>
              <w:left w:val="nil"/>
              <w:bottom w:val="single" w:sz="4" w:space="0" w:color="auto"/>
              <w:right w:val="single" w:sz="4" w:space="0" w:color="auto"/>
            </w:tcBorders>
            <w:shd w:val="clear" w:color="auto" w:fill="auto"/>
            <w:noWrap/>
            <w:vAlign w:val="center"/>
            <w:hideMark/>
          </w:tcPr>
          <w:p w14:paraId="2A9E7C47"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2,205</w:t>
            </w:r>
          </w:p>
        </w:tc>
        <w:tc>
          <w:tcPr>
            <w:tcW w:w="1361" w:type="dxa"/>
            <w:tcBorders>
              <w:top w:val="nil"/>
              <w:left w:val="nil"/>
              <w:bottom w:val="single" w:sz="4" w:space="0" w:color="auto"/>
              <w:right w:val="single" w:sz="4" w:space="0" w:color="auto"/>
            </w:tcBorders>
            <w:shd w:val="clear" w:color="auto" w:fill="auto"/>
            <w:noWrap/>
            <w:vAlign w:val="center"/>
            <w:hideMark/>
          </w:tcPr>
          <w:p w14:paraId="1D1277BA"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6,125</w:t>
            </w:r>
          </w:p>
        </w:tc>
        <w:tc>
          <w:tcPr>
            <w:tcW w:w="1170" w:type="dxa"/>
            <w:tcBorders>
              <w:top w:val="nil"/>
              <w:left w:val="nil"/>
              <w:bottom w:val="single" w:sz="4" w:space="0" w:color="auto"/>
              <w:right w:val="single" w:sz="4" w:space="0" w:color="auto"/>
            </w:tcBorders>
            <w:shd w:val="clear" w:color="auto" w:fill="auto"/>
            <w:noWrap/>
            <w:vAlign w:val="center"/>
            <w:hideMark/>
          </w:tcPr>
          <w:p w14:paraId="6887DC6E"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36.00%</w:t>
            </w:r>
          </w:p>
        </w:tc>
        <w:tc>
          <w:tcPr>
            <w:tcW w:w="1260" w:type="dxa"/>
            <w:tcBorders>
              <w:top w:val="nil"/>
              <w:left w:val="nil"/>
              <w:bottom w:val="single" w:sz="4" w:space="0" w:color="auto"/>
              <w:right w:val="single" w:sz="4" w:space="0" w:color="auto"/>
            </w:tcBorders>
            <w:shd w:val="clear" w:color="auto" w:fill="auto"/>
            <w:noWrap/>
            <w:vAlign w:val="center"/>
            <w:hideMark/>
          </w:tcPr>
          <w:p w14:paraId="3F205B33"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12,970</w:t>
            </w:r>
          </w:p>
        </w:tc>
        <w:tc>
          <w:tcPr>
            <w:tcW w:w="1266" w:type="dxa"/>
            <w:tcBorders>
              <w:top w:val="nil"/>
              <w:left w:val="nil"/>
              <w:bottom w:val="single" w:sz="4" w:space="0" w:color="auto"/>
              <w:right w:val="single" w:sz="4" w:space="0" w:color="auto"/>
            </w:tcBorders>
            <w:shd w:val="clear" w:color="auto" w:fill="auto"/>
            <w:noWrap/>
            <w:vAlign w:val="center"/>
            <w:hideMark/>
          </w:tcPr>
          <w:p w14:paraId="57579B4D"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47,404</w:t>
            </w:r>
          </w:p>
        </w:tc>
        <w:tc>
          <w:tcPr>
            <w:tcW w:w="1355" w:type="dxa"/>
            <w:tcBorders>
              <w:top w:val="nil"/>
              <w:left w:val="nil"/>
              <w:bottom w:val="single" w:sz="4" w:space="0" w:color="auto"/>
              <w:right w:val="single" w:sz="4" w:space="0" w:color="auto"/>
            </w:tcBorders>
            <w:shd w:val="clear" w:color="auto" w:fill="auto"/>
            <w:noWrap/>
            <w:vAlign w:val="center"/>
            <w:hideMark/>
          </w:tcPr>
          <w:p w14:paraId="56EDC8C4"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27.36%</w:t>
            </w:r>
          </w:p>
        </w:tc>
      </w:tr>
      <w:tr w:rsidR="00D96284" w:rsidRPr="000B0777" w14:paraId="5E04ABD7" w14:textId="77777777" w:rsidTr="5F884969">
        <w:trPr>
          <w:trHeight w:val="40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4340B427"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Family households, 5+ people</w:t>
            </w:r>
          </w:p>
        </w:tc>
        <w:tc>
          <w:tcPr>
            <w:tcW w:w="1159" w:type="dxa"/>
            <w:tcBorders>
              <w:top w:val="nil"/>
              <w:left w:val="nil"/>
              <w:bottom w:val="single" w:sz="4" w:space="0" w:color="auto"/>
              <w:right w:val="single" w:sz="4" w:space="0" w:color="auto"/>
            </w:tcBorders>
            <w:shd w:val="clear" w:color="auto" w:fill="auto"/>
            <w:noWrap/>
            <w:vAlign w:val="center"/>
            <w:hideMark/>
          </w:tcPr>
          <w:p w14:paraId="244C053A"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360</w:t>
            </w:r>
          </w:p>
        </w:tc>
        <w:tc>
          <w:tcPr>
            <w:tcW w:w="1361" w:type="dxa"/>
            <w:tcBorders>
              <w:top w:val="nil"/>
              <w:left w:val="nil"/>
              <w:bottom w:val="single" w:sz="4" w:space="0" w:color="auto"/>
              <w:right w:val="single" w:sz="4" w:space="0" w:color="auto"/>
            </w:tcBorders>
            <w:shd w:val="clear" w:color="auto" w:fill="auto"/>
            <w:noWrap/>
            <w:vAlign w:val="center"/>
            <w:hideMark/>
          </w:tcPr>
          <w:p w14:paraId="1371395F"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680</w:t>
            </w:r>
          </w:p>
        </w:tc>
        <w:tc>
          <w:tcPr>
            <w:tcW w:w="1170" w:type="dxa"/>
            <w:tcBorders>
              <w:top w:val="nil"/>
              <w:left w:val="nil"/>
              <w:bottom w:val="single" w:sz="4" w:space="0" w:color="auto"/>
              <w:right w:val="single" w:sz="4" w:space="0" w:color="auto"/>
            </w:tcBorders>
            <w:shd w:val="clear" w:color="auto" w:fill="auto"/>
            <w:noWrap/>
            <w:vAlign w:val="center"/>
            <w:hideMark/>
          </w:tcPr>
          <w:p w14:paraId="79B2A6EF"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52.94%</w:t>
            </w:r>
          </w:p>
        </w:tc>
        <w:tc>
          <w:tcPr>
            <w:tcW w:w="1260" w:type="dxa"/>
            <w:tcBorders>
              <w:top w:val="nil"/>
              <w:left w:val="nil"/>
              <w:bottom w:val="single" w:sz="4" w:space="0" w:color="auto"/>
              <w:right w:val="single" w:sz="4" w:space="0" w:color="auto"/>
            </w:tcBorders>
            <w:shd w:val="clear" w:color="auto" w:fill="auto"/>
            <w:noWrap/>
            <w:vAlign w:val="center"/>
            <w:hideMark/>
          </w:tcPr>
          <w:p w14:paraId="55BB0C38"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2,084</w:t>
            </w:r>
          </w:p>
        </w:tc>
        <w:tc>
          <w:tcPr>
            <w:tcW w:w="1266" w:type="dxa"/>
            <w:tcBorders>
              <w:top w:val="nil"/>
              <w:left w:val="nil"/>
              <w:bottom w:val="single" w:sz="4" w:space="0" w:color="auto"/>
              <w:right w:val="single" w:sz="4" w:space="0" w:color="auto"/>
            </w:tcBorders>
            <w:shd w:val="clear" w:color="auto" w:fill="auto"/>
            <w:noWrap/>
            <w:vAlign w:val="center"/>
            <w:hideMark/>
          </w:tcPr>
          <w:p w14:paraId="03D0A1AE"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5,162</w:t>
            </w:r>
          </w:p>
        </w:tc>
        <w:tc>
          <w:tcPr>
            <w:tcW w:w="1355" w:type="dxa"/>
            <w:tcBorders>
              <w:top w:val="nil"/>
              <w:left w:val="nil"/>
              <w:bottom w:val="single" w:sz="4" w:space="0" w:color="auto"/>
              <w:right w:val="single" w:sz="4" w:space="0" w:color="auto"/>
            </w:tcBorders>
            <w:shd w:val="clear" w:color="auto" w:fill="auto"/>
            <w:noWrap/>
            <w:vAlign w:val="center"/>
            <w:hideMark/>
          </w:tcPr>
          <w:p w14:paraId="75D741CF"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40.37%</w:t>
            </w:r>
          </w:p>
        </w:tc>
      </w:tr>
      <w:tr w:rsidR="00D96284" w:rsidRPr="000B0777" w14:paraId="2F93A244" w14:textId="77777777" w:rsidTr="5F884969">
        <w:trPr>
          <w:trHeight w:val="40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74414ADE"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Non-family households</w:t>
            </w:r>
          </w:p>
        </w:tc>
        <w:tc>
          <w:tcPr>
            <w:tcW w:w="1159" w:type="dxa"/>
            <w:tcBorders>
              <w:top w:val="nil"/>
              <w:left w:val="nil"/>
              <w:bottom w:val="single" w:sz="4" w:space="0" w:color="auto"/>
              <w:right w:val="single" w:sz="4" w:space="0" w:color="auto"/>
            </w:tcBorders>
            <w:shd w:val="clear" w:color="auto" w:fill="auto"/>
            <w:noWrap/>
            <w:vAlign w:val="center"/>
            <w:hideMark/>
          </w:tcPr>
          <w:p w14:paraId="07E218D8"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5,500</w:t>
            </w:r>
          </w:p>
        </w:tc>
        <w:tc>
          <w:tcPr>
            <w:tcW w:w="1361" w:type="dxa"/>
            <w:tcBorders>
              <w:top w:val="nil"/>
              <w:left w:val="nil"/>
              <w:bottom w:val="single" w:sz="4" w:space="0" w:color="auto"/>
              <w:right w:val="single" w:sz="4" w:space="0" w:color="auto"/>
            </w:tcBorders>
            <w:shd w:val="clear" w:color="auto" w:fill="auto"/>
            <w:noWrap/>
            <w:vAlign w:val="center"/>
            <w:hideMark/>
          </w:tcPr>
          <w:p w14:paraId="07DFC30E"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9,619</w:t>
            </w:r>
          </w:p>
        </w:tc>
        <w:tc>
          <w:tcPr>
            <w:tcW w:w="1170" w:type="dxa"/>
            <w:tcBorders>
              <w:top w:val="nil"/>
              <w:left w:val="nil"/>
              <w:bottom w:val="single" w:sz="4" w:space="0" w:color="auto"/>
              <w:right w:val="single" w:sz="4" w:space="0" w:color="auto"/>
            </w:tcBorders>
            <w:shd w:val="clear" w:color="auto" w:fill="auto"/>
            <w:noWrap/>
            <w:vAlign w:val="center"/>
            <w:hideMark/>
          </w:tcPr>
          <w:p w14:paraId="2E4AA67C"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57.18%</w:t>
            </w:r>
          </w:p>
        </w:tc>
        <w:tc>
          <w:tcPr>
            <w:tcW w:w="1260" w:type="dxa"/>
            <w:tcBorders>
              <w:top w:val="nil"/>
              <w:left w:val="nil"/>
              <w:bottom w:val="single" w:sz="4" w:space="0" w:color="auto"/>
              <w:right w:val="single" w:sz="4" w:space="0" w:color="auto"/>
            </w:tcBorders>
            <w:shd w:val="clear" w:color="auto" w:fill="auto"/>
            <w:noWrap/>
            <w:vAlign w:val="center"/>
            <w:hideMark/>
          </w:tcPr>
          <w:p w14:paraId="00E1B7F2"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15,450</w:t>
            </w:r>
          </w:p>
        </w:tc>
        <w:tc>
          <w:tcPr>
            <w:tcW w:w="1266" w:type="dxa"/>
            <w:tcBorders>
              <w:top w:val="nil"/>
              <w:left w:val="nil"/>
              <w:bottom w:val="single" w:sz="4" w:space="0" w:color="auto"/>
              <w:right w:val="single" w:sz="4" w:space="0" w:color="auto"/>
            </w:tcBorders>
            <w:shd w:val="clear" w:color="auto" w:fill="auto"/>
            <w:noWrap/>
            <w:vAlign w:val="center"/>
            <w:hideMark/>
          </w:tcPr>
          <w:p w14:paraId="6E5A6AAB"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31,659</w:t>
            </w:r>
          </w:p>
        </w:tc>
        <w:tc>
          <w:tcPr>
            <w:tcW w:w="1355" w:type="dxa"/>
            <w:tcBorders>
              <w:top w:val="nil"/>
              <w:left w:val="nil"/>
              <w:bottom w:val="single" w:sz="4" w:space="0" w:color="auto"/>
              <w:right w:val="single" w:sz="4" w:space="0" w:color="auto"/>
            </w:tcBorders>
            <w:shd w:val="clear" w:color="auto" w:fill="auto"/>
            <w:noWrap/>
            <w:vAlign w:val="center"/>
            <w:hideMark/>
          </w:tcPr>
          <w:p w14:paraId="1DBB2553"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48.80%</w:t>
            </w:r>
          </w:p>
        </w:tc>
      </w:tr>
      <w:tr w:rsidR="00D96284" w:rsidRPr="000B0777" w14:paraId="5F93C516" w14:textId="77777777" w:rsidTr="5F884969">
        <w:trPr>
          <w:trHeight w:val="940"/>
          <w:jc w:val="center"/>
        </w:trPr>
        <w:tc>
          <w:tcPr>
            <w:tcW w:w="2792" w:type="dxa"/>
            <w:tcBorders>
              <w:top w:val="nil"/>
              <w:left w:val="single" w:sz="4" w:space="0" w:color="auto"/>
              <w:bottom w:val="single" w:sz="4" w:space="0" w:color="auto"/>
              <w:right w:val="single" w:sz="4" w:space="0" w:color="auto"/>
            </w:tcBorders>
            <w:shd w:val="clear" w:color="auto" w:fill="DCE6F1"/>
            <w:vAlign w:val="bottom"/>
            <w:hideMark/>
          </w:tcPr>
          <w:p w14:paraId="4DC4DE9F"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Households experiencing any of 4 Severe Housing Problems</w:t>
            </w:r>
          </w:p>
        </w:tc>
        <w:tc>
          <w:tcPr>
            <w:tcW w:w="1159" w:type="dxa"/>
            <w:tcBorders>
              <w:top w:val="nil"/>
              <w:left w:val="nil"/>
              <w:bottom w:val="single" w:sz="4" w:space="0" w:color="auto"/>
              <w:right w:val="single" w:sz="4" w:space="0" w:color="auto"/>
            </w:tcBorders>
            <w:shd w:val="clear" w:color="auto" w:fill="DCE6F1"/>
            <w:vAlign w:val="center"/>
            <w:hideMark/>
          </w:tcPr>
          <w:p w14:paraId="149D6463"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severe problems</w:t>
            </w:r>
          </w:p>
        </w:tc>
        <w:tc>
          <w:tcPr>
            <w:tcW w:w="1361" w:type="dxa"/>
            <w:tcBorders>
              <w:top w:val="nil"/>
              <w:left w:val="nil"/>
              <w:bottom w:val="single" w:sz="4" w:space="0" w:color="auto"/>
              <w:right w:val="single" w:sz="4" w:space="0" w:color="auto"/>
            </w:tcBorders>
            <w:shd w:val="clear" w:color="auto" w:fill="DCE6F1"/>
            <w:vAlign w:val="center"/>
            <w:hideMark/>
          </w:tcPr>
          <w:p w14:paraId="7520EFA5"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households</w:t>
            </w:r>
          </w:p>
        </w:tc>
        <w:tc>
          <w:tcPr>
            <w:tcW w:w="1170" w:type="dxa"/>
            <w:tcBorders>
              <w:top w:val="nil"/>
              <w:left w:val="nil"/>
              <w:bottom w:val="single" w:sz="4" w:space="0" w:color="auto"/>
              <w:right w:val="single" w:sz="4" w:space="0" w:color="auto"/>
            </w:tcBorders>
            <w:shd w:val="clear" w:color="auto" w:fill="DCE6F1"/>
            <w:vAlign w:val="center"/>
            <w:hideMark/>
          </w:tcPr>
          <w:p w14:paraId="0B968A4D"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severe problems</w:t>
            </w:r>
          </w:p>
        </w:tc>
        <w:tc>
          <w:tcPr>
            <w:tcW w:w="1260" w:type="dxa"/>
            <w:tcBorders>
              <w:top w:val="nil"/>
              <w:left w:val="nil"/>
              <w:bottom w:val="single" w:sz="4" w:space="0" w:color="auto"/>
              <w:right w:val="single" w:sz="4" w:space="0" w:color="auto"/>
            </w:tcBorders>
            <w:shd w:val="clear" w:color="auto" w:fill="DCE6F1"/>
            <w:vAlign w:val="center"/>
            <w:hideMark/>
          </w:tcPr>
          <w:p w14:paraId="29445B1B"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severe problems</w:t>
            </w:r>
          </w:p>
        </w:tc>
        <w:tc>
          <w:tcPr>
            <w:tcW w:w="1266" w:type="dxa"/>
            <w:tcBorders>
              <w:top w:val="nil"/>
              <w:left w:val="nil"/>
              <w:bottom w:val="single" w:sz="4" w:space="0" w:color="auto"/>
              <w:right w:val="single" w:sz="4" w:space="0" w:color="auto"/>
            </w:tcBorders>
            <w:shd w:val="clear" w:color="auto" w:fill="DCE6F1"/>
            <w:vAlign w:val="center"/>
            <w:hideMark/>
          </w:tcPr>
          <w:p w14:paraId="3E67D7F3"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households</w:t>
            </w:r>
          </w:p>
        </w:tc>
        <w:tc>
          <w:tcPr>
            <w:tcW w:w="1355" w:type="dxa"/>
            <w:tcBorders>
              <w:top w:val="nil"/>
              <w:left w:val="nil"/>
              <w:bottom w:val="single" w:sz="4" w:space="0" w:color="auto"/>
              <w:right w:val="single" w:sz="4" w:space="0" w:color="auto"/>
            </w:tcBorders>
            <w:shd w:val="clear" w:color="auto" w:fill="DCE6F1"/>
            <w:vAlign w:val="center"/>
            <w:hideMark/>
          </w:tcPr>
          <w:p w14:paraId="30D46782" w14:textId="77777777" w:rsidR="00D96284" w:rsidRPr="000B0777"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severe problems</w:t>
            </w:r>
          </w:p>
        </w:tc>
      </w:tr>
      <w:tr w:rsidR="00D96284" w:rsidRPr="000B0777" w14:paraId="4C6BB6B8" w14:textId="77777777" w:rsidTr="5F884969">
        <w:trPr>
          <w:trHeight w:val="377"/>
          <w:jc w:val="center"/>
        </w:trPr>
        <w:tc>
          <w:tcPr>
            <w:tcW w:w="279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2FCB52F" w14:textId="77777777" w:rsidR="00D96284" w:rsidRPr="000B0777"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 xml:space="preserve">Race/Ethnicity </w:t>
            </w:r>
          </w:p>
        </w:tc>
        <w:tc>
          <w:tcPr>
            <w:tcW w:w="1159" w:type="dxa"/>
            <w:tcBorders>
              <w:top w:val="nil"/>
              <w:left w:val="nil"/>
              <w:bottom w:val="single" w:sz="4" w:space="0" w:color="auto"/>
              <w:right w:val="single" w:sz="4" w:space="0" w:color="auto"/>
            </w:tcBorders>
            <w:shd w:val="clear" w:color="auto" w:fill="D9D9D9" w:themeFill="background1" w:themeFillShade="D9"/>
            <w:noWrap/>
            <w:vAlign w:val="center"/>
            <w:hideMark/>
          </w:tcPr>
          <w:p w14:paraId="73BF9DE5" w14:textId="77777777" w:rsidR="00D96284" w:rsidRPr="000B0777" w:rsidRDefault="00D96284" w:rsidP="0025019A">
            <w:pPr>
              <w:spacing w:after="0"/>
              <w:jc w:val="center"/>
              <w:rPr>
                <w:rFonts w:ascii="Calibri" w:eastAsia="Times New Roman" w:hAnsi="Calibri"/>
                <w:b/>
                <w:bCs/>
                <w:color w:val="000000"/>
              </w:rPr>
            </w:pPr>
          </w:p>
        </w:tc>
        <w:tc>
          <w:tcPr>
            <w:tcW w:w="1361" w:type="dxa"/>
            <w:tcBorders>
              <w:top w:val="nil"/>
              <w:left w:val="nil"/>
              <w:bottom w:val="single" w:sz="4" w:space="0" w:color="auto"/>
              <w:right w:val="single" w:sz="4" w:space="0" w:color="auto"/>
            </w:tcBorders>
            <w:shd w:val="clear" w:color="auto" w:fill="D9D9D9" w:themeFill="background1" w:themeFillShade="D9"/>
            <w:noWrap/>
            <w:vAlign w:val="center"/>
            <w:hideMark/>
          </w:tcPr>
          <w:p w14:paraId="19194185" w14:textId="77777777" w:rsidR="00D96284" w:rsidRPr="000B0777" w:rsidRDefault="00D96284" w:rsidP="0025019A">
            <w:pPr>
              <w:spacing w:after="0"/>
              <w:jc w:val="center"/>
              <w:rPr>
                <w:rFonts w:ascii="Calibri" w:eastAsia="Times New Roman" w:hAnsi="Calibri"/>
                <w:b/>
                <w:bCs/>
                <w:color w:val="000000"/>
              </w:rPr>
            </w:pPr>
          </w:p>
        </w:tc>
        <w:tc>
          <w:tcPr>
            <w:tcW w:w="1170" w:type="dxa"/>
            <w:tcBorders>
              <w:top w:val="nil"/>
              <w:left w:val="nil"/>
              <w:bottom w:val="single" w:sz="4" w:space="0" w:color="auto"/>
              <w:right w:val="single" w:sz="4" w:space="0" w:color="auto"/>
            </w:tcBorders>
            <w:shd w:val="clear" w:color="auto" w:fill="D9D9D9" w:themeFill="background1" w:themeFillShade="D9"/>
            <w:noWrap/>
            <w:vAlign w:val="center"/>
            <w:hideMark/>
          </w:tcPr>
          <w:p w14:paraId="78F3515F" w14:textId="77777777" w:rsidR="00D96284" w:rsidRPr="000B0777" w:rsidRDefault="00D96284" w:rsidP="0025019A">
            <w:pPr>
              <w:spacing w:after="0"/>
              <w:jc w:val="center"/>
              <w:rPr>
                <w:rFonts w:ascii="Calibri" w:eastAsia="Times New Roman" w:hAnsi="Calibri"/>
                <w:b/>
                <w:bCs/>
                <w:color w:val="000000"/>
              </w:rPr>
            </w:pP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85A359" w14:textId="77777777" w:rsidR="00D96284" w:rsidRPr="000B0777" w:rsidRDefault="00D96284" w:rsidP="0025019A">
            <w:pPr>
              <w:spacing w:after="0"/>
              <w:jc w:val="center"/>
              <w:rPr>
                <w:rFonts w:ascii="Calibri" w:eastAsia="Times New Roman" w:hAnsi="Calibri"/>
                <w:b/>
                <w:bCs/>
                <w:color w:val="000000"/>
              </w:rPr>
            </w:pPr>
          </w:p>
        </w:tc>
        <w:tc>
          <w:tcPr>
            <w:tcW w:w="1266" w:type="dxa"/>
            <w:tcBorders>
              <w:top w:val="nil"/>
              <w:left w:val="nil"/>
              <w:bottom w:val="single" w:sz="4" w:space="0" w:color="auto"/>
              <w:right w:val="single" w:sz="4" w:space="0" w:color="auto"/>
            </w:tcBorders>
            <w:shd w:val="clear" w:color="auto" w:fill="D9D9D9" w:themeFill="background1" w:themeFillShade="D9"/>
            <w:noWrap/>
            <w:vAlign w:val="center"/>
            <w:hideMark/>
          </w:tcPr>
          <w:p w14:paraId="06D84E4C" w14:textId="77777777" w:rsidR="00D96284" w:rsidRPr="000B0777" w:rsidRDefault="00D96284" w:rsidP="0025019A">
            <w:pPr>
              <w:spacing w:after="0"/>
              <w:jc w:val="center"/>
              <w:rPr>
                <w:rFonts w:ascii="Calibri" w:eastAsia="Times New Roman" w:hAnsi="Calibri"/>
                <w:b/>
                <w:bCs/>
                <w:color w:val="000000"/>
              </w:rPr>
            </w:pPr>
          </w:p>
        </w:tc>
        <w:tc>
          <w:tcPr>
            <w:tcW w:w="1355" w:type="dxa"/>
            <w:tcBorders>
              <w:top w:val="nil"/>
              <w:left w:val="nil"/>
              <w:bottom w:val="single" w:sz="4" w:space="0" w:color="auto"/>
              <w:right w:val="single" w:sz="4" w:space="0" w:color="auto"/>
            </w:tcBorders>
            <w:shd w:val="clear" w:color="auto" w:fill="D9D9D9" w:themeFill="background1" w:themeFillShade="D9"/>
            <w:noWrap/>
            <w:vAlign w:val="center"/>
            <w:hideMark/>
          </w:tcPr>
          <w:p w14:paraId="33407F98" w14:textId="77777777" w:rsidR="00D96284" w:rsidRPr="000B0777" w:rsidRDefault="00D96284" w:rsidP="0025019A">
            <w:pPr>
              <w:spacing w:after="0"/>
              <w:jc w:val="center"/>
              <w:rPr>
                <w:rFonts w:ascii="Calibri" w:eastAsia="Times New Roman" w:hAnsi="Calibri"/>
                <w:b/>
                <w:bCs/>
                <w:color w:val="000000"/>
              </w:rPr>
            </w:pPr>
          </w:p>
        </w:tc>
      </w:tr>
      <w:tr w:rsidR="00D96284" w:rsidRPr="000B0777" w14:paraId="74DFD1C9" w14:textId="77777777" w:rsidTr="5F884969">
        <w:trPr>
          <w:trHeight w:val="46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5B4D9C24"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White,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4B6BEF1D"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3,735</w:t>
            </w:r>
          </w:p>
        </w:tc>
        <w:tc>
          <w:tcPr>
            <w:tcW w:w="1361" w:type="dxa"/>
            <w:tcBorders>
              <w:top w:val="nil"/>
              <w:left w:val="nil"/>
              <w:bottom w:val="single" w:sz="4" w:space="0" w:color="auto"/>
              <w:right w:val="single" w:sz="4" w:space="0" w:color="auto"/>
            </w:tcBorders>
            <w:shd w:val="clear" w:color="auto" w:fill="auto"/>
            <w:noWrap/>
            <w:vAlign w:val="center"/>
            <w:hideMark/>
          </w:tcPr>
          <w:p w14:paraId="06C103CE"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14,648</w:t>
            </w:r>
          </w:p>
        </w:tc>
        <w:tc>
          <w:tcPr>
            <w:tcW w:w="1170" w:type="dxa"/>
            <w:tcBorders>
              <w:top w:val="nil"/>
              <w:left w:val="nil"/>
              <w:bottom w:val="single" w:sz="4" w:space="0" w:color="auto"/>
              <w:right w:val="single" w:sz="4" w:space="0" w:color="auto"/>
            </w:tcBorders>
            <w:shd w:val="clear" w:color="auto" w:fill="auto"/>
            <w:noWrap/>
            <w:vAlign w:val="center"/>
            <w:hideMark/>
          </w:tcPr>
          <w:p w14:paraId="35BBA843"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25.50%</w:t>
            </w:r>
          </w:p>
        </w:tc>
        <w:tc>
          <w:tcPr>
            <w:tcW w:w="1260" w:type="dxa"/>
            <w:tcBorders>
              <w:top w:val="nil"/>
              <w:left w:val="nil"/>
              <w:bottom w:val="single" w:sz="4" w:space="0" w:color="auto"/>
              <w:right w:val="single" w:sz="4" w:space="0" w:color="auto"/>
            </w:tcBorders>
            <w:shd w:val="clear" w:color="auto" w:fill="auto"/>
            <w:noWrap/>
            <w:vAlign w:val="center"/>
            <w:hideMark/>
          </w:tcPr>
          <w:p w14:paraId="7B32F58B"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12,803</w:t>
            </w:r>
          </w:p>
        </w:tc>
        <w:tc>
          <w:tcPr>
            <w:tcW w:w="1266" w:type="dxa"/>
            <w:tcBorders>
              <w:top w:val="nil"/>
              <w:left w:val="nil"/>
              <w:bottom w:val="single" w:sz="4" w:space="0" w:color="auto"/>
              <w:right w:val="single" w:sz="4" w:space="0" w:color="auto"/>
            </w:tcBorders>
            <w:shd w:val="clear" w:color="auto" w:fill="auto"/>
            <w:noWrap/>
            <w:vAlign w:val="center"/>
            <w:hideMark/>
          </w:tcPr>
          <w:p w14:paraId="6D02C237"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79,387</w:t>
            </w:r>
          </w:p>
        </w:tc>
        <w:tc>
          <w:tcPr>
            <w:tcW w:w="1355" w:type="dxa"/>
            <w:tcBorders>
              <w:top w:val="nil"/>
              <w:left w:val="nil"/>
              <w:bottom w:val="single" w:sz="4" w:space="0" w:color="auto"/>
              <w:right w:val="single" w:sz="4" w:space="0" w:color="auto"/>
            </w:tcBorders>
            <w:shd w:val="clear" w:color="auto" w:fill="auto"/>
            <w:noWrap/>
            <w:vAlign w:val="center"/>
            <w:hideMark/>
          </w:tcPr>
          <w:p w14:paraId="1DE1A767"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16.13%</w:t>
            </w:r>
          </w:p>
        </w:tc>
      </w:tr>
      <w:tr w:rsidR="00D96284" w:rsidRPr="000B0777" w14:paraId="7D29A763" w14:textId="77777777" w:rsidTr="5F884969">
        <w:trPr>
          <w:trHeight w:val="46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49801523"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Black,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51B7C923"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139</w:t>
            </w:r>
          </w:p>
        </w:tc>
        <w:tc>
          <w:tcPr>
            <w:tcW w:w="1361" w:type="dxa"/>
            <w:tcBorders>
              <w:top w:val="nil"/>
              <w:left w:val="nil"/>
              <w:bottom w:val="single" w:sz="4" w:space="0" w:color="auto"/>
              <w:right w:val="single" w:sz="4" w:space="0" w:color="auto"/>
            </w:tcBorders>
            <w:shd w:val="clear" w:color="auto" w:fill="auto"/>
            <w:noWrap/>
            <w:vAlign w:val="center"/>
            <w:hideMark/>
          </w:tcPr>
          <w:p w14:paraId="12AC335C"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489</w:t>
            </w:r>
          </w:p>
        </w:tc>
        <w:tc>
          <w:tcPr>
            <w:tcW w:w="1170" w:type="dxa"/>
            <w:tcBorders>
              <w:top w:val="nil"/>
              <w:left w:val="nil"/>
              <w:bottom w:val="single" w:sz="4" w:space="0" w:color="auto"/>
              <w:right w:val="single" w:sz="4" w:space="0" w:color="auto"/>
            </w:tcBorders>
            <w:shd w:val="clear" w:color="auto" w:fill="auto"/>
            <w:noWrap/>
            <w:vAlign w:val="center"/>
            <w:hideMark/>
          </w:tcPr>
          <w:p w14:paraId="733B1C9F"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28.43%</w:t>
            </w:r>
          </w:p>
        </w:tc>
        <w:tc>
          <w:tcPr>
            <w:tcW w:w="1260" w:type="dxa"/>
            <w:tcBorders>
              <w:top w:val="nil"/>
              <w:left w:val="nil"/>
              <w:bottom w:val="single" w:sz="4" w:space="0" w:color="auto"/>
              <w:right w:val="single" w:sz="4" w:space="0" w:color="auto"/>
            </w:tcBorders>
            <w:shd w:val="clear" w:color="auto" w:fill="auto"/>
            <w:noWrap/>
            <w:vAlign w:val="center"/>
            <w:hideMark/>
          </w:tcPr>
          <w:p w14:paraId="3DC5F58D"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289</w:t>
            </w:r>
          </w:p>
        </w:tc>
        <w:tc>
          <w:tcPr>
            <w:tcW w:w="1266" w:type="dxa"/>
            <w:tcBorders>
              <w:top w:val="nil"/>
              <w:left w:val="nil"/>
              <w:bottom w:val="single" w:sz="4" w:space="0" w:color="auto"/>
              <w:right w:val="single" w:sz="4" w:space="0" w:color="auto"/>
            </w:tcBorders>
            <w:shd w:val="clear" w:color="auto" w:fill="auto"/>
            <w:noWrap/>
            <w:vAlign w:val="center"/>
            <w:hideMark/>
          </w:tcPr>
          <w:p w14:paraId="6E69EA60"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1,032</w:t>
            </w:r>
          </w:p>
        </w:tc>
        <w:tc>
          <w:tcPr>
            <w:tcW w:w="1355" w:type="dxa"/>
            <w:tcBorders>
              <w:top w:val="nil"/>
              <w:left w:val="nil"/>
              <w:bottom w:val="single" w:sz="4" w:space="0" w:color="auto"/>
              <w:right w:val="single" w:sz="4" w:space="0" w:color="auto"/>
            </w:tcBorders>
            <w:shd w:val="clear" w:color="auto" w:fill="auto"/>
            <w:noWrap/>
            <w:vAlign w:val="center"/>
            <w:hideMark/>
          </w:tcPr>
          <w:p w14:paraId="70516201"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28.00%</w:t>
            </w:r>
          </w:p>
        </w:tc>
      </w:tr>
      <w:tr w:rsidR="00D96284" w:rsidRPr="000B0777" w14:paraId="2D6708A0" w14:textId="77777777" w:rsidTr="5F884969">
        <w:trPr>
          <w:trHeight w:val="42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420777E0"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Hispanic</w:t>
            </w:r>
          </w:p>
        </w:tc>
        <w:tc>
          <w:tcPr>
            <w:tcW w:w="1159" w:type="dxa"/>
            <w:tcBorders>
              <w:top w:val="nil"/>
              <w:left w:val="nil"/>
              <w:bottom w:val="single" w:sz="4" w:space="0" w:color="auto"/>
              <w:right w:val="single" w:sz="4" w:space="0" w:color="auto"/>
            </w:tcBorders>
            <w:shd w:val="clear" w:color="auto" w:fill="auto"/>
            <w:noWrap/>
            <w:vAlign w:val="center"/>
            <w:hideMark/>
          </w:tcPr>
          <w:p w14:paraId="338EB068"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105</w:t>
            </w:r>
          </w:p>
        </w:tc>
        <w:tc>
          <w:tcPr>
            <w:tcW w:w="1361" w:type="dxa"/>
            <w:tcBorders>
              <w:top w:val="nil"/>
              <w:left w:val="nil"/>
              <w:bottom w:val="single" w:sz="4" w:space="0" w:color="auto"/>
              <w:right w:val="single" w:sz="4" w:space="0" w:color="auto"/>
            </w:tcBorders>
            <w:shd w:val="clear" w:color="auto" w:fill="auto"/>
            <w:noWrap/>
            <w:vAlign w:val="center"/>
            <w:hideMark/>
          </w:tcPr>
          <w:p w14:paraId="04124C11"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374</w:t>
            </w:r>
          </w:p>
        </w:tc>
        <w:tc>
          <w:tcPr>
            <w:tcW w:w="1170" w:type="dxa"/>
            <w:tcBorders>
              <w:top w:val="nil"/>
              <w:left w:val="nil"/>
              <w:bottom w:val="single" w:sz="4" w:space="0" w:color="auto"/>
              <w:right w:val="single" w:sz="4" w:space="0" w:color="auto"/>
            </w:tcBorders>
            <w:shd w:val="clear" w:color="auto" w:fill="auto"/>
            <w:noWrap/>
            <w:vAlign w:val="center"/>
            <w:hideMark/>
          </w:tcPr>
          <w:p w14:paraId="4CFCEA30"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28.07%</w:t>
            </w:r>
          </w:p>
        </w:tc>
        <w:tc>
          <w:tcPr>
            <w:tcW w:w="1260" w:type="dxa"/>
            <w:tcBorders>
              <w:top w:val="nil"/>
              <w:left w:val="nil"/>
              <w:bottom w:val="single" w:sz="4" w:space="0" w:color="auto"/>
              <w:right w:val="single" w:sz="4" w:space="0" w:color="auto"/>
            </w:tcBorders>
            <w:shd w:val="clear" w:color="auto" w:fill="auto"/>
            <w:noWrap/>
            <w:vAlign w:val="center"/>
            <w:hideMark/>
          </w:tcPr>
          <w:p w14:paraId="1DB10E41"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236</w:t>
            </w:r>
          </w:p>
        </w:tc>
        <w:tc>
          <w:tcPr>
            <w:tcW w:w="1266" w:type="dxa"/>
            <w:tcBorders>
              <w:top w:val="nil"/>
              <w:left w:val="nil"/>
              <w:bottom w:val="single" w:sz="4" w:space="0" w:color="auto"/>
              <w:right w:val="single" w:sz="4" w:space="0" w:color="auto"/>
            </w:tcBorders>
            <w:shd w:val="clear" w:color="auto" w:fill="auto"/>
            <w:noWrap/>
            <w:vAlign w:val="center"/>
            <w:hideMark/>
          </w:tcPr>
          <w:p w14:paraId="2C7C8CC9"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999</w:t>
            </w:r>
          </w:p>
        </w:tc>
        <w:tc>
          <w:tcPr>
            <w:tcW w:w="1355" w:type="dxa"/>
            <w:tcBorders>
              <w:top w:val="nil"/>
              <w:left w:val="nil"/>
              <w:bottom w:val="single" w:sz="4" w:space="0" w:color="auto"/>
              <w:right w:val="single" w:sz="4" w:space="0" w:color="auto"/>
            </w:tcBorders>
            <w:shd w:val="clear" w:color="auto" w:fill="auto"/>
            <w:noWrap/>
            <w:vAlign w:val="center"/>
            <w:hideMark/>
          </w:tcPr>
          <w:p w14:paraId="4131C533"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23.62%</w:t>
            </w:r>
          </w:p>
        </w:tc>
      </w:tr>
      <w:tr w:rsidR="00D96284" w:rsidRPr="000B0777" w14:paraId="19DAD4AF" w14:textId="77777777" w:rsidTr="5F884969">
        <w:trPr>
          <w:trHeight w:val="42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64C2A675"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Asian or Pacific Islander,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1A78C985"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283</w:t>
            </w:r>
          </w:p>
        </w:tc>
        <w:tc>
          <w:tcPr>
            <w:tcW w:w="1361" w:type="dxa"/>
            <w:tcBorders>
              <w:top w:val="nil"/>
              <w:left w:val="nil"/>
              <w:bottom w:val="single" w:sz="4" w:space="0" w:color="auto"/>
              <w:right w:val="single" w:sz="4" w:space="0" w:color="auto"/>
            </w:tcBorders>
            <w:shd w:val="clear" w:color="auto" w:fill="auto"/>
            <w:noWrap/>
            <w:vAlign w:val="center"/>
            <w:hideMark/>
          </w:tcPr>
          <w:p w14:paraId="26D7C630"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584</w:t>
            </w:r>
          </w:p>
        </w:tc>
        <w:tc>
          <w:tcPr>
            <w:tcW w:w="1170" w:type="dxa"/>
            <w:tcBorders>
              <w:top w:val="nil"/>
              <w:left w:val="nil"/>
              <w:bottom w:val="single" w:sz="4" w:space="0" w:color="auto"/>
              <w:right w:val="single" w:sz="4" w:space="0" w:color="auto"/>
            </w:tcBorders>
            <w:shd w:val="clear" w:color="auto" w:fill="auto"/>
            <w:noWrap/>
            <w:vAlign w:val="center"/>
            <w:hideMark/>
          </w:tcPr>
          <w:p w14:paraId="3EDAF53B"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48.46%</w:t>
            </w:r>
          </w:p>
        </w:tc>
        <w:tc>
          <w:tcPr>
            <w:tcW w:w="1260" w:type="dxa"/>
            <w:tcBorders>
              <w:top w:val="nil"/>
              <w:left w:val="nil"/>
              <w:bottom w:val="single" w:sz="4" w:space="0" w:color="auto"/>
              <w:right w:val="single" w:sz="4" w:space="0" w:color="auto"/>
            </w:tcBorders>
            <w:shd w:val="clear" w:color="auto" w:fill="auto"/>
            <w:noWrap/>
            <w:vAlign w:val="center"/>
            <w:hideMark/>
          </w:tcPr>
          <w:p w14:paraId="70FEB172"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559</w:t>
            </w:r>
          </w:p>
        </w:tc>
        <w:tc>
          <w:tcPr>
            <w:tcW w:w="1266" w:type="dxa"/>
            <w:tcBorders>
              <w:top w:val="nil"/>
              <w:left w:val="nil"/>
              <w:bottom w:val="single" w:sz="4" w:space="0" w:color="auto"/>
              <w:right w:val="single" w:sz="4" w:space="0" w:color="auto"/>
            </w:tcBorders>
            <w:shd w:val="clear" w:color="auto" w:fill="auto"/>
            <w:noWrap/>
            <w:vAlign w:val="center"/>
            <w:hideMark/>
          </w:tcPr>
          <w:p w14:paraId="75EA5A85"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1,338</w:t>
            </w:r>
          </w:p>
        </w:tc>
        <w:tc>
          <w:tcPr>
            <w:tcW w:w="1355" w:type="dxa"/>
            <w:tcBorders>
              <w:top w:val="nil"/>
              <w:left w:val="nil"/>
              <w:bottom w:val="single" w:sz="4" w:space="0" w:color="auto"/>
              <w:right w:val="single" w:sz="4" w:space="0" w:color="auto"/>
            </w:tcBorders>
            <w:shd w:val="clear" w:color="auto" w:fill="auto"/>
            <w:noWrap/>
            <w:vAlign w:val="center"/>
            <w:hideMark/>
          </w:tcPr>
          <w:p w14:paraId="3A9FA71D"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41.78%</w:t>
            </w:r>
          </w:p>
        </w:tc>
      </w:tr>
      <w:tr w:rsidR="00D96284" w:rsidRPr="000B0777" w14:paraId="302CDFE6" w14:textId="77777777" w:rsidTr="5F884969">
        <w:trPr>
          <w:trHeight w:val="42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7B1E0C8C"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Native American,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4AD441EE"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50</w:t>
            </w:r>
          </w:p>
        </w:tc>
        <w:tc>
          <w:tcPr>
            <w:tcW w:w="1361" w:type="dxa"/>
            <w:tcBorders>
              <w:top w:val="nil"/>
              <w:left w:val="nil"/>
              <w:bottom w:val="single" w:sz="4" w:space="0" w:color="auto"/>
              <w:right w:val="single" w:sz="4" w:space="0" w:color="auto"/>
            </w:tcBorders>
            <w:shd w:val="clear" w:color="auto" w:fill="auto"/>
            <w:noWrap/>
            <w:vAlign w:val="center"/>
            <w:hideMark/>
          </w:tcPr>
          <w:p w14:paraId="4BF23707"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78</w:t>
            </w:r>
          </w:p>
        </w:tc>
        <w:tc>
          <w:tcPr>
            <w:tcW w:w="1170" w:type="dxa"/>
            <w:tcBorders>
              <w:top w:val="nil"/>
              <w:left w:val="nil"/>
              <w:bottom w:val="single" w:sz="4" w:space="0" w:color="auto"/>
              <w:right w:val="single" w:sz="4" w:space="0" w:color="auto"/>
            </w:tcBorders>
            <w:shd w:val="clear" w:color="auto" w:fill="auto"/>
            <w:noWrap/>
            <w:vAlign w:val="center"/>
            <w:hideMark/>
          </w:tcPr>
          <w:p w14:paraId="2635F324"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64.10%</w:t>
            </w:r>
          </w:p>
        </w:tc>
        <w:tc>
          <w:tcPr>
            <w:tcW w:w="1260" w:type="dxa"/>
            <w:tcBorders>
              <w:top w:val="nil"/>
              <w:left w:val="nil"/>
              <w:bottom w:val="single" w:sz="4" w:space="0" w:color="auto"/>
              <w:right w:val="single" w:sz="4" w:space="0" w:color="auto"/>
            </w:tcBorders>
            <w:shd w:val="clear" w:color="auto" w:fill="auto"/>
            <w:noWrap/>
            <w:vAlign w:val="center"/>
            <w:hideMark/>
          </w:tcPr>
          <w:p w14:paraId="7EBD7F9F"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78</w:t>
            </w:r>
          </w:p>
        </w:tc>
        <w:tc>
          <w:tcPr>
            <w:tcW w:w="1266" w:type="dxa"/>
            <w:tcBorders>
              <w:top w:val="nil"/>
              <w:left w:val="nil"/>
              <w:bottom w:val="single" w:sz="4" w:space="0" w:color="auto"/>
              <w:right w:val="single" w:sz="4" w:space="0" w:color="auto"/>
            </w:tcBorders>
            <w:shd w:val="clear" w:color="auto" w:fill="auto"/>
            <w:noWrap/>
            <w:vAlign w:val="center"/>
            <w:hideMark/>
          </w:tcPr>
          <w:p w14:paraId="46D5E4E8"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307</w:t>
            </w:r>
          </w:p>
        </w:tc>
        <w:tc>
          <w:tcPr>
            <w:tcW w:w="1355" w:type="dxa"/>
            <w:tcBorders>
              <w:top w:val="nil"/>
              <w:left w:val="nil"/>
              <w:bottom w:val="single" w:sz="4" w:space="0" w:color="auto"/>
              <w:right w:val="single" w:sz="4" w:space="0" w:color="auto"/>
            </w:tcBorders>
            <w:shd w:val="clear" w:color="auto" w:fill="auto"/>
            <w:noWrap/>
            <w:vAlign w:val="center"/>
            <w:hideMark/>
          </w:tcPr>
          <w:p w14:paraId="16BB72B9"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25.41%</w:t>
            </w:r>
          </w:p>
        </w:tc>
      </w:tr>
      <w:tr w:rsidR="00D96284" w:rsidRPr="000B0777" w14:paraId="17DAD9B2" w14:textId="77777777" w:rsidTr="5F884969">
        <w:trPr>
          <w:trHeight w:val="42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44965957" w14:textId="77777777" w:rsidR="00D96284" w:rsidRPr="000B0777"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Other, Non-Hispanic</w:t>
            </w:r>
          </w:p>
        </w:tc>
        <w:tc>
          <w:tcPr>
            <w:tcW w:w="1159" w:type="dxa"/>
            <w:tcBorders>
              <w:top w:val="nil"/>
              <w:left w:val="nil"/>
              <w:bottom w:val="single" w:sz="4" w:space="0" w:color="auto"/>
              <w:right w:val="single" w:sz="4" w:space="0" w:color="auto"/>
            </w:tcBorders>
            <w:shd w:val="clear" w:color="auto" w:fill="auto"/>
            <w:noWrap/>
            <w:vAlign w:val="center"/>
            <w:hideMark/>
          </w:tcPr>
          <w:p w14:paraId="56EE2FD4"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113</w:t>
            </w:r>
          </w:p>
        </w:tc>
        <w:tc>
          <w:tcPr>
            <w:tcW w:w="1361" w:type="dxa"/>
            <w:tcBorders>
              <w:top w:val="nil"/>
              <w:left w:val="nil"/>
              <w:bottom w:val="single" w:sz="4" w:space="0" w:color="auto"/>
              <w:right w:val="single" w:sz="4" w:space="0" w:color="auto"/>
            </w:tcBorders>
            <w:shd w:val="clear" w:color="auto" w:fill="auto"/>
            <w:noWrap/>
            <w:vAlign w:val="center"/>
            <w:hideMark/>
          </w:tcPr>
          <w:p w14:paraId="0AADADF6"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226</w:t>
            </w:r>
          </w:p>
        </w:tc>
        <w:tc>
          <w:tcPr>
            <w:tcW w:w="1170" w:type="dxa"/>
            <w:tcBorders>
              <w:top w:val="nil"/>
              <w:left w:val="nil"/>
              <w:bottom w:val="single" w:sz="4" w:space="0" w:color="auto"/>
              <w:right w:val="single" w:sz="4" w:space="0" w:color="auto"/>
            </w:tcBorders>
            <w:shd w:val="clear" w:color="auto" w:fill="auto"/>
            <w:noWrap/>
            <w:vAlign w:val="center"/>
            <w:hideMark/>
          </w:tcPr>
          <w:p w14:paraId="43F776F5"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50.00%</w:t>
            </w:r>
          </w:p>
        </w:tc>
        <w:tc>
          <w:tcPr>
            <w:tcW w:w="1260" w:type="dxa"/>
            <w:tcBorders>
              <w:top w:val="nil"/>
              <w:left w:val="nil"/>
              <w:bottom w:val="single" w:sz="4" w:space="0" w:color="auto"/>
              <w:right w:val="single" w:sz="4" w:space="0" w:color="auto"/>
            </w:tcBorders>
            <w:shd w:val="clear" w:color="auto" w:fill="auto"/>
            <w:noWrap/>
            <w:vAlign w:val="center"/>
            <w:hideMark/>
          </w:tcPr>
          <w:p w14:paraId="079B5E83"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408</w:t>
            </w:r>
          </w:p>
        </w:tc>
        <w:tc>
          <w:tcPr>
            <w:tcW w:w="1266" w:type="dxa"/>
            <w:tcBorders>
              <w:top w:val="nil"/>
              <w:left w:val="nil"/>
              <w:bottom w:val="single" w:sz="4" w:space="0" w:color="auto"/>
              <w:right w:val="single" w:sz="4" w:space="0" w:color="auto"/>
            </w:tcBorders>
            <w:shd w:val="clear" w:color="auto" w:fill="auto"/>
            <w:noWrap/>
            <w:vAlign w:val="center"/>
            <w:hideMark/>
          </w:tcPr>
          <w:p w14:paraId="6E858255"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1,130</w:t>
            </w:r>
          </w:p>
        </w:tc>
        <w:tc>
          <w:tcPr>
            <w:tcW w:w="1355" w:type="dxa"/>
            <w:tcBorders>
              <w:top w:val="nil"/>
              <w:left w:val="nil"/>
              <w:bottom w:val="single" w:sz="4" w:space="0" w:color="auto"/>
              <w:right w:val="single" w:sz="4" w:space="0" w:color="auto"/>
            </w:tcBorders>
            <w:shd w:val="clear" w:color="auto" w:fill="auto"/>
            <w:noWrap/>
            <w:vAlign w:val="center"/>
            <w:hideMark/>
          </w:tcPr>
          <w:p w14:paraId="12E5E04E" w14:textId="77777777" w:rsidR="00D96284" w:rsidRPr="000B0777"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36.11%</w:t>
            </w:r>
          </w:p>
        </w:tc>
      </w:tr>
      <w:tr w:rsidR="00D96284" w:rsidRPr="000B0777" w14:paraId="111D8735" w14:textId="77777777" w:rsidTr="5F884969">
        <w:trPr>
          <w:trHeight w:val="420"/>
          <w:jc w:val="center"/>
        </w:trPr>
        <w:tc>
          <w:tcPr>
            <w:tcW w:w="2792" w:type="dxa"/>
            <w:tcBorders>
              <w:top w:val="nil"/>
              <w:left w:val="single" w:sz="4" w:space="0" w:color="auto"/>
              <w:bottom w:val="single" w:sz="4" w:space="0" w:color="auto"/>
              <w:right w:val="single" w:sz="4" w:space="0" w:color="auto"/>
            </w:tcBorders>
            <w:shd w:val="clear" w:color="auto" w:fill="auto"/>
            <w:noWrap/>
            <w:vAlign w:val="bottom"/>
            <w:hideMark/>
          </w:tcPr>
          <w:p w14:paraId="41DE2E79" w14:textId="77777777" w:rsidR="00D96284" w:rsidRPr="000B0777" w:rsidRDefault="5F884969" w:rsidP="5F884969">
            <w:pPr>
              <w:spacing w:after="0"/>
              <w:rPr>
                <w:rFonts w:ascii="Calibri" w:eastAsia="Times New Roman" w:hAnsi="Calibri"/>
                <w:i/>
                <w:iCs/>
                <w:color w:val="000000" w:themeColor="text1"/>
              </w:rPr>
            </w:pPr>
            <w:r w:rsidRPr="5F884969">
              <w:rPr>
                <w:rFonts w:ascii="Calibri" w:eastAsia="Times New Roman" w:hAnsi="Calibri"/>
                <w:i/>
                <w:iCs/>
                <w:color w:val="000000" w:themeColor="text1"/>
              </w:rPr>
              <w:t>Total</w:t>
            </w:r>
          </w:p>
        </w:tc>
        <w:tc>
          <w:tcPr>
            <w:tcW w:w="1159" w:type="dxa"/>
            <w:tcBorders>
              <w:top w:val="nil"/>
              <w:left w:val="nil"/>
              <w:bottom w:val="single" w:sz="4" w:space="0" w:color="auto"/>
              <w:right w:val="single" w:sz="4" w:space="0" w:color="auto"/>
            </w:tcBorders>
            <w:shd w:val="clear" w:color="auto" w:fill="auto"/>
            <w:noWrap/>
            <w:vAlign w:val="center"/>
            <w:hideMark/>
          </w:tcPr>
          <w:p w14:paraId="03A9A344"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4,440</w:t>
            </w:r>
          </w:p>
        </w:tc>
        <w:tc>
          <w:tcPr>
            <w:tcW w:w="1361" w:type="dxa"/>
            <w:tcBorders>
              <w:top w:val="nil"/>
              <w:left w:val="nil"/>
              <w:bottom w:val="single" w:sz="4" w:space="0" w:color="auto"/>
              <w:right w:val="single" w:sz="4" w:space="0" w:color="auto"/>
            </w:tcBorders>
            <w:shd w:val="clear" w:color="auto" w:fill="auto"/>
            <w:noWrap/>
            <w:vAlign w:val="center"/>
            <w:hideMark/>
          </w:tcPr>
          <w:p w14:paraId="1DE909DF"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16,425</w:t>
            </w:r>
          </w:p>
        </w:tc>
        <w:tc>
          <w:tcPr>
            <w:tcW w:w="1170" w:type="dxa"/>
            <w:tcBorders>
              <w:top w:val="nil"/>
              <w:left w:val="nil"/>
              <w:bottom w:val="single" w:sz="4" w:space="0" w:color="auto"/>
              <w:right w:val="single" w:sz="4" w:space="0" w:color="auto"/>
            </w:tcBorders>
            <w:shd w:val="clear" w:color="auto" w:fill="auto"/>
            <w:noWrap/>
            <w:vAlign w:val="center"/>
            <w:hideMark/>
          </w:tcPr>
          <w:p w14:paraId="102C8343"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27.03%</w:t>
            </w:r>
          </w:p>
        </w:tc>
        <w:tc>
          <w:tcPr>
            <w:tcW w:w="1260" w:type="dxa"/>
            <w:tcBorders>
              <w:top w:val="nil"/>
              <w:left w:val="nil"/>
              <w:bottom w:val="single" w:sz="4" w:space="0" w:color="auto"/>
              <w:right w:val="single" w:sz="4" w:space="0" w:color="auto"/>
            </w:tcBorders>
            <w:shd w:val="clear" w:color="auto" w:fill="auto"/>
            <w:noWrap/>
            <w:vAlign w:val="center"/>
            <w:hideMark/>
          </w:tcPr>
          <w:p w14:paraId="16B44D40"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14,370</w:t>
            </w:r>
          </w:p>
        </w:tc>
        <w:tc>
          <w:tcPr>
            <w:tcW w:w="1266" w:type="dxa"/>
            <w:tcBorders>
              <w:top w:val="nil"/>
              <w:left w:val="nil"/>
              <w:bottom w:val="single" w:sz="4" w:space="0" w:color="auto"/>
              <w:right w:val="single" w:sz="4" w:space="0" w:color="auto"/>
            </w:tcBorders>
            <w:shd w:val="clear" w:color="auto" w:fill="auto"/>
            <w:noWrap/>
            <w:vAlign w:val="center"/>
            <w:hideMark/>
          </w:tcPr>
          <w:p w14:paraId="1E0454A9"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84,225</w:t>
            </w:r>
          </w:p>
        </w:tc>
        <w:tc>
          <w:tcPr>
            <w:tcW w:w="1355" w:type="dxa"/>
            <w:tcBorders>
              <w:top w:val="nil"/>
              <w:left w:val="nil"/>
              <w:bottom w:val="single" w:sz="4" w:space="0" w:color="auto"/>
              <w:right w:val="single" w:sz="4" w:space="0" w:color="auto"/>
            </w:tcBorders>
            <w:shd w:val="clear" w:color="auto" w:fill="auto"/>
            <w:noWrap/>
            <w:vAlign w:val="center"/>
            <w:hideMark/>
          </w:tcPr>
          <w:p w14:paraId="2730AB04" w14:textId="77777777" w:rsidR="00D96284" w:rsidRPr="000B0777"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17.06%</w:t>
            </w:r>
          </w:p>
        </w:tc>
      </w:tr>
    </w:tbl>
    <w:p w14:paraId="6D9DA3CB" w14:textId="082FD3B2" w:rsidR="00EB56F9" w:rsidRPr="00210EF0" w:rsidRDefault="00EB56F9" w:rsidP="00D96284">
      <w:pPr>
        <w:widowControl w:val="0"/>
        <w:autoSpaceDE w:val="0"/>
        <w:autoSpaceDN w:val="0"/>
        <w:adjustRightInd w:val="0"/>
        <w:spacing w:after="120" w:line="240" w:lineRule="auto"/>
        <w:rPr>
          <w:rFonts w:ascii="Calibri" w:hAnsi="Calibri" w:cs="Calibri"/>
          <w:b/>
          <w:bCs/>
          <w:color w:val="000000"/>
          <w:sz w:val="20"/>
          <w:szCs w:val="20"/>
        </w:rPr>
      </w:pPr>
    </w:p>
    <w:p w14:paraId="1F7477CE" w14:textId="55EB3E3A" w:rsidR="00A67AB1" w:rsidRPr="00286BCE" w:rsidRDefault="00210EF0" w:rsidP="5F884969">
      <w:pPr>
        <w:widowControl w:val="0"/>
        <w:autoSpaceDE w:val="0"/>
        <w:autoSpaceDN w:val="0"/>
        <w:adjustRightInd w:val="0"/>
        <w:ind w:left="540"/>
        <w:rPr>
          <w:rFonts w:ascii="Calibri" w:hAnsi="Calibri" w:cs="Times"/>
          <w:color w:val="FF0000"/>
        </w:rPr>
      </w:pPr>
      <w:r>
        <w:rPr>
          <w:rFonts w:ascii="Calibri" w:hAnsi="Calibri" w:cs="Times"/>
          <w:color w:val="000000" w:themeColor="text1"/>
        </w:rPr>
        <w:t>In table 17</w:t>
      </w:r>
      <w:r w:rsidR="5F884969" w:rsidRPr="5F884969">
        <w:rPr>
          <w:rFonts w:ascii="Calibri" w:hAnsi="Calibri" w:cs="Times"/>
          <w:color w:val="000000" w:themeColor="text1"/>
        </w:rPr>
        <w:t xml:space="preserve">, we specifically examine the demographics of households experiencing severe housing cost burden. According to HUD, housing cost burden is defined as </w:t>
      </w:r>
      <w:r w:rsidR="5F884969" w:rsidRPr="5F884969">
        <w:rPr>
          <w:rFonts w:ascii="Calibri" w:hAnsi="Calibri" w:cs="Times"/>
        </w:rPr>
        <w:t xml:space="preserve">“monthly housing costs (including utilities) exceeding 50% monthly income”.  This differs from the lower half of </w:t>
      </w:r>
      <w:r w:rsidR="008C39DB">
        <w:rPr>
          <w:rFonts w:ascii="Calibri" w:hAnsi="Calibri" w:cs="Times"/>
        </w:rPr>
        <w:t>table 16</w:t>
      </w:r>
      <w:r w:rsidR="5F884969" w:rsidRPr="5F884969">
        <w:rPr>
          <w:rFonts w:ascii="Calibri" w:hAnsi="Calibri" w:cs="Times"/>
        </w:rPr>
        <w:t xml:space="preserve"> because it does not include the other 3 housing problems, instead focusing only on severe housing cost.</w:t>
      </w:r>
    </w:p>
    <w:p w14:paraId="21386852" w14:textId="57A80A48" w:rsidR="00D96284" w:rsidRDefault="00210EF0" w:rsidP="5F884969">
      <w:pPr>
        <w:spacing w:after="0"/>
        <w:rPr>
          <w:rFonts w:ascii="Calibri" w:hAnsi="Calibri" w:cs="Calibri"/>
          <w:sz w:val="20"/>
          <w:szCs w:val="20"/>
        </w:rPr>
      </w:pPr>
      <w:r>
        <w:rPr>
          <w:rFonts w:ascii="Calibri" w:hAnsi="Calibri" w:cs="Calibri"/>
          <w:b/>
          <w:bCs/>
          <w:i/>
          <w:iCs/>
          <w:sz w:val="20"/>
          <w:szCs w:val="20"/>
        </w:rPr>
        <w:t>Table 17</w:t>
      </w:r>
      <w:r w:rsidR="5F884969" w:rsidRPr="5F884969">
        <w:rPr>
          <w:rFonts w:ascii="Calibri" w:hAnsi="Calibri" w:cs="Calibri"/>
          <w:b/>
          <w:bCs/>
          <w:i/>
          <w:iCs/>
          <w:sz w:val="20"/>
          <w:szCs w:val="20"/>
        </w:rPr>
        <w:t>:</w:t>
      </w:r>
      <w:r w:rsidR="5F884969" w:rsidRPr="5F884969">
        <w:rPr>
          <w:rFonts w:ascii="Calibri" w:hAnsi="Calibri" w:cs="Calibri"/>
          <w:sz w:val="20"/>
          <w:szCs w:val="20"/>
        </w:rPr>
        <w:t xml:space="preserve"> Demographics of Households experiencing server housing cost burden. Source: CHAS. </w:t>
      </w:r>
    </w:p>
    <w:tbl>
      <w:tblPr>
        <w:tblW w:w="10607" w:type="dxa"/>
        <w:jc w:val="center"/>
        <w:tblLayout w:type="fixed"/>
        <w:tblLook w:val="04A0" w:firstRow="1" w:lastRow="0" w:firstColumn="1" w:lastColumn="0" w:noHBand="0" w:noVBand="1"/>
      </w:tblPr>
      <w:tblGrid>
        <w:gridCol w:w="2416"/>
        <w:gridCol w:w="1350"/>
        <w:gridCol w:w="1440"/>
        <w:gridCol w:w="1260"/>
        <w:gridCol w:w="1350"/>
        <w:gridCol w:w="1368"/>
        <w:gridCol w:w="1423"/>
      </w:tblGrid>
      <w:tr w:rsidR="0087422D" w14:paraId="192F77E2" w14:textId="77777777" w:rsidTr="5F884969">
        <w:trPr>
          <w:trHeight w:val="420"/>
          <w:jc w:val="center"/>
        </w:trPr>
        <w:tc>
          <w:tcPr>
            <w:tcW w:w="1060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1EE4B" w14:textId="4C952196" w:rsidR="0087422D" w:rsidRPr="003360BC" w:rsidRDefault="00210EF0" w:rsidP="5F884969">
            <w:pPr>
              <w:spacing w:after="0"/>
              <w:rPr>
                <w:rFonts w:ascii="Calibri" w:eastAsia="Times New Roman" w:hAnsi="Calibri"/>
                <w:b/>
                <w:bCs/>
                <w:color w:val="000000" w:themeColor="text1"/>
              </w:rPr>
            </w:pPr>
            <w:r>
              <w:rPr>
                <w:rFonts w:ascii="Calibri" w:eastAsia="Times New Roman" w:hAnsi="Calibri"/>
                <w:b/>
                <w:bCs/>
                <w:color w:val="000000" w:themeColor="text1"/>
              </w:rPr>
              <w:t>Table 17</w:t>
            </w:r>
            <w:r w:rsidR="5F884969" w:rsidRPr="5F884969">
              <w:rPr>
                <w:rFonts w:ascii="Calibri" w:eastAsia="Times New Roman" w:hAnsi="Calibri"/>
                <w:b/>
                <w:bCs/>
                <w:color w:val="000000" w:themeColor="text1"/>
              </w:rPr>
              <w:t>: Demographics of Households with Severe Housing Cost Burden</w:t>
            </w:r>
          </w:p>
        </w:tc>
      </w:tr>
      <w:tr w:rsidR="0087422D" w14:paraId="3BDC423C" w14:textId="77777777" w:rsidTr="5F884969">
        <w:trPr>
          <w:trHeight w:val="865"/>
          <w:jc w:val="center"/>
        </w:trPr>
        <w:tc>
          <w:tcPr>
            <w:tcW w:w="2416" w:type="dxa"/>
            <w:tcBorders>
              <w:top w:val="nil"/>
              <w:left w:val="single" w:sz="4" w:space="0" w:color="auto"/>
              <w:bottom w:val="single" w:sz="4" w:space="0" w:color="auto"/>
              <w:right w:val="single" w:sz="4" w:space="0" w:color="auto"/>
            </w:tcBorders>
            <w:shd w:val="clear" w:color="auto" w:fill="auto"/>
            <w:vAlign w:val="center"/>
            <w:hideMark/>
          </w:tcPr>
          <w:p w14:paraId="4D16DB43" w14:textId="77777777" w:rsidR="0087422D" w:rsidRPr="003360BC"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Households with Severe Housing Cost Burden</w:t>
            </w:r>
          </w:p>
        </w:tc>
        <w:tc>
          <w:tcPr>
            <w:tcW w:w="4050" w:type="dxa"/>
            <w:gridSpan w:val="3"/>
            <w:tcBorders>
              <w:top w:val="single" w:sz="4" w:space="0" w:color="auto"/>
              <w:left w:val="nil"/>
              <w:bottom w:val="single" w:sz="4" w:space="0" w:color="auto"/>
              <w:right w:val="single" w:sz="4" w:space="0" w:color="auto"/>
            </w:tcBorders>
            <w:shd w:val="clear" w:color="auto" w:fill="auto"/>
            <w:vAlign w:val="center"/>
            <w:hideMark/>
          </w:tcPr>
          <w:p w14:paraId="00E68218" w14:textId="77777777" w:rsidR="0087422D" w:rsidRPr="003360BC"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Burlington</w:t>
            </w:r>
          </w:p>
        </w:tc>
        <w:tc>
          <w:tcPr>
            <w:tcW w:w="4141" w:type="dxa"/>
            <w:gridSpan w:val="3"/>
            <w:tcBorders>
              <w:top w:val="single" w:sz="4" w:space="0" w:color="auto"/>
              <w:left w:val="nil"/>
              <w:bottom w:val="single" w:sz="4" w:space="0" w:color="auto"/>
              <w:right w:val="single" w:sz="4" w:space="0" w:color="auto"/>
            </w:tcBorders>
            <w:shd w:val="clear" w:color="auto" w:fill="auto"/>
            <w:vAlign w:val="center"/>
            <w:hideMark/>
          </w:tcPr>
          <w:p w14:paraId="261983A6" w14:textId="77777777" w:rsidR="0087422D" w:rsidRPr="003360BC"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Burlington-South Burlington Region</w:t>
            </w:r>
          </w:p>
        </w:tc>
      </w:tr>
      <w:tr w:rsidR="0087422D" w14:paraId="3827F2B3" w14:textId="77777777" w:rsidTr="5F884969">
        <w:trPr>
          <w:trHeight w:val="940"/>
          <w:jc w:val="center"/>
        </w:trPr>
        <w:tc>
          <w:tcPr>
            <w:tcW w:w="2416" w:type="dxa"/>
            <w:tcBorders>
              <w:top w:val="nil"/>
              <w:left w:val="single" w:sz="4" w:space="0" w:color="auto"/>
              <w:bottom w:val="single" w:sz="4" w:space="0" w:color="auto"/>
              <w:right w:val="single" w:sz="4" w:space="0" w:color="auto"/>
            </w:tcBorders>
            <w:shd w:val="clear" w:color="auto" w:fill="DCE6F1"/>
            <w:noWrap/>
            <w:vAlign w:val="center"/>
            <w:hideMark/>
          </w:tcPr>
          <w:p w14:paraId="0BE5CF5B" w14:textId="77777777" w:rsidR="0087422D" w:rsidRPr="003360BC"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Race/Ethnicity</w:t>
            </w:r>
          </w:p>
        </w:tc>
        <w:tc>
          <w:tcPr>
            <w:tcW w:w="1350" w:type="dxa"/>
            <w:tcBorders>
              <w:top w:val="nil"/>
              <w:left w:val="nil"/>
              <w:bottom w:val="single" w:sz="4" w:space="0" w:color="auto"/>
              <w:right w:val="single" w:sz="4" w:space="0" w:color="auto"/>
            </w:tcBorders>
            <w:shd w:val="clear" w:color="auto" w:fill="DCE6F1"/>
            <w:vAlign w:val="center"/>
            <w:hideMark/>
          </w:tcPr>
          <w:p w14:paraId="0A507FDF" w14:textId="77777777" w:rsidR="0087422D" w:rsidRPr="003360BC"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severe cost burden</w:t>
            </w:r>
          </w:p>
        </w:tc>
        <w:tc>
          <w:tcPr>
            <w:tcW w:w="1440" w:type="dxa"/>
            <w:tcBorders>
              <w:top w:val="nil"/>
              <w:left w:val="nil"/>
              <w:bottom w:val="single" w:sz="4" w:space="0" w:color="auto"/>
              <w:right w:val="single" w:sz="4" w:space="0" w:color="auto"/>
            </w:tcBorders>
            <w:shd w:val="clear" w:color="auto" w:fill="DCE6F1"/>
            <w:vAlign w:val="center"/>
            <w:hideMark/>
          </w:tcPr>
          <w:p w14:paraId="4D464F20" w14:textId="77777777" w:rsidR="0087422D" w:rsidRPr="003360BC"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households</w:t>
            </w:r>
          </w:p>
        </w:tc>
        <w:tc>
          <w:tcPr>
            <w:tcW w:w="1260" w:type="dxa"/>
            <w:tcBorders>
              <w:top w:val="nil"/>
              <w:left w:val="nil"/>
              <w:bottom w:val="single" w:sz="4" w:space="0" w:color="auto"/>
              <w:right w:val="single" w:sz="4" w:space="0" w:color="auto"/>
            </w:tcBorders>
            <w:shd w:val="clear" w:color="auto" w:fill="DCE6F1"/>
            <w:vAlign w:val="center"/>
            <w:hideMark/>
          </w:tcPr>
          <w:p w14:paraId="1D56528C" w14:textId="77777777" w:rsidR="0087422D" w:rsidRPr="003360BC"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severe cost burden</w:t>
            </w:r>
          </w:p>
        </w:tc>
        <w:tc>
          <w:tcPr>
            <w:tcW w:w="1350" w:type="dxa"/>
            <w:tcBorders>
              <w:top w:val="nil"/>
              <w:left w:val="nil"/>
              <w:bottom w:val="single" w:sz="4" w:space="0" w:color="auto"/>
              <w:right w:val="single" w:sz="4" w:space="0" w:color="auto"/>
            </w:tcBorders>
            <w:shd w:val="clear" w:color="auto" w:fill="DCE6F1"/>
            <w:vAlign w:val="center"/>
            <w:hideMark/>
          </w:tcPr>
          <w:p w14:paraId="13A9891F" w14:textId="77777777" w:rsidR="0087422D" w:rsidRPr="003360BC"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severe cost burden</w:t>
            </w:r>
          </w:p>
        </w:tc>
        <w:tc>
          <w:tcPr>
            <w:tcW w:w="1368" w:type="dxa"/>
            <w:tcBorders>
              <w:top w:val="nil"/>
              <w:left w:val="nil"/>
              <w:bottom w:val="single" w:sz="4" w:space="0" w:color="auto"/>
              <w:right w:val="single" w:sz="4" w:space="0" w:color="auto"/>
            </w:tcBorders>
            <w:shd w:val="clear" w:color="auto" w:fill="DCE6F1"/>
            <w:vAlign w:val="center"/>
            <w:hideMark/>
          </w:tcPr>
          <w:p w14:paraId="69FE2FF1" w14:textId="77777777" w:rsidR="0087422D" w:rsidRPr="003360BC"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households</w:t>
            </w:r>
          </w:p>
        </w:tc>
        <w:tc>
          <w:tcPr>
            <w:tcW w:w="1423" w:type="dxa"/>
            <w:tcBorders>
              <w:top w:val="nil"/>
              <w:left w:val="nil"/>
              <w:bottom w:val="single" w:sz="4" w:space="0" w:color="auto"/>
              <w:right w:val="single" w:sz="4" w:space="0" w:color="auto"/>
            </w:tcBorders>
            <w:shd w:val="clear" w:color="auto" w:fill="DCE6F1"/>
            <w:vAlign w:val="center"/>
            <w:hideMark/>
          </w:tcPr>
          <w:p w14:paraId="57822DE8" w14:textId="77777777" w:rsidR="0087422D" w:rsidRPr="003360BC" w:rsidRDefault="5F884969" w:rsidP="5F884969">
            <w:pPr>
              <w:spacing w:after="0"/>
              <w:jc w:val="center"/>
              <w:rPr>
                <w:rFonts w:ascii="Calibri" w:eastAsia="Times New Roman" w:hAnsi="Calibri"/>
                <w:b/>
                <w:bCs/>
                <w:color w:val="000000" w:themeColor="text1"/>
              </w:rPr>
            </w:pPr>
            <w:r w:rsidRPr="5F884969">
              <w:rPr>
                <w:rFonts w:ascii="Calibri" w:eastAsia="Times New Roman" w:hAnsi="Calibri"/>
                <w:b/>
                <w:bCs/>
                <w:color w:val="000000" w:themeColor="text1"/>
              </w:rPr>
              <w:t>% with severe cost burden</w:t>
            </w:r>
          </w:p>
        </w:tc>
      </w:tr>
      <w:tr w:rsidR="0087422D" w14:paraId="1C7ABE08" w14:textId="77777777" w:rsidTr="5F884969">
        <w:trPr>
          <w:trHeight w:val="445"/>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6F969990" w14:textId="77777777" w:rsidR="0087422D" w:rsidRPr="003360BC"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White, Non-Hispanic</w:t>
            </w:r>
          </w:p>
        </w:tc>
        <w:tc>
          <w:tcPr>
            <w:tcW w:w="1350" w:type="dxa"/>
            <w:tcBorders>
              <w:top w:val="nil"/>
              <w:left w:val="nil"/>
              <w:bottom w:val="single" w:sz="4" w:space="0" w:color="auto"/>
              <w:right w:val="single" w:sz="4" w:space="0" w:color="auto"/>
            </w:tcBorders>
            <w:shd w:val="clear" w:color="auto" w:fill="auto"/>
            <w:noWrap/>
            <w:vAlign w:val="center"/>
            <w:hideMark/>
          </w:tcPr>
          <w:p w14:paraId="7F8E0FA9"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3,540</w:t>
            </w:r>
          </w:p>
        </w:tc>
        <w:tc>
          <w:tcPr>
            <w:tcW w:w="1440" w:type="dxa"/>
            <w:tcBorders>
              <w:top w:val="nil"/>
              <w:left w:val="nil"/>
              <w:bottom w:val="single" w:sz="4" w:space="0" w:color="auto"/>
              <w:right w:val="single" w:sz="4" w:space="0" w:color="auto"/>
            </w:tcBorders>
            <w:shd w:val="clear" w:color="auto" w:fill="auto"/>
            <w:noWrap/>
            <w:vAlign w:val="center"/>
            <w:hideMark/>
          </w:tcPr>
          <w:p w14:paraId="07FBCB65"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14,648</w:t>
            </w:r>
          </w:p>
        </w:tc>
        <w:tc>
          <w:tcPr>
            <w:tcW w:w="1260" w:type="dxa"/>
            <w:tcBorders>
              <w:top w:val="nil"/>
              <w:left w:val="nil"/>
              <w:bottom w:val="single" w:sz="4" w:space="0" w:color="auto"/>
              <w:right w:val="single" w:sz="4" w:space="0" w:color="auto"/>
            </w:tcBorders>
            <w:shd w:val="clear" w:color="auto" w:fill="auto"/>
            <w:noWrap/>
            <w:vAlign w:val="center"/>
            <w:hideMark/>
          </w:tcPr>
          <w:p w14:paraId="61B6A50D"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24.17%</w:t>
            </w:r>
          </w:p>
        </w:tc>
        <w:tc>
          <w:tcPr>
            <w:tcW w:w="1350" w:type="dxa"/>
            <w:tcBorders>
              <w:top w:val="nil"/>
              <w:left w:val="nil"/>
              <w:bottom w:val="single" w:sz="4" w:space="0" w:color="auto"/>
              <w:right w:val="single" w:sz="4" w:space="0" w:color="auto"/>
            </w:tcBorders>
            <w:shd w:val="clear" w:color="auto" w:fill="auto"/>
            <w:noWrap/>
            <w:vAlign w:val="center"/>
            <w:hideMark/>
          </w:tcPr>
          <w:p w14:paraId="36E6C8E0"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11,745</w:t>
            </w:r>
          </w:p>
        </w:tc>
        <w:tc>
          <w:tcPr>
            <w:tcW w:w="1368" w:type="dxa"/>
            <w:tcBorders>
              <w:top w:val="nil"/>
              <w:left w:val="nil"/>
              <w:bottom w:val="single" w:sz="4" w:space="0" w:color="auto"/>
              <w:right w:val="single" w:sz="4" w:space="0" w:color="auto"/>
            </w:tcBorders>
            <w:shd w:val="clear" w:color="auto" w:fill="auto"/>
            <w:noWrap/>
            <w:vAlign w:val="center"/>
            <w:hideMark/>
          </w:tcPr>
          <w:p w14:paraId="4EB51B75"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79,387</w:t>
            </w:r>
          </w:p>
        </w:tc>
        <w:tc>
          <w:tcPr>
            <w:tcW w:w="1423" w:type="dxa"/>
            <w:tcBorders>
              <w:top w:val="nil"/>
              <w:left w:val="nil"/>
              <w:bottom w:val="single" w:sz="4" w:space="0" w:color="auto"/>
              <w:right w:val="single" w:sz="4" w:space="0" w:color="auto"/>
            </w:tcBorders>
            <w:shd w:val="clear" w:color="auto" w:fill="auto"/>
            <w:noWrap/>
            <w:vAlign w:val="center"/>
            <w:hideMark/>
          </w:tcPr>
          <w:p w14:paraId="14EB286E"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14.79%</w:t>
            </w:r>
          </w:p>
        </w:tc>
      </w:tr>
      <w:tr w:rsidR="0087422D" w14:paraId="17DDA013" w14:textId="77777777" w:rsidTr="5F884969">
        <w:trPr>
          <w:trHeight w:val="420"/>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2BD909FB" w14:textId="77777777" w:rsidR="0087422D" w:rsidRPr="003360BC"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Black, Non-Hispanic</w:t>
            </w:r>
          </w:p>
        </w:tc>
        <w:tc>
          <w:tcPr>
            <w:tcW w:w="1350" w:type="dxa"/>
            <w:tcBorders>
              <w:top w:val="nil"/>
              <w:left w:val="nil"/>
              <w:bottom w:val="single" w:sz="4" w:space="0" w:color="auto"/>
              <w:right w:val="single" w:sz="4" w:space="0" w:color="auto"/>
            </w:tcBorders>
            <w:shd w:val="clear" w:color="auto" w:fill="auto"/>
            <w:noWrap/>
            <w:vAlign w:val="center"/>
            <w:hideMark/>
          </w:tcPr>
          <w:p w14:paraId="4060AA31"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129</w:t>
            </w:r>
          </w:p>
        </w:tc>
        <w:tc>
          <w:tcPr>
            <w:tcW w:w="1440" w:type="dxa"/>
            <w:tcBorders>
              <w:top w:val="nil"/>
              <w:left w:val="nil"/>
              <w:bottom w:val="single" w:sz="4" w:space="0" w:color="auto"/>
              <w:right w:val="single" w:sz="4" w:space="0" w:color="auto"/>
            </w:tcBorders>
            <w:shd w:val="clear" w:color="auto" w:fill="auto"/>
            <w:noWrap/>
            <w:vAlign w:val="center"/>
            <w:hideMark/>
          </w:tcPr>
          <w:p w14:paraId="576DE2A1"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489</w:t>
            </w:r>
          </w:p>
        </w:tc>
        <w:tc>
          <w:tcPr>
            <w:tcW w:w="1260" w:type="dxa"/>
            <w:tcBorders>
              <w:top w:val="nil"/>
              <w:left w:val="nil"/>
              <w:bottom w:val="single" w:sz="4" w:space="0" w:color="auto"/>
              <w:right w:val="single" w:sz="4" w:space="0" w:color="auto"/>
            </w:tcBorders>
            <w:shd w:val="clear" w:color="auto" w:fill="auto"/>
            <w:noWrap/>
            <w:vAlign w:val="center"/>
            <w:hideMark/>
          </w:tcPr>
          <w:p w14:paraId="2D9C299C"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26.38%</w:t>
            </w:r>
          </w:p>
        </w:tc>
        <w:tc>
          <w:tcPr>
            <w:tcW w:w="1350" w:type="dxa"/>
            <w:tcBorders>
              <w:top w:val="nil"/>
              <w:left w:val="nil"/>
              <w:bottom w:val="single" w:sz="4" w:space="0" w:color="auto"/>
              <w:right w:val="single" w:sz="4" w:space="0" w:color="auto"/>
            </w:tcBorders>
            <w:shd w:val="clear" w:color="auto" w:fill="auto"/>
            <w:noWrap/>
            <w:vAlign w:val="center"/>
            <w:hideMark/>
          </w:tcPr>
          <w:p w14:paraId="5AF50775"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234</w:t>
            </w:r>
          </w:p>
        </w:tc>
        <w:tc>
          <w:tcPr>
            <w:tcW w:w="1368" w:type="dxa"/>
            <w:tcBorders>
              <w:top w:val="nil"/>
              <w:left w:val="nil"/>
              <w:bottom w:val="single" w:sz="4" w:space="0" w:color="auto"/>
              <w:right w:val="single" w:sz="4" w:space="0" w:color="auto"/>
            </w:tcBorders>
            <w:shd w:val="clear" w:color="auto" w:fill="auto"/>
            <w:noWrap/>
            <w:vAlign w:val="center"/>
            <w:hideMark/>
          </w:tcPr>
          <w:p w14:paraId="052BFFC7"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1,032</w:t>
            </w:r>
          </w:p>
        </w:tc>
        <w:tc>
          <w:tcPr>
            <w:tcW w:w="1423" w:type="dxa"/>
            <w:tcBorders>
              <w:top w:val="nil"/>
              <w:left w:val="nil"/>
              <w:bottom w:val="single" w:sz="4" w:space="0" w:color="auto"/>
              <w:right w:val="single" w:sz="4" w:space="0" w:color="auto"/>
            </w:tcBorders>
            <w:shd w:val="clear" w:color="auto" w:fill="auto"/>
            <w:noWrap/>
            <w:vAlign w:val="center"/>
            <w:hideMark/>
          </w:tcPr>
          <w:p w14:paraId="04003AD5"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22.67%</w:t>
            </w:r>
          </w:p>
        </w:tc>
      </w:tr>
      <w:tr w:rsidR="0087422D" w14:paraId="2D89B371" w14:textId="77777777" w:rsidTr="5F884969">
        <w:trPr>
          <w:trHeight w:val="420"/>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2C52B033" w14:textId="77777777" w:rsidR="0087422D" w:rsidRPr="003360BC"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Hispanic</w:t>
            </w:r>
          </w:p>
        </w:tc>
        <w:tc>
          <w:tcPr>
            <w:tcW w:w="1350" w:type="dxa"/>
            <w:tcBorders>
              <w:top w:val="nil"/>
              <w:left w:val="nil"/>
              <w:bottom w:val="single" w:sz="4" w:space="0" w:color="auto"/>
              <w:right w:val="single" w:sz="4" w:space="0" w:color="auto"/>
            </w:tcBorders>
            <w:shd w:val="clear" w:color="auto" w:fill="auto"/>
            <w:noWrap/>
            <w:vAlign w:val="center"/>
            <w:hideMark/>
          </w:tcPr>
          <w:p w14:paraId="7B3E7050"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40</w:t>
            </w:r>
          </w:p>
        </w:tc>
        <w:tc>
          <w:tcPr>
            <w:tcW w:w="1440" w:type="dxa"/>
            <w:tcBorders>
              <w:top w:val="nil"/>
              <w:left w:val="nil"/>
              <w:bottom w:val="single" w:sz="4" w:space="0" w:color="auto"/>
              <w:right w:val="single" w:sz="4" w:space="0" w:color="auto"/>
            </w:tcBorders>
            <w:shd w:val="clear" w:color="auto" w:fill="auto"/>
            <w:noWrap/>
            <w:vAlign w:val="center"/>
            <w:hideMark/>
          </w:tcPr>
          <w:p w14:paraId="25679A76"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374</w:t>
            </w:r>
          </w:p>
        </w:tc>
        <w:tc>
          <w:tcPr>
            <w:tcW w:w="1260" w:type="dxa"/>
            <w:tcBorders>
              <w:top w:val="nil"/>
              <w:left w:val="nil"/>
              <w:bottom w:val="single" w:sz="4" w:space="0" w:color="auto"/>
              <w:right w:val="single" w:sz="4" w:space="0" w:color="auto"/>
            </w:tcBorders>
            <w:shd w:val="clear" w:color="auto" w:fill="auto"/>
            <w:noWrap/>
            <w:vAlign w:val="center"/>
            <w:hideMark/>
          </w:tcPr>
          <w:p w14:paraId="129D5BD7"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10.70%</w:t>
            </w:r>
          </w:p>
        </w:tc>
        <w:tc>
          <w:tcPr>
            <w:tcW w:w="1350" w:type="dxa"/>
            <w:tcBorders>
              <w:top w:val="nil"/>
              <w:left w:val="nil"/>
              <w:bottom w:val="single" w:sz="4" w:space="0" w:color="auto"/>
              <w:right w:val="single" w:sz="4" w:space="0" w:color="auto"/>
            </w:tcBorders>
            <w:shd w:val="clear" w:color="auto" w:fill="auto"/>
            <w:noWrap/>
            <w:vAlign w:val="center"/>
            <w:hideMark/>
          </w:tcPr>
          <w:p w14:paraId="39D8F8B5"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155</w:t>
            </w:r>
          </w:p>
        </w:tc>
        <w:tc>
          <w:tcPr>
            <w:tcW w:w="1368" w:type="dxa"/>
            <w:tcBorders>
              <w:top w:val="nil"/>
              <w:left w:val="nil"/>
              <w:bottom w:val="single" w:sz="4" w:space="0" w:color="auto"/>
              <w:right w:val="single" w:sz="4" w:space="0" w:color="auto"/>
            </w:tcBorders>
            <w:shd w:val="clear" w:color="auto" w:fill="auto"/>
            <w:noWrap/>
            <w:vAlign w:val="center"/>
            <w:hideMark/>
          </w:tcPr>
          <w:p w14:paraId="53CA1B08"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999</w:t>
            </w:r>
          </w:p>
        </w:tc>
        <w:tc>
          <w:tcPr>
            <w:tcW w:w="1423" w:type="dxa"/>
            <w:tcBorders>
              <w:top w:val="nil"/>
              <w:left w:val="nil"/>
              <w:bottom w:val="single" w:sz="4" w:space="0" w:color="auto"/>
              <w:right w:val="single" w:sz="4" w:space="0" w:color="auto"/>
            </w:tcBorders>
            <w:shd w:val="clear" w:color="auto" w:fill="auto"/>
            <w:noWrap/>
            <w:vAlign w:val="center"/>
            <w:hideMark/>
          </w:tcPr>
          <w:p w14:paraId="0B7BF599"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15.52%</w:t>
            </w:r>
          </w:p>
        </w:tc>
      </w:tr>
      <w:tr w:rsidR="0087422D" w14:paraId="6EBD98F4" w14:textId="77777777" w:rsidTr="5F884969">
        <w:trPr>
          <w:trHeight w:val="420"/>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16B5CD1F" w14:textId="77777777" w:rsidR="0087422D" w:rsidRPr="003360BC"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Asian or Pacific Islander, Non-Hispanic</w:t>
            </w:r>
          </w:p>
        </w:tc>
        <w:tc>
          <w:tcPr>
            <w:tcW w:w="1350" w:type="dxa"/>
            <w:tcBorders>
              <w:top w:val="nil"/>
              <w:left w:val="nil"/>
              <w:bottom w:val="single" w:sz="4" w:space="0" w:color="auto"/>
              <w:right w:val="single" w:sz="4" w:space="0" w:color="auto"/>
            </w:tcBorders>
            <w:shd w:val="clear" w:color="auto" w:fill="auto"/>
            <w:noWrap/>
            <w:vAlign w:val="center"/>
            <w:hideMark/>
          </w:tcPr>
          <w:p w14:paraId="578AD449"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200</w:t>
            </w:r>
          </w:p>
        </w:tc>
        <w:tc>
          <w:tcPr>
            <w:tcW w:w="1440" w:type="dxa"/>
            <w:tcBorders>
              <w:top w:val="nil"/>
              <w:left w:val="nil"/>
              <w:bottom w:val="single" w:sz="4" w:space="0" w:color="auto"/>
              <w:right w:val="single" w:sz="4" w:space="0" w:color="auto"/>
            </w:tcBorders>
            <w:shd w:val="clear" w:color="auto" w:fill="auto"/>
            <w:noWrap/>
            <w:vAlign w:val="center"/>
            <w:hideMark/>
          </w:tcPr>
          <w:p w14:paraId="03FECCF0"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584</w:t>
            </w:r>
          </w:p>
        </w:tc>
        <w:tc>
          <w:tcPr>
            <w:tcW w:w="1260" w:type="dxa"/>
            <w:tcBorders>
              <w:top w:val="nil"/>
              <w:left w:val="nil"/>
              <w:bottom w:val="single" w:sz="4" w:space="0" w:color="auto"/>
              <w:right w:val="single" w:sz="4" w:space="0" w:color="auto"/>
            </w:tcBorders>
            <w:shd w:val="clear" w:color="auto" w:fill="auto"/>
            <w:noWrap/>
            <w:vAlign w:val="center"/>
            <w:hideMark/>
          </w:tcPr>
          <w:p w14:paraId="6108D38D"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34.25%</w:t>
            </w:r>
          </w:p>
        </w:tc>
        <w:tc>
          <w:tcPr>
            <w:tcW w:w="1350" w:type="dxa"/>
            <w:tcBorders>
              <w:top w:val="nil"/>
              <w:left w:val="nil"/>
              <w:bottom w:val="single" w:sz="4" w:space="0" w:color="auto"/>
              <w:right w:val="single" w:sz="4" w:space="0" w:color="auto"/>
            </w:tcBorders>
            <w:shd w:val="clear" w:color="auto" w:fill="auto"/>
            <w:noWrap/>
            <w:vAlign w:val="center"/>
            <w:hideMark/>
          </w:tcPr>
          <w:p w14:paraId="2AA8A330"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440</w:t>
            </w:r>
          </w:p>
        </w:tc>
        <w:tc>
          <w:tcPr>
            <w:tcW w:w="1368" w:type="dxa"/>
            <w:tcBorders>
              <w:top w:val="nil"/>
              <w:left w:val="nil"/>
              <w:bottom w:val="single" w:sz="4" w:space="0" w:color="auto"/>
              <w:right w:val="single" w:sz="4" w:space="0" w:color="auto"/>
            </w:tcBorders>
            <w:shd w:val="clear" w:color="auto" w:fill="auto"/>
            <w:noWrap/>
            <w:vAlign w:val="center"/>
            <w:hideMark/>
          </w:tcPr>
          <w:p w14:paraId="22892F8C"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1,338</w:t>
            </w:r>
          </w:p>
        </w:tc>
        <w:tc>
          <w:tcPr>
            <w:tcW w:w="1423" w:type="dxa"/>
            <w:tcBorders>
              <w:top w:val="nil"/>
              <w:left w:val="nil"/>
              <w:bottom w:val="single" w:sz="4" w:space="0" w:color="auto"/>
              <w:right w:val="single" w:sz="4" w:space="0" w:color="auto"/>
            </w:tcBorders>
            <w:shd w:val="clear" w:color="auto" w:fill="auto"/>
            <w:noWrap/>
            <w:vAlign w:val="center"/>
            <w:hideMark/>
          </w:tcPr>
          <w:p w14:paraId="03F1CFCD"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32.88%</w:t>
            </w:r>
          </w:p>
        </w:tc>
      </w:tr>
      <w:tr w:rsidR="0087422D" w14:paraId="20DCB313" w14:textId="77777777" w:rsidTr="5F884969">
        <w:trPr>
          <w:trHeight w:val="420"/>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7AA1AC4B" w14:textId="77777777" w:rsidR="0087422D" w:rsidRPr="003360BC"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Native American, Non-Hispanic</w:t>
            </w:r>
          </w:p>
        </w:tc>
        <w:tc>
          <w:tcPr>
            <w:tcW w:w="1350" w:type="dxa"/>
            <w:tcBorders>
              <w:top w:val="nil"/>
              <w:left w:val="nil"/>
              <w:bottom w:val="single" w:sz="4" w:space="0" w:color="auto"/>
              <w:right w:val="single" w:sz="4" w:space="0" w:color="auto"/>
            </w:tcBorders>
            <w:shd w:val="clear" w:color="auto" w:fill="auto"/>
            <w:noWrap/>
            <w:vAlign w:val="center"/>
            <w:hideMark/>
          </w:tcPr>
          <w:p w14:paraId="275BA991"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50</w:t>
            </w:r>
          </w:p>
        </w:tc>
        <w:tc>
          <w:tcPr>
            <w:tcW w:w="1440" w:type="dxa"/>
            <w:tcBorders>
              <w:top w:val="nil"/>
              <w:left w:val="nil"/>
              <w:bottom w:val="single" w:sz="4" w:space="0" w:color="auto"/>
              <w:right w:val="single" w:sz="4" w:space="0" w:color="auto"/>
            </w:tcBorders>
            <w:shd w:val="clear" w:color="auto" w:fill="auto"/>
            <w:noWrap/>
            <w:vAlign w:val="center"/>
            <w:hideMark/>
          </w:tcPr>
          <w:p w14:paraId="0284DDF2"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78</w:t>
            </w:r>
          </w:p>
        </w:tc>
        <w:tc>
          <w:tcPr>
            <w:tcW w:w="1260" w:type="dxa"/>
            <w:tcBorders>
              <w:top w:val="nil"/>
              <w:left w:val="nil"/>
              <w:bottom w:val="single" w:sz="4" w:space="0" w:color="auto"/>
              <w:right w:val="single" w:sz="4" w:space="0" w:color="auto"/>
            </w:tcBorders>
            <w:shd w:val="clear" w:color="auto" w:fill="auto"/>
            <w:noWrap/>
            <w:vAlign w:val="center"/>
            <w:hideMark/>
          </w:tcPr>
          <w:p w14:paraId="3E433E38"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64.10%</w:t>
            </w:r>
          </w:p>
        </w:tc>
        <w:tc>
          <w:tcPr>
            <w:tcW w:w="1350" w:type="dxa"/>
            <w:tcBorders>
              <w:top w:val="nil"/>
              <w:left w:val="nil"/>
              <w:bottom w:val="single" w:sz="4" w:space="0" w:color="auto"/>
              <w:right w:val="single" w:sz="4" w:space="0" w:color="auto"/>
            </w:tcBorders>
            <w:shd w:val="clear" w:color="auto" w:fill="auto"/>
            <w:noWrap/>
            <w:vAlign w:val="center"/>
            <w:hideMark/>
          </w:tcPr>
          <w:p w14:paraId="34B6B1C1"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80</w:t>
            </w:r>
          </w:p>
        </w:tc>
        <w:tc>
          <w:tcPr>
            <w:tcW w:w="1368" w:type="dxa"/>
            <w:tcBorders>
              <w:top w:val="nil"/>
              <w:left w:val="nil"/>
              <w:bottom w:val="single" w:sz="4" w:space="0" w:color="auto"/>
              <w:right w:val="single" w:sz="4" w:space="0" w:color="auto"/>
            </w:tcBorders>
            <w:shd w:val="clear" w:color="auto" w:fill="auto"/>
            <w:noWrap/>
            <w:vAlign w:val="center"/>
            <w:hideMark/>
          </w:tcPr>
          <w:p w14:paraId="5FCE0790"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307</w:t>
            </w:r>
          </w:p>
        </w:tc>
        <w:tc>
          <w:tcPr>
            <w:tcW w:w="1423" w:type="dxa"/>
            <w:tcBorders>
              <w:top w:val="nil"/>
              <w:left w:val="nil"/>
              <w:bottom w:val="single" w:sz="4" w:space="0" w:color="auto"/>
              <w:right w:val="single" w:sz="4" w:space="0" w:color="auto"/>
            </w:tcBorders>
            <w:shd w:val="clear" w:color="auto" w:fill="auto"/>
            <w:noWrap/>
            <w:vAlign w:val="center"/>
            <w:hideMark/>
          </w:tcPr>
          <w:p w14:paraId="7E04FFF7"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26.06%</w:t>
            </w:r>
          </w:p>
        </w:tc>
      </w:tr>
      <w:tr w:rsidR="0087422D" w14:paraId="759980E7" w14:textId="77777777" w:rsidTr="5F884969">
        <w:trPr>
          <w:trHeight w:val="420"/>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4DCE9B9F" w14:textId="77777777" w:rsidR="0087422D" w:rsidRPr="003360BC"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Other, Non-Hispanic</w:t>
            </w:r>
          </w:p>
        </w:tc>
        <w:tc>
          <w:tcPr>
            <w:tcW w:w="1350" w:type="dxa"/>
            <w:tcBorders>
              <w:top w:val="nil"/>
              <w:left w:val="nil"/>
              <w:bottom w:val="single" w:sz="4" w:space="0" w:color="auto"/>
              <w:right w:val="single" w:sz="4" w:space="0" w:color="auto"/>
            </w:tcBorders>
            <w:shd w:val="clear" w:color="auto" w:fill="auto"/>
            <w:noWrap/>
            <w:vAlign w:val="center"/>
            <w:hideMark/>
          </w:tcPr>
          <w:p w14:paraId="0A34F3B0"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104</w:t>
            </w:r>
          </w:p>
        </w:tc>
        <w:tc>
          <w:tcPr>
            <w:tcW w:w="1440" w:type="dxa"/>
            <w:tcBorders>
              <w:top w:val="nil"/>
              <w:left w:val="nil"/>
              <w:bottom w:val="single" w:sz="4" w:space="0" w:color="auto"/>
              <w:right w:val="single" w:sz="4" w:space="0" w:color="auto"/>
            </w:tcBorders>
            <w:shd w:val="clear" w:color="auto" w:fill="auto"/>
            <w:noWrap/>
            <w:vAlign w:val="center"/>
            <w:hideMark/>
          </w:tcPr>
          <w:p w14:paraId="2C756102"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226</w:t>
            </w:r>
          </w:p>
        </w:tc>
        <w:tc>
          <w:tcPr>
            <w:tcW w:w="1260" w:type="dxa"/>
            <w:tcBorders>
              <w:top w:val="nil"/>
              <w:left w:val="nil"/>
              <w:bottom w:val="single" w:sz="4" w:space="0" w:color="auto"/>
              <w:right w:val="single" w:sz="4" w:space="0" w:color="auto"/>
            </w:tcBorders>
            <w:shd w:val="clear" w:color="auto" w:fill="auto"/>
            <w:noWrap/>
            <w:vAlign w:val="center"/>
            <w:hideMark/>
          </w:tcPr>
          <w:p w14:paraId="2E175ACD"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46.02%</w:t>
            </w:r>
          </w:p>
        </w:tc>
        <w:tc>
          <w:tcPr>
            <w:tcW w:w="1350" w:type="dxa"/>
            <w:tcBorders>
              <w:top w:val="nil"/>
              <w:left w:val="nil"/>
              <w:bottom w:val="single" w:sz="4" w:space="0" w:color="auto"/>
              <w:right w:val="single" w:sz="4" w:space="0" w:color="auto"/>
            </w:tcBorders>
            <w:shd w:val="clear" w:color="auto" w:fill="auto"/>
            <w:noWrap/>
            <w:vAlign w:val="center"/>
            <w:hideMark/>
          </w:tcPr>
          <w:p w14:paraId="5103327A"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335</w:t>
            </w:r>
          </w:p>
        </w:tc>
        <w:tc>
          <w:tcPr>
            <w:tcW w:w="1368" w:type="dxa"/>
            <w:tcBorders>
              <w:top w:val="nil"/>
              <w:left w:val="nil"/>
              <w:bottom w:val="single" w:sz="4" w:space="0" w:color="auto"/>
              <w:right w:val="single" w:sz="4" w:space="0" w:color="auto"/>
            </w:tcBorders>
            <w:shd w:val="clear" w:color="auto" w:fill="auto"/>
            <w:noWrap/>
            <w:vAlign w:val="center"/>
            <w:hideMark/>
          </w:tcPr>
          <w:p w14:paraId="02B46185"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1,130</w:t>
            </w:r>
          </w:p>
        </w:tc>
        <w:tc>
          <w:tcPr>
            <w:tcW w:w="1423" w:type="dxa"/>
            <w:tcBorders>
              <w:top w:val="nil"/>
              <w:left w:val="nil"/>
              <w:bottom w:val="single" w:sz="4" w:space="0" w:color="auto"/>
              <w:right w:val="single" w:sz="4" w:space="0" w:color="auto"/>
            </w:tcBorders>
            <w:shd w:val="clear" w:color="auto" w:fill="auto"/>
            <w:noWrap/>
            <w:vAlign w:val="center"/>
            <w:hideMark/>
          </w:tcPr>
          <w:p w14:paraId="5D0DCDB5"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29.65%</w:t>
            </w:r>
          </w:p>
        </w:tc>
      </w:tr>
      <w:tr w:rsidR="0087422D" w14:paraId="4C2FE8CC" w14:textId="77777777" w:rsidTr="5F884969">
        <w:trPr>
          <w:trHeight w:val="420"/>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1CF32132" w14:textId="77777777" w:rsidR="0087422D" w:rsidRPr="003360BC" w:rsidRDefault="5F884969" w:rsidP="5F884969">
            <w:pPr>
              <w:spacing w:after="0"/>
              <w:rPr>
                <w:rFonts w:ascii="Calibri" w:eastAsia="Times New Roman" w:hAnsi="Calibri"/>
                <w:i/>
                <w:iCs/>
                <w:color w:val="000000" w:themeColor="text1"/>
              </w:rPr>
            </w:pPr>
            <w:r w:rsidRPr="5F884969">
              <w:rPr>
                <w:rFonts w:ascii="Calibri" w:eastAsia="Times New Roman" w:hAnsi="Calibri"/>
                <w:i/>
                <w:iCs/>
                <w:color w:val="000000" w:themeColor="text1"/>
              </w:rPr>
              <w:t>Total</w:t>
            </w:r>
          </w:p>
        </w:tc>
        <w:tc>
          <w:tcPr>
            <w:tcW w:w="1350" w:type="dxa"/>
            <w:tcBorders>
              <w:top w:val="nil"/>
              <w:left w:val="nil"/>
              <w:bottom w:val="single" w:sz="4" w:space="0" w:color="auto"/>
              <w:right w:val="single" w:sz="4" w:space="0" w:color="auto"/>
            </w:tcBorders>
            <w:shd w:val="clear" w:color="auto" w:fill="auto"/>
            <w:noWrap/>
            <w:vAlign w:val="center"/>
            <w:hideMark/>
          </w:tcPr>
          <w:p w14:paraId="364D37A2" w14:textId="77777777" w:rsidR="0087422D" w:rsidRPr="003360BC"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4,063</w:t>
            </w:r>
          </w:p>
        </w:tc>
        <w:tc>
          <w:tcPr>
            <w:tcW w:w="1440" w:type="dxa"/>
            <w:tcBorders>
              <w:top w:val="nil"/>
              <w:left w:val="nil"/>
              <w:bottom w:val="single" w:sz="4" w:space="0" w:color="auto"/>
              <w:right w:val="single" w:sz="4" w:space="0" w:color="auto"/>
            </w:tcBorders>
            <w:shd w:val="clear" w:color="auto" w:fill="auto"/>
            <w:noWrap/>
            <w:vAlign w:val="center"/>
            <w:hideMark/>
          </w:tcPr>
          <w:p w14:paraId="4B5C0BBB" w14:textId="77777777" w:rsidR="0087422D" w:rsidRPr="003360BC"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16,425</w:t>
            </w:r>
          </w:p>
        </w:tc>
        <w:tc>
          <w:tcPr>
            <w:tcW w:w="1260" w:type="dxa"/>
            <w:tcBorders>
              <w:top w:val="nil"/>
              <w:left w:val="nil"/>
              <w:bottom w:val="single" w:sz="4" w:space="0" w:color="auto"/>
              <w:right w:val="single" w:sz="4" w:space="0" w:color="auto"/>
            </w:tcBorders>
            <w:shd w:val="clear" w:color="auto" w:fill="auto"/>
            <w:noWrap/>
            <w:vAlign w:val="center"/>
            <w:hideMark/>
          </w:tcPr>
          <w:p w14:paraId="253AE285" w14:textId="77777777" w:rsidR="0087422D" w:rsidRPr="003360BC"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24.74%</w:t>
            </w:r>
          </w:p>
        </w:tc>
        <w:tc>
          <w:tcPr>
            <w:tcW w:w="1350" w:type="dxa"/>
            <w:tcBorders>
              <w:top w:val="nil"/>
              <w:left w:val="nil"/>
              <w:bottom w:val="single" w:sz="4" w:space="0" w:color="auto"/>
              <w:right w:val="single" w:sz="4" w:space="0" w:color="auto"/>
            </w:tcBorders>
            <w:shd w:val="clear" w:color="auto" w:fill="auto"/>
            <w:noWrap/>
            <w:vAlign w:val="center"/>
            <w:hideMark/>
          </w:tcPr>
          <w:p w14:paraId="5F10DD22" w14:textId="77777777" w:rsidR="0087422D" w:rsidRPr="003360BC"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12,989</w:t>
            </w:r>
          </w:p>
        </w:tc>
        <w:tc>
          <w:tcPr>
            <w:tcW w:w="1368" w:type="dxa"/>
            <w:tcBorders>
              <w:top w:val="nil"/>
              <w:left w:val="nil"/>
              <w:bottom w:val="single" w:sz="4" w:space="0" w:color="auto"/>
              <w:right w:val="single" w:sz="4" w:space="0" w:color="auto"/>
            </w:tcBorders>
            <w:shd w:val="clear" w:color="auto" w:fill="auto"/>
            <w:noWrap/>
            <w:vAlign w:val="center"/>
            <w:hideMark/>
          </w:tcPr>
          <w:p w14:paraId="250052DF" w14:textId="77777777" w:rsidR="0087422D" w:rsidRPr="003360BC"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84,225</w:t>
            </w:r>
          </w:p>
        </w:tc>
        <w:tc>
          <w:tcPr>
            <w:tcW w:w="1423" w:type="dxa"/>
            <w:tcBorders>
              <w:top w:val="nil"/>
              <w:left w:val="nil"/>
              <w:bottom w:val="single" w:sz="4" w:space="0" w:color="auto"/>
              <w:right w:val="single" w:sz="4" w:space="0" w:color="auto"/>
            </w:tcBorders>
            <w:shd w:val="clear" w:color="auto" w:fill="auto"/>
            <w:noWrap/>
            <w:vAlign w:val="center"/>
            <w:hideMark/>
          </w:tcPr>
          <w:p w14:paraId="1877EF9C" w14:textId="77777777" w:rsidR="0087422D" w:rsidRPr="003360BC" w:rsidRDefault="5F884969" w:rsidP="5F884969">
            <w:pPr>
              <w:spacing w:after="0"/>
              <w:jc w:val="center"/>
              <w:rPr>
                <w:rFonts w:ascii="Calibri" w:eastAsia="Times New Roman" w:hAnsi="Calibri"/>
                <w:i/>
                <w:iCs/>
                <w:color w:val="000000" w:themeColor="text1"/>
              </w:rPr>
            </w:pPr>
            <w:r w:rsidRPr="5F884969">
              <w:rPr>
                <w:rFonts w:ascii="Calibri" w:eastAsia="Times New Roman" w:hAnsi="Calibri"/>
                <w:i/>
                <w:iCs/>
                <w:color w:val="000000" w:themeColor="text1"/>
              </w:rPr>
              <w:t>15.42%</w:t>
            </w:r>
          </w:p>
        </w:tc>
      </w:tr>
      <w:tr w:rsidR="0087422D" w14:paraId="5164F306" w14:textId="77777777" w:rsidTr="5F884969">
        <w:trPr>
          <w:trHeight w:val="540"/>
          <w:jc w:val="center"/>
        </w:trPr>
        <w:tc>
          <w:tcPr>
            <w:tcW w:w="2416" w:type="dxa"/>
            <w:tcBorders>
              <w:top w:val="nil"/>
              <w:left w:val="single" w:sz="4" w:space="0" w:color="auto"/>
              <w:bottom w:val="single" w:sz="4" w:space="0" w:color="auto"/>
              <w:right w:val="single" w:sz="4" w:space="0" w:color="auto"/>
            </w:tcBorders>
            <w:shd w:val="clear" w:color="auto" w:fill="DCE6F1"/>
            <w:noWrap/>
            <w:vAlign w:val="center"/>
            <w:hideMark/>
          </w:tcPr>
          <w:p w14:paraId="6502ABA1" w14:textId="77777777" w:rsidR="0087422D" w:rsidRPr="003360BC" w:rsidRDefault="5F884969" w:rsidP="5F884969">
            <w:pPr>
              <w:spacing w:after="0"/>
              <w:rPr>
                <w:rFonts w:ascii="Calibri" w:eastAsia="Times New Roman" w:hAnsi="Calibri"/>
                <w:b/>
                <w:bCs/>
                <w:color w:val="000000" w:themeColor="text1"/>
              </w:rPr>
            </w:pPr>
            <w:r w:rsidRPr="5F884969">
              <w:rPr>
                <w:rFonts w:ascii="Calibri" w:eastAsia="Times New Roman" w:hAnsi="Calibri"/>
                <w:b/>
                <w:bCs/>
                <w:color w:val="000000" w:themeColor="text1"/>
              </w:rPr>
              <w:t>Household Type and Size</w:t>
            </w:r>
          </w:p>
        </w:tc>
        <w:tc>
          <w:tcPr>
            <w:tcW w:w="1350" w:type="dxa"/>
            <w:tcBorders>
              <w:top w:val="nil"/>
              <w:left w:val="nil"/>
              <w:bottom w:val="single" w:sz="4" w:space="0" w:color="auto"/>
              <w:right w:val="single" w:sz="4" w:space="0" w:color="auto"/>
            </w:tcBorders>
            <w:shd w:val="clear" w:color="auto" w:fill="DCE6F1"/>
            <w:noWrap/>
            <w:vAlign w:val="center"/>
            <w:hideMark/>
          </w:tcPr>
          <w:p w14:paraId="327F314E" w14:textId="77777777" w:rsidR="0087422D" w:rsidRPr="003360BC" w:rsidRDefault="0087422D" w:rsidP="0025019A">
            <w:pPr>
              <w:spacing w:after="0"/>
              <w:jc w:val="center"/>
              <w:rPr>
                <w:rFonts w:ascii="Calibri" w:eastAsia="Times New Roman" w:hAnsi="Calibri"/>
                <w:color w:val="000000"/>
              </w:rPr>
            </w:pPr>
          </w:p>
        </w:tc>
        <w:tc>
          <w:tcPr>
            <w:tcW w:w="1440" w:type="dxa"/>
            <w:tcBorders>
              <w:top w:val="nil"/>
              <w:left w:val="nil"/>
              <w:bottom w:val="single" w:sz="4" w:space="0" w:color="auto"/>
              <w:right w:val="single" w:sz="4" w:space="0" w:color="auto"/>
            </w:tcBorders>
            <w:shd w:val="clear" w:color="auto" w:fill="DCE6F1"/>
            <w:noWrap/>
            <w:vAlign w:val="center"/>
            <w:hideMark/>
          </w:tcPr>
          <w:p w14:paraId="549353CD" w14:textId="77777777" w:rsidR="0087422D" w:rsidRPr="003360BC" w:rsidRDefault="0087422D" w:rsidP="0025019A">
            <w:pPr>
              <w:spacing w:after="0"/>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DCE6F1"/>
            <w:noWrap/>
            <w:vAlign w:val="center"/>
            <w:hideMark/>
          </w:tcPr>
          <w:p w14:paraId="3302D0D7" w14:textId="77777777" w:rsidR="0087422D" w:rsidRPr="003360BC" w:rsidRDefault="0087422D" w:rsidP="0025019A">
            <w:pPr>
              <w:spacing w:after="0"/>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DCE6F1"/>
            <w:noWrap/>
            <w:vAlign w:val="center"/>
            <w:hideMark/>
          </w:tcPr>
          <w:p w14:paraId="0E129B21" w14:textId="77777777" w:rsidR="0087422D" w:rsidRPr="003360BC" w:rsidRDefault="0087422D" w:rsidP="0025019A">
            <w:pPr>
              <w:spacing w:after="0"/>
              <w:jc w:val="center"/>
              <w:rPr>
                <w:rFonts w:ascii="Calibri" w:eastAsia="Times New Roman" w:hAnsi="Calibri"/>
                <w:color w:val="000000"/>
              </w:rPr>
            </w:pPr>
          </w:p>
        </w:tc>
        <w:tc>
          <w:tcPr>
            <w:tcW w:w="1368" w:type="dxa"/>
            <w:tcBorders>
              <w:top w:val="nil"/>
              <w:left w:val="nil"/>
              <w:bottom w:val="single" w:sz="4" w:space="0" w:color="auto"/>
              <w:right w:val="single" w:sz="4" w:space="0" w:color="auto"/>
            </w:tcBorders>
            <w:shd w:val="clear" w:color="auto" w:fill="DCE6F1"/>
            <w:noWrap/>
            <w:vAlign w:val="center"/>
            <w:hideMark/>
          </w:tcPr>
          <w:p w14:paraId="7AD5FE5A" w14:textId="77777777" w:rsidR="0087422D" w:rsidRPr="003360BC" w:rsidRDefault="0087422D" w:rsidP="0025019A">
            <w:pPr>
              <w:spacing w:after="0"/>
              <w:jc w:val="center"/>
              <w:rPr>
                <w:rFonts w:ascii="Calibri" w:eastAsia="Times New Roman" w:hAnsi="Calibri"/>
                <w:color w:val="000000"/>
              </w:rPr>
            </w:pPr>
          </w:p>
        </w:tc>
        <w:tc>
          <w:tcPr>
            <w:tcW w:w="1423" w:type="dxa"/>
            <w:tcBorders>
              <w:top w:val="nil"/>
              <w:left w:val="nil"/>
              <w:bottom w:val="single" w:sz="4" w:space="0" w:color="auto"/>
              <w:right w:val="single" w:sz="4" w:space="0" w:color="auto"/>
            </w:tcBorders>
            <w:shd w:val="clear" w:color="auto" w:fill="DCE6F1"/>
            <w:noWrap/>
            <w:vAlign w:val="center"/>
            <w:hideMark/>
          </w:tcPr>
          <w:p w14:paraId="7E8BB9D4" w14:textId="77777777" w:rsidR="0087422D" w:rsidRPr="003360BC" w:rsidRDefault="0087422D" w:rsidP="0025019A">
            <w:pPr>
              <w:spacing w:after="0"/>
              <w:jc w:val="center"/>
              <w:rPr>
                <w:rFonts w:ascii="Calibri" w:eastAsia="Times New Roman" w:hAnsi="Calibri"/>
                <w:color w:val="000000"/>
              </w:rPr>
            </w:pPr>
          </w:p>
        </w:tc>
      </w:tr>
      <w:tr w:rsidR="0087422D" w14:paraId="3F5CE1FA" w14:textId="77777777" w:rsidTr="5F884969">
        <w:trPr>
          <w:trHeight w:val="420"/>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28CC1482" w14:textId="77777777" w:rsidR="0087422D" w:rsidRPr="003360BC"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Family households, &lt;5 people</w:t>
            </w:r>
          </w:p>
        </w:tc>
        <w:tc>
          <w:tcPr>
            <w:tcW w:w="1350" w:type="dxa"/>
            <w:tcBorders>
              <w:top w:val="nil"/>
              <w:left w:val="nil"/>
              <w:bottom w:val="single" w:sz="4" w:space="0" w:color="auto"/>
              <w:right w:val="single" w:sz="4" w:space="0" w:color="auto"/>
            </w:tcBorders>
            <w:shd w:val="clear" w:color="auto" w:fill="auto"/>
            <w:noWrap/>
            <w:vAlign w:val="center"/>
            <w:hideMark/>
          </w:tcPr>
          <w:p w14:paraId="383B8536"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974</w:t>
            </w:r>
          </w:p>
        </w:tc>
        <w:tc>
          <w:tcPr>
            <w:tcW w:w="1440" w:type="dxa"/>
            <w:tcBorders>
              <w:top w:val="nil"/>
              <w:left w:val="nil"/>
              <w:bottom w:val="single" w:sz="4" w:space="0" w:color="auto"/>
              <w:right w:val="single" w:sz="4" w:space="0" w:color="auto"/>
            </w:tcBorders>
            <w:shd w:val="clear" w:color="auto" w:fill="auto"/>
            <w:noWrap/>
            <w:vAlign w:val="center"/>
            <w:hideMark/>
          </w:tcPr>
          <w:p w14:paraId="5E72351E"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6,125</w:t>
            </w:r>
          </w:p>
        </w:tc>
        <w:tc>
          <w:tcPr>
            <w:tcW w:w="1260" w:type="dxa"/>
            <w:tcBorders>
              <w:top w:val="nil"/>
              <w:left w:val="nil"/>
              <w:bottom w:val="single" w:sz="4" w:space="0" w:color="auto"/>
              <w:right w:val="single" w:sz="4" w:space="0" w:color="auto"/>
            </w:tcBorders>
            <w:shd w:val="clear" w:color="auto" w:fill="auto"/>
            <w:noWrap/>
            <w:vAlign w:val="center"/>
            <w:hideMark/>
          </w:tcPr>
          <w:p w14:paraId="5E6CAB32"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15.90%</w:t>
            </w:r>
          </w:p>
        </w:tc>
        <w:tc>
          <w:tcPr>
            <w:tcW w:w="1350" w:type="dxa"/>
            <w:tcBorders>
              <w:top w:val="nil"/>
              <w:left w:val="nil"/>
              <w:bottom w:val="single" w:sz="4" w:space="0" w:color="auto"/>
              <w:right w:val="single" w:sz="4" w:space="0" w:color="auto"/>
            </w:tcBorders>
            <w:shd w:val="clear" w:color="auto" w:fill="auto"/>
            <w:noWrap/>
            <w:vAlign w:val="center"/>
            <w:hideMark/>
          </w:tcPr>
          <w:p w14:paraId="09F07B34"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4,879</w:t>
            </w:r>
          </w:p>
        </w:tc>
        <w:tc>
          <w:tcPr>
            <w:tcW w:w="1368" w:type="dxa"/>
            <w:tcBorders>
              <w:top w:val="nil"/>
              <w:left w:val="nil"/>
              <w:bottom w:val="single" w:sz="4" w:space="0" w:color="auto"/>
              <w:right w:val="single" w:sz="4" w:space="0" w:color="auto"/>
            </w:tcBorders>
            <w:shd w:val="clear" w:color="auto" w:fill="auto"/>
            <w:noWrap/>
            <w:vAlign w:val="center"/>
            <w:hideMark/>
          </w:tcPr>
          <w:p w14:paraId="69B32BCA"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47,404</w:t>
            </w:r>
          </w:p>
        </w:tc>
        <w:tc>
          <w:tcPr>
            <w:tcW w:w="1423" w:type="dxa"/>
            <w:tcBorders>
              <w:top w:val="nil"/>
              <w:left w:val="nil"/>
              <w:bottom w:val="single" w:sz="4" w:space="0" w:color="auto"/>
              <w:right w:val="single" w:sz="4" w:space="0" w:color="auto"/>
            </w:tcBorders>
            <w:shd w:val="clear" w:color="auto" w:fill="auto"/>
            <w:noWrap/>
            <w:vAlign w:val="center"/>
            <w:hideMark/>
          </w:tcPr>
          <w:p w14:paraId="19A3E38A"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10.29%</w:t>
            </w:r>
          </w:p>
        </w:tc>
      </w:tr>
      <w:tr w:rsidR="0087422D" w14:paraId="24113D28" w14:textId="77777777" w:rsidTr="5F884969">
        <w:trPr>
          <w:trHeight w:val="420"/>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6955FA2D" w14:textId="77777777" w:rsidR="0087422D" w:rsidRPr="003360BC"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Family households, 5+ people</w:t>
            </w:r>
          </w:p>
        </w:tc>
        <w:tc>
          <w:tcPr>
            <w:tcW w:w="1350" w:type="dxa"/>
            <w:tcBorders>
              <w:top w:val="nil"/>
              <w:left w:val="nil"/>
              <w:bottom w:val="single" w:sz="4" w:space="0" w:color="auto"/>
              <w:right w:val="single" w:sz="4" w:space="0" w:color="auto"/>
            </w:tcBorders>
            <w:shd w:val="clear" w:color="auto" w:fill="auto"/>
            <w:noWrap/>
            <w:vAlign w:val="center"/>
            <w:hideMark/>
          </w:tcPr>
          <w:p w14:paraId="226B7FB1"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94</w:t>
            </w:r>
          </w:p>
        </w:tc>
        <w:tc>
          <w:tcPr>
            <w:tcW w:w="1440" w:type="dxa"/>
            <w:tcBorders>
              <w:top w:val="nil"/>
              <w:left w:val="nil"/>
              <w:bottom w:val="single" w:sz="4" w:space="0" w:color="auto"/>
              <w:right w:val="single" w:sz="4" w:space="0" w:color="auto"/>
            </w:tcBorders>
            <w:shd w:val="clear" w:color="auto" w:fill="auto"/>
            <w:noWrap/>
            <w:vAlign w:val="center"/>
            <w:hideMark/>
          </w:tcPr>
          <w:p w14:paraId="110E7FFF"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680</w:t>
            </w:r>
          </w:p>
        </w:tc>
        <w:tc>
          <w:tcPr>
            <w:tcW w:w="1260" w:type="dxa"/>
            <w:tcBorders>
              <w:top w:val="nil"/>
              <w:left w:val="nil"/>
              <w:bottom w:val="single" w:sz="4" w:space="0" w:color="auto"/>
              <w:right w:val="single" w:sz="4" w:space="0" w:color="auto"/>
            </w:tcBorders>
            <w:shd w:val="clear" w:color="auto" w:fill="auto"/>
            <w:noWrap/>
            <w:vAlign w:val="center"/>
            <w:hideMark/>
          </w:tcPr>
          <w:p w14:paraId="7451132E"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13.82%</w:t>
            </w:r>
          </w:p>
        </w:tc>
        <w:tc>
          <w:tcPr>
            <w:tcW w:w="1350" w:type="dxa"/>
            <w:tcBorders>
              <w:top w:val="nil"/>
              <w:left w:val="nil"/>
              <w:bottom w:val="single" w:sz="4" w:space="0" w:color="auto"/>
              <w:right w:val="single" w:sz="4" w:space="0" w:color="auto"/>
            </w:tcBorders>
            <w:shd w:val="clear" w:color="auto" w:fill="auto"/>
            <w:noWrap/>
            <w:vAlign w:val="center"/>
            <w:hideMark/>
          </w:tcPr>
          <w:p w14:paraId="6559B8BB"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350</w:t>
            </w:r>
          </w:p>
        </w:tc>
        <w:tc>
          <w:tcPr>
            <w:tcW w:w="1368" w:type="dxa"/>
            <w:tcBorders>
              <w:top w:val="nil"/>
              <w:left w:val="nil"/>
              <w:bottom w:val="single" w:sz="4" w:space="0" w:color="auto"/>
              <w:right w:val="single" w:sz="4" w:space="0" w:color="auto"/>
            </w:tcBorders>
            <w:shd w:val="clear" w:color="auto" w:fill="auto"/>
            <w:noWrap/>
            <w:vAlign w:val="center"/>
            <w:hideMark/>
          </w:tcPr>
          <w:p w14:paraId="3E10C2DD"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5,162</w:t>
            </w:r>
          </w:p>
        </w:tc>
        <w:tc>
          <w:tcPr>
            <w:tcW w:w="1423" w:type="dxa"/>
            <w:tcBorders>
              <w:top w:val="nil"/>
              <w:left w:val="nil"/>
              <w:bottom w:val="single" w:sz="4" w:space="0" w:color="auto"/>
              <w:right w:val="single" w:sz="4" w:space="0" w:color="auto"/>
            </w:tcBorders>
            <w:shd w:val="clear" w:color="auto" w:fill="auto"/>
            <w:noWrap/>
            <w:vAlign w:val="center"/>
            <w:hideMark/>
          </w:tcPr>
          <w:p w14:paraId="24106577"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6.78%</w:t>
            </w:r>
          </w:p>
        </w:tc>
      </w:tr>
      <w:tr w:rsidR="0087422D" w14:paraId="012F11F6" w14:textId="77777777" w:rsidTr="5F884969">
        <w:trPr>
          <w:trHeight w:val="420"/>
          <w:jc w:val="center"/>
        </w:trPr>
        <w:tc>
          <w:tcPr>
            <w:tcW w:w="2416" w:type="dxa"/>
            <w:tcBorders>
              <w:top w:val="nil"/>
              <w:left w:val="single" w:sz="4" w:space="0" w:color="auto"/>
              <w:bottom w:val="single" w:sz="4" w:space="0" w:color="auto"/>
              <w:right w:val="single" w:sz="4" w:space="0" w:color="auto"/>
            </w:tcBorders>
            <w:shd w:val="clear" w:color="auto" w:fill="auto"/>
            <w:noWrap/>
            <w:vAlign w:val="center"/>
            <w:hideMark/>
          </w:tcPr>
          <w:p w14:paraId="4463E07A" w14:textId="77777777" w:rsidR="0087422D" w:rsidRPr="003360BC" w:rsidRDefault="5F884969" w:rsidP="5F884969">
            <w:pPr>
              <w:spacing w:after="0"/>
              <w:rPr>
                <w:rFonts w:ascii="Calibri" w:eastAsia="Times New Roman" w:hAnsi="Calibri"/>
                <w:color w:val="000000" w:themeColor="text1"/>
              </w:rPr>
            </w:pPr>
            <w:r w:rsidRPr="5F884969">
              <w:rPr>
                <w:rFonts w:ascii="Calibri" w:eastAsia="Times New Roman" w:hAnsi="Calibri"/>
                <w:color w:val="000000" w:themeColor="text1"/>
              </w:rPr>
              <w:t>Non-family households</w:t>
            </w:r>
          </w:p>
        </w:tc>
        <w:tc>
          <w:tcPr>
            <w:tcW w:w="1350" w:type="dxa"/>
            <w:tcBorders>
              <w:top w:val="nil"/>
              <w:left w:val="nil"/>
              <w:bottom w:val="single" w:sz="4" w:space="0" w:color="auto"/>
              <w:right w:val="single" w:sz="4" w:space="0" w:color="auto"/>
            </w:tcBorders>
            <w:shd w:val="clear" w:color="auto" w:fill="auto"/>
            <w:noWrap/>
            <w:vAlign w:val="center"/>
            <w:hideMark/>
          </w:tcPr>
          <w:p w14:paraId="46A783F5"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3,014</w:t>
            </w:r>
          </w:p>
        </w:tc>
        <w:tc>
          <w:tcPr>
            <w:tcW w:w="1440" w:type="dxa"/>
            <w:tcBorders>
              <w:top w:val="nil"/>
              <w:left w:val="nil"/>
              <w:bottom w:val="single" w:sz="4" w:space="0" w:color="auto"/>
              <w:right w:val="single" w:sz="4" w:space="0" w:color="auto"/>
            </w:tcBorders>
            <w:shd w:val="clear" w:color="auto" w:fill="auto"/>
            <w:noWrap/>
            <w:vAlign w:val="center"/>
            <w:hideMark/>
          </w:tcPr>
          <w:p w14:paraId="237E2D77"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9,619</w:t>
            </w:r>
          </w:p>
        </w:tc>
        <w:tc>
          <w:tcPr>
            <w:tcW w:w="1260" w:type="dxa"/>
            <w:tcBorders>
              <w:top w:val="nil"/>
              <w:left w:val="nil"/>
              <w:bottom w:val="single" w:sz="4" w:space="0" w:color="auto"/>
              <w:right w:val="single" w:sz="4" w:space="0" w:color="auto"/>
            </w:tcBorders>
            <w:shd w:val="clear" w:color="auto" w:fill="auto"/>
            <w:noWrap/>
            <w:vAlign w:val="center"/>
            <w:hideMark/>
          </w:tcPr>
          <w:p w14:paraId="3AA2F171"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31.33%</w:t>
            </w:r>
          </w:p>
        </w:tc>
        <w:tc>
          <w:tcPr>
            <w:tcW w:w="1350" w:type="dxa"/>
            <w:tcBorders>
              <w:top w:val="nil"/>
              <w:left w:val="nil"/>
              <w:bottom w:val="single" w:sz="4" w:space="0" w:color="auto"/>
              <w:right w:val="single" w:sz="4" w:space="0" w:color="auto"/>
            </w:tcBorders>
            <w:shd w:val="clear" w:color="auto" w:fill="auto"/>
            <w:noWrap/>
            <w:vAlign w:val="center"/>
            <w:hideMark/>
          </w:tcPr>
          <w:p w14:paraId="18155345"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7,761</w:t>
            </w:r>
          </w:p>
        </w:tc>
        <w:tc>
          <w:tcPr>
            <w:tcW w:w="1368" w:type="dxa"/>
            <w:tcBorders>
              <w:top w:val="nil"/>
              <w:left w:val="nil"/>
              <w:bottom w:val="single" w:sz="4" w:space="0" w:color="auto"/>
              <w:right w:val="single" w:sz="4" w:space="0" w:color="auto"/>
            </w:tcBorders>
            <w:shd w:val="clear" w:color="auto" w:fill="auto"/>
            <w:noWrap/>
            <w:vAlign w:val="center"/>
            <w:hideMark/>
          </w:tcPr>
          <w:p w14:paraId="05284208"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31,659</w:t>
            </w:r>
          </w:p>
        </w:tc>
        <w:tc>
          <w:tcPr>
            <w:tcW w:w="1423" w:type="dxa"/>
            <w:tcBorders>
              <w:top w:val="nil"/>
              <w:left w:val="nil"/>
              <w:bottom w:val="single" w:sz="4" w:space="0" w:color="auto"/>
              <w:right w:val="single" w:sz="4" w:space="0" w:color="auto"/>
            </w:tcBorders>
            <w:shd w:val="clear" w:color="auto" w:fill="auto"/>
            <w:noWrap/>
            <w:vAlign w:val="center"/>
            <w:hideMark/>
          </w:tcPr>
          <w:p w14:paraId="7479D6B7" w14:textId="77777777" w:rsidR="0087422D" w:rsidRPr="003360BC" w:rsidRDefault="5F884969" w:rsidP="5F884969">
            <w:pPr>
              <w:spacing w:after="0"/>
              <w:jc w:val="center"/>
              <w:rPr>
                <w:rFonts w:ascii="Calibri" w:eastAsia="Times New Roman" w:hAnsi="Calibri"/>
                <w:color w:val="000000" w:themeColor="text1"/>
              </w:rPr>
            </w:pPr>
            <w:r w:rsidRPr="5F884969">
              <w:rPr>
                <w:rFonts w:ascii="Calibri" w:eastAsia="Times New Roman" w:hAnsi="Calibri"/>
                <w:color w:val="000000" w:themeColor="text1"/>
              </w:rPr>
              <w:t>24.51%</w:t>
            </w:r>
          </w:p>
        </w:tc>
      </w:tr>
    </w:tbl>
    <w:p w14:paraId="0C06CA5D" w14:textId="77777777" w:rsidR="00D96284" w:rsidRDefault="00D96284" w:rsidP="00D96284">
      <w:pPr>
        <w:spacing w:after="0"/>
        <w:rPr>
          <w:rFonts w:ascii="Calibri" w:hAnsi="Calibri" w:cs="Calibri"/>
          <w:bCs/>
        </w:rPr>
      </w:pPr>
    </w:p>
    <w:p w14:paraId="24733457" w14:textId="77777777" w:rsidR="00A67AB1" w:rsidRPr="002F44EF" w:rsidRDefault="5F884969" w:rsidP="002F7C2E">
      <w:pPr>
        <w:pStyle w:val="ListParagraph"/>
        <w:widowControl w:val="0"/>
        <w:autoSpaceDE w:val="0"/>
        <w:autoSpaceDN w:val="0"/>
        <w:adjustRightInd w:val="0"/>
        <w:ind w:left="540"/>
        <w:outlineLvl w:val="0"/>
        <w:rPr>
          <w:rFonts w:ascii="Calibri" w:hAnsi="Calibri" w:cs="Calibri"/>
          <w:b/>
          <w:bCs/>
          <w:i/>
          <w:iCs/>
          <w:color w:val="000000" w:themeColor="text1"/>
        </w:rPr>
      </w:pPr>
      <w:r w:rsidRPr="5F884969">
        <w:rPr>
          <w:rFonts w:ascii="Calibri" w:hAnsi="Calibri" w:cs="Calibri"/>
          <w:b/>
          <w:bCs/>
          <w:i/>
          <w:iCs/>
          <w:color w:val="000000" w:themeColor="text1"/>
        </w:rPr>
        <w:t>Burlington</w:t>
      </w:r>
    </w:p>
    <w:p w14:paraId="72ABAF17" w14:textId="77777777" w:rsidR="00A67AB1" w:rsidRDefault="5F884969" w:rsidP="5F884969">
      <w:pPr>
        <w:pStyle w:val="ListParagraph"/>
        <w:widowControl w:val="0"/>
        <w:autoSpaceDE w:val="0"/>
        <w:autoSpaceDN w:val="0"/>
        <w:adjustRightInd w:val="0"/>
        <w:ind w:left="540"/>
        <w:rPr>
          <w:rFonts w:ascii="Calibri" w:hAnsi="Calibri" w:cs="Calibri"/>
          <w:color w:val="000000" w:themeColor="text1"/>
        </w:rPr>
      </w:pPr>
      <w:r w:rsidRPr="5F884969">
        <w:rPr>
          <w:rFonts w:ascii="Calibri" w:hAnsi="Calibri" w:cs="Calibri"/>
          <w:color w:val="000000" w:themeColor="text1"/>
        </w:rPr>
        <w:t xml:space="preserve">Based on this data it is clear that, within Burlington, Black households experience the highest rate of housing problems when compared to any other group. Nonfamily households in Burlington experience more housing problems than family households. </w:t>
      </w:r>
    </w:p>
    <w:p w14:paraId="3F68FC1E" w14:textId="77777777" w:rsidR="00A67AB1" w:rsidRDefault="00A67AB1" w:rsidP="00A67AB1">
      <w:pPr>
        <w:pStyle w:val="ListParagraph"/>
        <w:widowControl w:val="0"/>
        <w:autoSpaceDE w:val="0"/>
        <w:autoSpaceDN w:val="0"/>
        <w:adjustRightInd w:val="0"/>
        <w:ind w:left="540"/>
        <w:rPr>
          <w:rFonts w:ascii="Calibri" w:hAnsi="Calibri" w:cs="Calibri"/>
          <w:bCs/>
          <w:color w:val="000000"/>
        </w:rPr>
      </w:pPr>
    </w:p>
    <w:p w14:paraId="399CE0FE" w14:textId="77777777" w:rsidR="00A67AB1" w:rsidRDefault="5F884969" w:rsidP="5F884969">
      <w:pPr>
        <w:pStyle w:val="ListParagraph"/>
        <w:widowControl w:val="0"/>
        <w:autoSpaceDE w:val="0"/>
        <w:autoSpaceDN w:val="0"/>
        <w:adjustRightInd w:val="0"/>
        <w:ind w:left="540"/>
        <w:rPr>
          <w:rFonts w:ascii="Calibri" w:hAnsi="Calibri" w:cs="Calibri"/>
          <w:color w:val="000000" w:themeColor="text1"/>
        </w:rPr>
      </w:pPr>
      <w:r w:rsidRPr="5F884969">
        <w:rPr>
          <w:rFonts w:ascii="Calibri" w:hAnsi="Calibri" w:cs="Calibri"/>
          <w:color w:val="000000" w:themeColor="text1"/>
        </w:rPr>
        <w:t xml:space="preserve">Although Black households experience the highest rate of housing problems within Burlington (as described above), Native American households have the highest rate of experiencing </w:t>
      </w:r>
      <w:r w:rsidRPr="5F884969">
        <w:rPr>
          <w:rFonts w:ascii="Calibri" w:hAnsi="Calibri" w:cs="Calibri"/>
          <w:i/>
          <w:iCs/>
          <w:color w:val="000000" w:themeColor="text1"/>
        </w:rPr>
        <w:t>severe</w:t>
      </w:r>
      <w:r w:rsidRPr="5F884969">
        <w:rPr>
          <w:rFonts w:ascii="Calibri" w:hAnsi="Calibri" w:cs="Calibri"/>
          <w:color w:val="000000" w:themeColor="text1"/>
        </w:rPr>
        <w:t xml:space="preserve"> household problems and severe housing cost burden within the Burlington jurisdiction. Again, nonfamily households experience the highest rate of </w:t>
      </w:r>
      <w:r w:rsidRPr="5F884969">
        <w:rPr>
          <w:rFonts w:ascii="Calibri" w:hAnsi="Calibri" w:cs="Calibri"/>
          <w:i/>
          <w:iCs/>
          <w:color w:val="000000" w:themeColor="text1"/>
        </w:rPr>
        <w:t>severe</w:t>
      </w:r>
      <w:r w:rsidRPr="5F884969">
        <w:rPr>
          <w:rFonts w:ascii="Calibri" w:hAnsi="Calibri" w:cs="Calibri"/>
          <w:color w:val="000000" w:themeColor="text1"/>
        </w:rPr>
        <w:t xml:space="preserve"> housing cost burden within </w:t>
      </w:r>
      <w:r w:rsidRPr="5F884969">
        <w:rPr>
          <w:rFonts w:ascii="Calibri" w:hAnsi="Calibri" w:cs="Calibri"/>
          <w:color w:val="000000" w:themeColor="text1"/>
        </w:rPr>
        <w:lastRenderedPageBreak/>
        <w:t>Burlington.</w:t>
      </w:r>
    </w:p>
    <w:p w14:paraId="52703ECC" w14:textId="77777777" w:rsidR="00A67AB1" w:rsidRDefault="00A67AB1" w:rsidP="00A67AB1">
      <w:pPr>
        <w:pStyle w:val="ListParagraph"/>
        <w:widowControl w:val="0"/>
        <w:autoSpaceDE w:val="0"/>
        <w:autoSpaceDN w:val="0"/>
        <w:adjustRightInd w:val="0"/>
        <w:ind w:left="540"/>
        <w:rPr>
          <w:rFonts w:ascii="Calibri" w:hAnsi="Calibri" w:cs="Calibri"/>
          <w:bCs/>
          <w:color w:val="000000"/>
        </w:rPr>
      </w:pPr>
    </w:p>
    <w:p w14:paraId="3725FFBC" w14:textId="77777777" w:rsidR="00A67AB1" w:rsidRPr="002F44EF" w:rsidRDefault="5F884969" w:rsidP="002F7C2E">
      <w:pPr>
        <w:pStyle w:val="ListParagraph"/>
        <w:widowControl w:val="0"/>
        <w:autoSpaceDE w:val="0"/>
        <w:autoSpaceDN w:val="0"/>
        <w:adjustRightInd w:val="0"/>
        <w:ind w:left="540"/>
        <w:outlineLvl w:val="0"/>
        <w:rPr>
          <w:rFonts w:ascii="Calibri" w:hAnsi="Calibri" w:cs="Calibri"/>
          <w:b/>
          <w:bCs/>
          <w:i/>
          <w:iCs/>
          <w:color w:val="000000" w:themeColor="text1"/>
        </w:rPr>
      </w:pPr>
      <w:r w:rsidRPr="5F884969">
        <w:rPr>
          <w:rFonts w:ascii="Calibri" w:hAnsi="Calibri" w:cs="Calibri"/>
          <w:b/>
          <w:bCs/>
          <w:i/>
          <w:iCs/>
          <w:color w:val="000000" w:themeColor="text1"/>
        </w:rPr>
        <w:t>Burlington-South Burlington</w:t>
      </w:r>
    </w:p>
    <w:p w14:paraId="47D0B127" w14:textId="07F6E6B9" w:rsidR="00A67AB1" w:rsidRDefault="5F884969" w:rsidP="5F884969">
      <w:pPr>
        <w:pStyle w:val="ListParagraph"/>
        <w:widowControl w:val="0"/>
        <w:autoSpaceDE w:val="0"/>
        <w:autoSpaceDN w:val="0"/>
        <w:adjustRightInd w:val="0"/>
        <w:ind w:left="540"/>
        <w:rPr>
          <w:rFonts w:ascii="Calibri" w:hAnsi="Calibri" w:cs="Calibri"/>
          <w:color w:val="000000" w:themeColor="text1"/>
        </w:rPr>
      </w:pPr>
      <w:r w:rsidRPr="5F884969">
        <w:rPr>
          <w:rFonts w:ascii="Calibri" w:hAnsi="Calibri" w:cs="Calibri"/>
          <w:color w:val="000000" w:themeColor="text1"/>
        </w:rPr>
        <w:t>The Burlington-South Burlington data show us that Asian or Pacific Islander populations have the highest percentage of housing problems when compared to other populations. Similar to Burlington, nonfamily household</w:t>
      </w:r>
      <w:r w:rsidR="00602E99">
        <w:rPr>
          <w:rFonts w:ascii="Calibri" w:hAnsi="Calibri" w:cs="Calibri"/>
          <w:color w:val="000000" w:themeColor="text1"/>
        </w:rPr>
        <w:t>s</w:t>
      </w:r>
      <w:r w:rsidRPr="5F884969">
        <w:rPr>
          <w:rFonts w:ascii="Calibri" w:hAnsi="Calibri" w:cs="Calibri"/>
          <w:color w:val="000000" w:themeColor="text1"/>
        </w:rPr>
        <w:t xml:space="preserve"> experience more household problems than households with families. </w:t>
      </w:r>
    </w:p>
    <w:p w14:paraId="2C29078D" w14:textId="77777777" w:rsidR="00A67AB1" w:rsidRDefault="00A67AB1" w:rsidP="00A67AB1">
      <w:pPr>
        <w:pStyle w:val="ListParagraph"/>
        <w:widowControl w:val="0"/>
        <w:autoSpaceDE w:val="0"/>
        <w:autoSpaceDN w:val="0"/>
        <w:adjustRightInd w:val="0"/>
        <w:ind w:left="540"/>
        <w:rPr>
          <w:rFonts w:ascii="Calibri" w:hAnsi="Calibri" w:cs="Calibri"/>
          <w:bCs/>
          <w:color w:val="000000"/>
        </w:rPr>
      </w:pPr>
    </w:p>
    <w:p w14:paraId="54327F38" w14:textId="6AB02933" w:rsidR="00FC0FD4" w:rsidRPr="0008240C" w:rsidRDefault="5F884969" w:rsidP="0008240C">
      <w:pPr>
        <w:pStyle w:val="ListParagraph"/>
        <w:widowControl w:val="0"/>
        <w:autoSpaceDE w:val="0"/>
        <w:autoSpaceDN w:val="0"/>
        <w:adjustRightInd w:val="0"/>
        <w:ind w:left="540"/>
        <w:rPr>
          <w:rFonts w:ascii="Calibri" w:hAnsi="Calibri" w:cs="Calibri"/>
          <w:color w:val="000000" w:themeColor="text1"/>
        </w:rPr>
      </w:pPr>
      <w:r w:rsidRPr="5F884969">
        <w:rPr>
          <w:rFonts w:ascii="Calibri" w:hAnsi="Calibri" w:cs="Calibri"/>
          <w:color w:val="000000" w:themeColor="text1"/>
        </w:rPr>
        <w:t xml:space="preserve">Within the greater region, Asian or Pacific Islander populations also experience the highest rate of </w:t>
      </w:r>
      <w:r w:rsidRPr="5F884969">
        <w:rPr>
          <w:rFonts w:ascii="Calibri" w:hAnsi="Calibri" w:cs="Calibri"/>
          <w:i/>
          <w:iCs/>
          <w:color w:val="000000" w:themeColor="text1"/>
        </w:rPr>
        <w:t>severe</w:t>
      </w:r>
      <w:r w:rsidRPr="5F884969">
        <w:rPr>
          <w:rFonts w:ascii="Calibri" w:hAnsi="Calibri" w:cs="Calibri"/>
          <w:color w:val="000000" w:themeColor="text1"/>
        </w:rPr>
        <w:t xml:space="preserve"> household problems, including severe housing cost burden. Like Burlington, nonfamily households experience the highest rate of </w:t>
      </w:r>
      <w:r w:rsidRPr="5F884969">
        <w:rPr>
          <w:rFonts w:ascii="Calibri" w:hAnsi="Calibri" w:cs="Calibri"/>
          <w:i/>
          <w:iCs/>
          <w:color w:val="000000" w:themeColor="text1"/>
        </w:rPr>
        <w:t>severe</w:t>
      </w:r>
      <w:r w:rsidRPr="5F884969">
        <w:rPr>
          <w:rFonts w:ascii="Calibri" w:hAnsi="Calibri" w:cs="Calibri"/>
          <w:color w:val="000000" w:themeColor="text1"/>
        </w:rPr>
        <w:t xml:space="preserve"> housing co</w:t>
      </w:r>
      <w:r w:rsidR="0008240C">
        <w:rPr>
          <w:rFonts w:ascii="Calibri" w:hAnsi="Calibri" w:cs="Calibri"/>
          <w:color w:val="000000" w:themeColor="text1"/>
        </w:rPr>
        <w:t>st burden at the regional level.</w:t>
      </w:r>
    </w:p>
    <w:p w14:paraId="30475EDC" w14:textId="77777777" w:rsidR="00FC0FD4" w:rsidRDefault="00FC0FD4" w:rsidP="5F884969">
      <w:pPr>
        <w:pStyle w:val="ListParagraph"/>
        <w:widowControl w:val="0"/>
        <w:autoSpaceDE w:val="0"/>
        <w:autoSpaceDN w:val="0"/>
        <w:adjustRightInd w:val="0"/>
        <w:spacing w:after="0" w:line="240" w:lineRule="auto"/>
        <w:ind w:left="540"/>
        <w:rPr>
          <w:rFonts w:ascii="Calibri" w:hAnsi="Calibri" w:cs="Calibri"/>
          <w:b/>
          <w:bCs/>
          <w:color w:val="000000" w:themeColor="text1"/>
        </w:rPr>
      </w:pPr>
    </w:p>
    <w:p w14:paraId="3D0EFDC1" w14:textId="77777777" w:rsidR="00FC0FD4" w:rsidRDefault="00FC0FD4" w:rsidP="5F884969">
      <w:pPr>
        <w:pStyle w:val="ListParagraph"/>
        <w:widowControl w:val="0"/>
        <w:autoSpaceDE w:val="0"/>
        <w:autoSpaceDN w:val="0"/>
        <w:adjustRightInd w:val="0"/>
        <w:spacing w:after="0" w:line="240" w:lineRule="auto"/>
        <w:ind w:left="540"/>
        <w:rPr>
          <w:rFonts w:ascii="Calibri" w:hAnsi="Calibri" w:cs="Calibri"/>
          <w:b/>
          <w:bCs/>
          <w:color w:val="000000" w:themeColor="text1"/>
        </w:rPr>
      </w:pPr>
    </w:p>
    <w:p w14:paraId="0329BB2B" w14:textId="77777777" w:rsidR="00FC0FD4" w:rsidRDefault="00FC0FD4" w:rsidP="5F884969">
      <w:pPr>
        <w:pStyle w:val="ListParagraph"/>
        <w:widowControl w:val="0"/>
        <w:autoSpaceDE w:val="0"/>
        <w:autoSpaceDN w:val="0"/>
        <w:adjustRightInd w:val="0"/>
        <w:spacing w:after="0" w:line="240" w:lineRule="auto"/>
        <w:ind w:left="540"/>
        <w:rPr>
          <w:rFonts w:ascii="Calibri" w:hAnsi="Calibri" w:cs="Calibri"/>
          <w:b/>
          <w:bCs/>
          <w:color w:val="000000" w:themeColor="text1"/>
        </w:rPr>
      </w:pPr>
    </w:p>
    <w:p w14:paraId="72FE233B" w14:textId="77777777" w:rsidR="00FC0FD4" w:rsidRDefault="00FC0FD4" w:rsidP="5F884969">
      <w:pPr>
        <w:pStyle w:val="ListParagraph"/>
        <w:widowControl w:val="0"/>
        <w:autoSpaceDE w:val="0"/>
        <w:autoSpaceDN w:val="0"/>
        <w:adjustRightInd w:val="0"/>
        <w:spacing w:after="0" w:line="240" w:lineRule="auto"/>
        <w:ind w:left="540"/>
        <w:rPr>
          <w:rFonts w:ascii="Calibri" w:hAnsi="Calibri" w:cs="Calibri"/>
          <w:b/>
          <w:bCs/>
          <w:color w:val="000000" w:themeColor="text1"/>
        </w:rPr>
      </w:pPr>
    </w:p>
    <w:p w14:paraId="16F3DE83" w14:textId="6912F422" w:rsidR="00A67AB1" w:rsidRPr="0008240C" w:rsidRDefault="5F884969" w:rsidP="5F884969">
      <w:pPr>
        <w:pStyle w:val="ListParagraph"/>
        <w:widowControl w:val="0"/>
        <w:autoSpaceDE w:val="0"/>
        <w:autoSpaceDN w:val="0"/>
        <w:adjustRightInd w:val="0"/>
        <w:spacing w:after="0" w:line="240" w:lineRule="auto"/>
        <w:ind w:left="540"/>
        <w:rPr>
          <w:rFonts w:ascii="Calibri" w:hAnsi="Calibri" w:cs="Times"/>
          <w:b/>
          <w:bCs/>
          <w:i/>
          <w:color w:val="000000" w:themeColor="text1"/>
        </w:rPr>
      </w:pPr>
      <w:r w:rsidRPr="0008240C">
        <w:rPr>
          <w:rFonts w:ascii="Calibri" w:hAnsi="Calibri" w:cs="Calibri"/>
          <w:b/>
          <w:bCs/>
          <w:i/>
          <w:color w:val="000000" w:themeColor="text1"/>
        </w:rPr>
        <w:t>Which areas in the jurisdiction and region experience the greatest housing burdens?  Which of these areas align with segregated areas, integrated areas, or R/ECAPs and what are the predominant race/ethnicity or national origin groups in such areas?</w:t>
      </w:r>
    </w:p>
    <w:p w14:paraId="34393F03" w14:textId="5E9E00DA" w:rsidR="00F11448" w:rsidRDefault="00F11448" w:rsidP="004121A4">
      <w:pPr>
        <w:pStyle w:val="ListParagraph"/>
        <w:ind w:left="540"/>
        <w:rPr>
          <w:b/>
          <w:i/>
        </w:rPr>
      </w:pPr>
    </w:p>
    <w:p w14:paraId="01DA8CEC" w14:textId="73946CF1" w:rsidR="008D20CC" w:rsidRPr="00FC0FD4" w:rsidRDefault="5F884969" w:rsidP="00FC0FD4">
      <w:pPr>
        <w:pStyle w:val="ListParagraph"/>
        <w:widowControl w:val="0"/>
        <w:autoSpaceDE w:val="0"/>
        <w:autoSpaceDN w:val="0"/>
        <w:adjustRightInd w:val="0"/>
        <w:ind w:left="540"/>
        <w:rPr>
          <w:rFonts w:ascii="Calibri" w:hAnsi="Calibri" w:cs="Calibri"/>
          <w:color w:val="000000" w:themeColor="text1"/>
        </w:rPr>
      </w:pPr>
      <w:r w:rsidRPr="004673D6">
        <w:rPr>
          <w:rFonts w:ascii="Calibri" w:hAnsi="Calibri" w:cs="Calibri"/>
          <w:color w:val="000000" w:themeColor="text1"/>
        </w:rPr>
        <w:t>Map 15</w:t>
      </w:r>
      <w:r w:rsidRPr="5F884969">
        <w:rPr>
          <w:rFonts w:ascii="Calibri" w:hAnsi="Calibri" w:cs="Calibri"/>
          <w:color w:val="000000" w:themeColor="text1"/>
        </w:rPr>
        <w:t xml:space="preserve"> below shows the percent of households experiencing housing burden by census tract in the Burlington area. Areas that have the highest density of non-white populations, specifically census tracts 3, 4, and 5 appear to experienc</w:t>
      </w:r>
      <w:r w:rsidR="00FC0FD4">
        <w:rPr>
          <w:rFonts w:ascii="Calibri" w:hAnsi="Calibri" w:cs="Calibri"/>
          <w:color w:val="000000" w:themeColor="text1"/>
        </w:rPr>
        <w:t>e the greatest housing burdens.</w:t>
      </w:r>
    </w:p>
    <w:p w14:paraId="5D11044D" w14:textId="77777777" w:rsidR="008D20CC" w:rsidRPr="004673D6" w:rsidRDefault="008D20CC" w:rsidP="004673D6">
      <w:pPr>
        <w:tabs>
          <w:tab w:val="left" w:pos="7540"/>
        </w:tabs>
        <w:rPr>
          <w:sz w:val="20"/>
          <w:szCs w:val="20"/>
        </w:rPr>
      </w:pPr>
    </w:p>
    <w:p w14:paraId="5A477480" w14:textId="03C24C8C" w:rsidR="00FC7963" w:rsidRPr="00FC7963" w:rsidRDefault="00FC7963" w:rsidP="5F884969">
      <w:pPr>
        <w:spacing w:after="0"/>
        <w:ind w:left="540"/>
        <w:rPr>
          <w:sz w:val="20"/>
          <w:szCs w:val="20"/>
        </w:rPr>
      </w:pPr>
      <w:r w:rsidRPr="5F884969">
        <w:rPr>
          <w:b/>
          <w:bCs/>
          <w:i/>
          <w:iCs/>
          <w:sz w:val="20"/>
          <w:szCs w:val="20"/>
        </w:rPr>
        <w:t>Map 15:</w:t>
      </w:r>
      <w:r w:rsidRPr="00FC7963">
        <w:rPr>
          <w:sz w:val="20"/>
          <w:szCs w:val="20"/>
        </w:rPr>
        <w:t xml:space="preserve"> Map showing percent of households experiencing housing burdens in Burlington, VT area.</w:t>
      </w:r>
    </w:p>
    <w:p w14:paraId="23ABA624" w14:textId="4FFF3CFF" w:rsidR="00EB200D" w:rsidRDefault="004673D6" w:rsidP="00FD0DD7">
      <w:pPr>
        <w:rPr>
          <w:rFonts w:ascii="Calibri" w:hAnsi="Calibri" w:cs="Calibri"/>
          <w:bCs/>
          <w:color w:val="000000"/>
          <w:highlight w:val="yellow"/>
        </w:rPr>
      </w:pPr>
      <w:r>
        <w:rPr>
          <w:noProof/>
          <w:lang w:eastAsia="en-US"/>
        </w:rPr>
        <w:drawing>
          <wp:anchor distT="0" distB="0" distL="114300" distR="114300" simplePos="0" relativeHeight="251659264" behindDoc="0" locked="0" layoutInCell="1" allowOverlap="1" wp14:anchorId="66E1494F" wp14:editId="488C990E">
            <wp:simplePos x="0" y="0"/>
            <wp:positionH relativeFrom="column">
              <wp:posOffset>393700</wp:posOffset>
            </wp:positionH>
            <wp:positionV relativeFrom="paragraph">
              <wp:posOffset>57150</wp:posOffset>
            </wp:positionV>
            <wp:extent cx="5487035" cy="3035300"/>
            <wp:effectExtent l="25400" t="25400" r="24765" b="38100"/>
            <wp:wrapSquare wrapText="bothSides"/>
            <wp:docPr id="7" name="Picture 7" descr="../Desktop/New%20HUD%20Maps/HUDMap6_HouseholdBu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New%20HUD%20Maps/HUDMap6_HouseholdBurde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7035" cy="3035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82959E2" w14:textId="77777777" w:rsidR="00FD0DD7" w:rsidRDefault="00FD0DD7" w:rsidP="00FD0DD7">
      <w:pPr>
        <w:rPr>
          <w:rFonts w:ascii="Calibri" w:hAnsi="Calibri" w:cs="Calibri"/>
          <w:bCs/>
          <w:color w:val="000000"/>
        </w:rPr>
      </w:pPr>
    </w:p>
    <w:p w14:paraId="0569FCAF" w14:textId="77777777" w:rsidR="00FD0DD7" w:rsidRDefault="00FD0DD7" w:rsidP="00FD0DD7">
      <w:pPr>
        <w:rPr>
          <w:b/>
        </w:rPr>
      </w:pPr>
    </w:p>
    <w:p w14:paraId="4E0F8749" w14:textId="77777777" w:rsidR="00FD0DD7" w:rsidRPr="00FD0DD7" w:rsidRDefault="00FD0DD7" w:rsidP="00FD0DD7">
      <w:pPr>
        <w:rPr>
          <w:b/>
        </w:rPr>
      </w:pPr>
    </w:p>
    <w:p w14:paraId="44C5E0D3" w14:textId="77777777" w:rsidR="00FD0DD7" w:rsidRDefault="00FD0DD7" w:rsidP="00EB200D">
      <w:pPr>
        <w:pStyle w:val="ListParagraph"/>
        <w:widowControl w:val="0"/>
        <w:autoSpaceDE w:val="0"/>
        <w:autoSpaceDN w:val="0"/>
        <w:adjustRightInd w:val="0"/>
        <w:spacing w:after="0" w:line="240" w:lineRule="auto"/>
        <w:ind w:left="540"/>
        <w:rPr>
          <w:b/>
          <w:i/>
        </w:rPr>
      </w:pPr>
    </w:p>
    <w:p w14:paraId="03297D98" w14:textId="77777777" w:rsidR="0008240C" w:rsidRDefault="0008240C" w:rsidP="5F884969">
      <w:pPr>
        <w:pStyle w:val="ListParagraph"/>
        <w:widowControl w:val="0"/>
        <w:autoSpaceDE w:val="0"/>
        <w:autoSpaceDN w:val="0"/>
        <w:adjustRightInd w:val="0"/>
        <w:spacing w:after="0" w:line="240" w:lineRule="auto"/>
        <w:ind w:left="540"/>
        <w:rPr>
          <w:rFonts w:ascii="Calibri" w:hAnsi="Calibri" w:cs="Calibri"/>
          <w:b/>
          <w:bCs/>
          <w:color w:val="000000" w:themeColor="text1"/>
        </w:rPr>
      </w:pPr>
    </w:p>
    <w:p w14:paraId="69C3F18E" w14:textId="77777777" w:rsidR="0008240C" w:rsidRDefault="0008240C" w:rsidP="5F884969">
      <w:pPr>
        <w:pStyle w:val="ListParagraph"/>
        <w:widowControl w:val="0"/>
        <w:autoSpaceDE w:val="0"/>
        <w:autoSpaceDN w:val="0"/>
        <w:adjustRightInd w:val="0"/>
        <w:spacing w:after="0" w:line="240" w:lineRule="auto"/>
        <w:ind w:left="540"/>
        <w:rPr>
          <w:rFonts w:ascii="Calibri" w:hAnsi="Calibri" w:cs="Calibri"/>
          <w:b/>
          <w:bCs/>
          <w:color w:val="000000" w:themeColor="text1"/>
        </w:rPr>
      </w:pPr>
    </w:p>
    <w:p w14:paraId="74512953" w14:textId="5CD9DDF9" w:rsidR="00DF6B0A" w:rsidRPr="0008240C" w:rsidRDefault="5F884969" w:rsidP="5F884969">
      <w:pPr>
        <w:pStyle w:val="ListParagraph"/>
        <w:widowControl w:val="0"/>
        <w:autoSpaceDE w:val="0"/>
        <w:autoSpaceDN w:val="0"/>
        <w:adjustRightInd w:val="0"/>
        <w:spacing w:after="0" w:line="240" w:lineRule="auto"/>
        <w:ind w:left="540"/>
        <w:rPr>
          <w:rFonts w:ascii="Calibri" w:hAnsi="Calibri" w:cs="Times"/>
          <w:b/>
          <w:bCs/>
          <w:i/>
          <w:color w:val="000000" w:themeColor="text1"/>
        </w:rPr>
      </w:pPr>
      <w:r w:rsidRPr="0008240C">
        <w:rPr>
          <w:rFonts w:ascii="Calibri" w:hAnsi="Calibri" w:cs="Calibri"/>
          <w:b/>
          <w:bCs/>
          <w:i/>
          <w:color w:val="000000" w:themeColor="text1"/>
        </w:rPr>
        <w:lastRenderedPageBreak/>
        <w:t xml:space="preserve">Compare the needs of families with children for housing units with two, and three or more bedrooms with the available existing housing stock in each category of publicly supported housing for the jurisdiction and region. </w:t>
      </w:r>
    </w:p>
    <w:p w14:paraId="58CB010C" w14:textId="77777777" w:rsidR="00652BC9" w:rsidRDefault="00652BC9" w:rsidP="00F824E8"/>
    <w:p w14:paraId="36AD580A" w14:textId="0379622C" w:rsidR="002735D1" w:rsidRDefault="00210EF0" w:rsidP="006B6505">
      <w:pPr>
        <w:ind w:left="540"/>
      </w:pPr>
      <w:r>
        <w:t>Table 18</w:t>
      </w:r>
      <w:r w:rsidR="007C3381">
        <w:t xml:space="preserve"> shows the characteristics of </w:t>
      </w:r>
      <w:r w:rsidR="00AA68A9">
        <w:t xml:space="preserve">affordable housing units within Burlington. </w:t>
      </w:r>
      <w:r w:rsidR="00D1468A">
        <w:t>There are a total of 1</w:t>
      </w:r>
      <w:r w:rsidR="003151C9">
        <w:t>,</w:t>
      </w:r>
      <w:r w:rsidR="00D1468A">
        <w:t>152 affordable housing units in Burlington over 2 bedrooms in the inventory of 9,651 rental units. In our public housing inventory, as noted in Table 18, there are 250 units of 2 or more bedrooms, representing 22% of the current inventory.  According to ACS 2015, there are 1,846 families with children in Burlington who consist of 4 or more persons, most likely in need of this size of housing. Following the same ratio of owner versus renter (60 vs. 40%), approximately 1</w:t>
      </w:r>
      <w:r w:rsidR="00413FBE">
        <w:t>,</w:t>
      </w:r>
      <w:r w:rsidR="00D1468A">
        <w:t>100 families would need housing</w:t>
      </w:r>
      <w:r w:rsidR="00D60A50">
        <w:t xml:space="preserve"> but not all families would be income-qualified</w:t>
      </w:r>
      <w:r w:rsidR="00B062BD">
        <w:t>.  T</w:t>
      </w:r>
      <w:r w:rsidR="00D1468A">
        <w:t xml:space="preserve">here is definitely a need </w:t>
      </w:r>
      <w:r w:rsidR="00FF0C42">
        <w:t>for</w:t>
      </w:r>
      <w:r w:rsidR="00B062BD">
        <w:t xml:space="preserve"> subsidized housing units for</w:t>
      </w:r>
      <w:r w:rsidR="00FF0C42">
        <w:t xml:space="preserve"> our lowest income families.</w:t>
      </w:r>
    </w:p>
    <w:p w14:paraId="1F896D0C" w14:textId="77777777" w:rsidR="002735D1" w:rsidRDefault="002735D1" w:rsidP="006B6505"/>
    <w:p w14:paraId="5F0098EF" w14:textId="542F613F" w:rsidR="00664F27" w:rsidRPr="00AA68A9" w:rsidRDefault="00210EF0" w:rsidP="00AA68A9">
      <w:pPr>
        <w:rPr>
          <w:sz w:val="20"/>
          <w:szCs w:val="20"/>
        </w:rPr>
      </w:pPr>
      <w:r>
        <w:rPr>
          <w:b/>
          <w:i/>
          <w:sz w:val="20"/>
          <w:szCs w:val="20"/>
        </w:rPr>
        <w:t>Table 18</w:t>
      </w:r>
      <w:r w:rsidR="00664F27" w:rsidRPr="00AA68A9">
        <w:rPr>
          <w:b/>
          <w:i/>
          <w:sz w:val="20"/>
          <w:szCs w:val="20"/>
        </w:rPr>
        <w:t>:</w:t>
      </w:r>
      <w:r w:rsidR="00664F27" w:rsidRPr="00AA68A9">
        <w:rPr>
          <w:sz w:val="20"/>
          <w:szCs w:val="20"/>
        </w:rPr>
        <w:t xml:space="preserve"> Types of housing units in Burlington, VT.</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6"/>
        <w:gridCol w:w="931"/>
        <w:gridCol w:w="1178"/>
        <w:gridCol w:w="1057"/>
        <w:gridCol w:w="1057"/>
        <w:gridCol w:w="1057"/>
        <w:gridCol w:w="1057"/>
        <w:gridCol w:w="1057"/>
        <w:gridCol w:w="1210"/>
      </w:tblGrid>
      <w:tr w:rsidR="00336260" w14:paraId="499A8319" w14:textId="77777777" w:rsidTr="004D2D4E">
        <w:trPr>
          <w:trHeight w:val="300"/>
        </w:trPr>
        <w:tc>
          <w:tcPr>
            <w:tcW w:w="1128" w:type="dxa"/>
            <w:noWrap/>
            <w:tcMar>
              <w:top w:w="0" w:type="dxa"/>
              <w:left w:w="108" w:type="dxa"/>
              <w:bottom w:w="0" w:type="dxa"/>
              <w:right w:w="108" w:type="dxa"/>
            </w:tcMar>
            <w:vAlign w:val="bottom"/>
            <w:hideMark/>
          </w:tcPr>
          <w:p w14:paraId="17E47229" w14:textId="77777777" w:rsidR="00336260" w:rsidRPr="00664F27" w:rsidRDefault="5F884969" w:rsidP="5F884969">
            <w:pPr>
              <w:rPr>
                <w:b/>
                <w:color w:val="000000" w:themeColor="text1"/>
              </w:rPr>
            </w:pPr>
            <w:r w:rsidRPr="00664F27">
              <w:rPr>
                <w:b/>
                <w:color w:val="000000" w:themeColor="text1"/>
              </w:rPr>
              <w:t>Properties</w:t>
            </w:r>
          </w:p>
        </w:tc>
        <w:tc>
          <w:tcPr>
            <w:tcW w:w="931" w:type="dxa"/>
            <w:noWrap/>
            <w:tcMar>
              <w:top w:w="0" w:type="dxa"/>
              <w:left w:w="108" w:type="dxa"/>
              <w:bottom w:w="0" w:type="dxa"/>
              <w:right w:w="108" w:type="dxa"/>
            </w:tcMar>
            <w:vAlign w:val="bottom"/>
            <w:hideMark/>
          </w:tcPr>
          <w:p w14:paraId="31FC6045" w14:textId="77777777" w:rsidR="00336260" w:rsidRPr="00664F27" w:rsidRDefault="5F884969" w:rsidP="5F884969">
            <w:pPr>
              <w:rPr>
                <w:b/>
                <w:color w:val="000000" w:themeColor="text1"/>
              </w:rPr>
            </w:pPr>
            <w:r w:rsidRPr="00664F27">
              <w:rPr>
                <w:b/>
                <w:color w:val="000000" w:themeColor="text1"/>
              </w:rPr>
              <w:t>Total units</w:t>
            </w:r>
          </w:p>
        </w:tc>
        <w:tc>
          <w:tcPr>
            <w:tcW w:w="1141" w:type="dxa"/>
            <w:noWrap/>
            <w:tcMar>
              <w:top w:w="0" w:type="dxa"/>
              <w:left w:w="108" w:type="dxa"/>
              <w:bottom w:w="0" w:type="dxa"/>
              <w:right w:w="108" w:type="dxa"/>
            </w:tcMar>
            <w:vAlign w:val="bottom"/>
            <w:hideMark/>
          </w:tcPr>
          <w:p w14:paraId="3A060B96" w14:textId="77777777" w:rsidR="00336260" w:rsidRPr="00664F27" w:rsidRDefault="5F884969" w:rsidP="5F884969">
            <w:pPr>
              <w:rPr>
                <w:b/>
                <w:color w:val="000000" w:themeColor="text1"/>
              </w:rPr>
            </w:pPr>
            <w:r w:rsidRPr="00664F27">
              <w:rPr>
                <w:b/>
                <w:color w:val="000000" w:themeColor="text1"/>
              </w:rPr>
              <w:t>Single room occupancy units</w:t>
            </w:r>
          </w:p>
        </w:tc>
        <w:tc>
          <w:tcPr>
            <w:tcW w:w="1025" w:type="dxa"/>
            <w:noWrap/>
            <w:tcMar>
              <w:top w:w="0" w:type="dxa"/>
              <w:left w:w="108" w:type="dxa"/>
              <w:bottom w:w="0" w:type="dxa"/>
              <w:right w:w="108" w:type="dxa"/>
            </w:tcMar>
            <w:vAlign w:val="bottom"/>
            <w:hideMark/>
          </w:tcPr>
          <w:p w14:paraId="14F74F23" w14:textId="77777777" w:rsidR="00336260" w:rsidRPr="00664F27" w:rsidRDefault="5F884969" w:rsidP="5F884969">
            <w:pPr>
              <w:rPr>
                <w:b/>
                <w:color w:val="000000" w:themeColor="text1"/>
              </w:rPr>
            </w:pPr>
            <w:r w:rsidRPr="00664F27">
              <w:rPr>
                <w:b/>
                <w:color w:val="000000" w:themeColor="text1"/>
              </w:rPr>
              <w:t>Zero bedroom units</w:t>
            </w:r>
          </w:p>
        </w:tc>
        <w:tc>
          <w:tcPr>
            <w:tcW w:w="1025" w:type="dxa"/>
            <w:noWrap/>
            <w:tcMar>
              <w:top w:w="0" w:type="dxa"/>
              <w:left w:w="108" w:type="dxa"/>
              <w:bottom w:w="0" w:type="dxa"/>
              <w:right w:w="108" w:type="dxa"/>
            </w:tcMar>
            <w:vAlign w:val="bottom"/>
            <w:hideMark/>
          </w:tcPr>
          <w:p w14:paraId="6EA3BCCA" w14:textId="77777777" w:rsidR="00336260" w:rsidRPr="00664F27" w:rsidRDefault="5F884969" w:rsidP="5F884969">
            <w:pPr>
              <w:rPr>
                <w:b/>
                <w:color w:val="000000" w:themeColor="text1"/>
              </w:rPr>
            </w:pPr>
            <w:r w:rsidRPr="00664F27">
              <w:rPr>
                <w:b/>
                <w:color w:val="000000" w:themeColor="text1"/>
              </w:rPr>
              <w:t>1 bedroom units</w:t>
            </w:r>
          </w:p>
        </w:tc>
        <w:tc>
          <w:tcPr>
            <w:tcW w:w="1025" w:type="dxa"/>
            <w:noWrap/>
            <w:tcMar>
              <w:top w:w="0" w:type="dxa"/>
              <w:left w:w="108" w:type="dxa"/>
              <w:bottom w:w="0" w:type="dxa"/>
              <w:right w:w="108" w:type="dxa"/>
            </w:tcMar>
            <w:vAlign w:val="bottom"/>
            <w:hideMark/>
          </w:tcPr>
          <w:p w14:paraId="1A8E91BD" w14:textId="77777777" w:rsidR="00336260" w:rsidRPr="00664F27" w:rsidRDefault="5F884969" w:rsidP="5F884969">
            <w:pPr>
              <w:rPr>
                <w:b/>
                <w:color w:val="000000" w:themeColor="text1"/>
              </w:rPr>
            </w:pPr>
            <w:r w:rsidRPr="00664F27">
              <w:rPr>
                <w:b/>
                <w:color w:val="000000" w:themeColor="text1"/>
              </w:rPr>
              <w:t>2 bedroom units</w:t>
            </w:r>
          </w:p>
        </w:tc>
        <w:tc>
          <w:tcPr>
            <w:tcW w:w="1025" w:type="dxa"/>
            <w:noWrap/>
            <w:tcMar>
              <w:top w:w="0" w:type="dxa"/>
              <w:left w:w="108" w:type="dxa"/>
              <w:bottom w:w="0" w:type="dxa"/>
              <w:right w:w="108" w:type="dxa"/>
            </w:tcMar>
            <w:vAlign w:val="bottom"/>
            <w:hideMark/>
          </w:tcPr>
          <w:p w14:paraId="6A79B8FA" w14:textId="77777777" w:rsidR="00336260" w:rsidRPr="00664F27" w:rsidRDefault="5F884969" w:rsidP="5F884969">
            <w:pPr>
              <w:rPr>
                <w:b/>
                <w:color w:val="000000" w:themeColor="text1"/>
              </w:rPr>
            </w:pPr>
            <w:r w:rsidRPr="00664F27">
              <w:rPr>
                <w:b/>
                <w:color w:val="000000" w:themeColor="text1"/>
              </w:rPr>
              <w:t>3 bedroom units</w:t>
            </w:r>
          </w:p>
        </w:tc>
        <w:tc>
          <w:tcPr>
            <w:tcW w:w="1025" w:type="dxa"/>
            <w:noWrap/>
            <w:tcMar>
              <w:top w:w="0" w:type="dxa"/>
              <w:left w:w="108" w:type="dxa"/>
              <w:bottom w:w="0" w:type="dxa"/>
              <w:right w:w="108" w:type="dxa"/>
            </w:tcMar>
            <w:vAlign w:val="bottom"/>
            <w:hideMark/>
          </w:tcPr>
          <w:p w14:paraId="5ABA4D4C" w14:textId="77777777" w:rsidR="00336260" w:rsidRPr="00664F27" w:rsidRDefault="5F884969" w:rsidP="5F884969">
            <w:pPr>
              <w:rPr>
                <w:b/>
                <w:color w:val="000000" w:themeColor="text1"/>
              </w:rPr>
            </w:pPr>
            <w:r w:rsidRPr="00664F27">
              <w:rPr>
                <w:b/>
                <w:color w:val="000000" w:themeColor="text1"/>
              </w:rPr>
              <w:t>4 bedroom units</w:t>
            </w:r>
          </w:p>
        </w:tc>
        <w:tc>
          <w:tcPr>
            <w:tcW w:w="1210" w:type="dxa"/>
            <w:noWrap/>
            <w:tcMar>
              <w:top w:w="0" w:type="dxa"/>
              <w:left w:w="108" w:type="dxa"/>
              <w:bottom w:w="0" w:type="dxa"/>
              <w:right w:w="108" w:type="dxa"/>
            </w:tcMar>
            <w:vAlign w:val="bottom"/>
            <w:hideMark/>
          </w:tcPr>
          <w:p w14:paraId="38344DD4" w14:textId="77777777" w:rsidR="00336260" w:rsidRPr="00664F27" w:rsidRDefault="5F884969" w:rsidP="5F884969">
            <w:pPr>
              <w:rPr>
                <w:b/>
                <w:color w:val="000000" w:themeColor="text1"/>
              </w:rPr>
            </w:pPr>
            <w:r w:rsidRPr="00664F27">
              <w:rPr>
                <w:b/>
                <w:color w:val="000000" w:themeColor="text1"/>
              </w:rPr>
              <w:t>5+ bedroom units</w:t>
            </w:r>
          </w:p>
        </w:tc>
      </w:tr>
      <w:tr w:rsidR="00336260" w14:paraId="17A925F6" w14:textId="77777777" w:rsidTr="004D2D4E">
        <w:trPr>
          <w:trHeight w:val="300"/>
        </w:trPr>
        <w:tc>
          <w:tcPr>
            <w:tcW w:w="1128" w:type="dxa"/>
            <w:noWrap/>
            <w:tcMar>
              <w:top w:w="0" w:type="dxa"/>
              <w:left w:w="108" w:type="dxa"/>
              <w:bottom w:w="0" w:type="dxa"/>
              <w:right w:w="108" w:type="dxa"/>
            </w:tcMar>
            <w:vAlign w:val="bottom"/>
            <w:hideMark/>
          </w:tcPr>
          <w:p w14:paraId="47A4420E" w14:textId="77777777" w:rsidR="00336260" w:rsidRDefault="5F884969" w:rsidP="5F884969">
            <w:pPr>
              <w:jc w:val="right"/>
              <w:rPr>
                <w:color w:val="000000" w:themeColor="text1"/>
              </w:rPr>
            </w:pPr>
            <w:r w:rsidRPr="5F884969">
              <w:rPr>
                <w:color w:val="000000" w:themeColor="text1"/>
              </w:rPr>
              <w:t>70</w:t>
            </w:r>
          </w:p>
        </w:tc>
        <w:tc>
          <w:tcPr>
            <w:tcW w:w="931" w:type="dxa"/>
            <w:noWrap/>
            <w:tcMar>
              <w:top w:w="0" w:type="dxa"/>
              <w:left w:w="108" w:type="dxa"/>
              <w:bottom w:w="0" w:type="dxa"/>
              <w:right w:w="108" w:type="dxa"/>
            </w:tcMar>
            <w:vAlign w:val="bottom"/>
            <w:hideMark/>
          </w:tcPr>
          <w:p w14:paraId="0386E31D" w14:textId="77777777" w:rsidR="00336260" w:rsidRDefault="5F884969" w:rsidP="5F884969">
            <w:pPr>
              <w:jc w:val="right"/>
              <w:rPr>
                <w:color w:val="000000" w:themeColor="text1"/>
              </w:rPr>
            </w:pPr>
            <w:r w:rsidRPr="5F884969">
              <w:rPr>
                <w:color w:val="000000" w:themeColor="text1"/>
              </w:rPr>
              <w:t>2320</w:t>
            </w:r>
          </w:p>
        </w:tc>
        <w:tc>
          <w:tcPr>
            <w:tcW w:w="1141" w:type="dxa"/>
            <w:noWrap/>
            <w:tcMar>
              <w:top w:w="0" w:type="dxa"/>
              <w:left w:w="108" w:type="dxa"/>
              <w:bottom w:w="0" w:type="dxa"/>
              <w:right w:w="108" w:type="dxa"/>
            </w:tcMar>
            <w:vAlign w:val="bottom"/>
            <w:hideMark/>
          </w:tcPr>
          <w:p w14:paraId="68C382B6" w14:textId="77777777" w:rsidR="00336260" w:rsidRDefault="5F884969" w:rsidP="5F884969">
            <w:pPr>
              <w:jc w:val="right"/>
              <w:rPr>
                <w:color w:val="000000" w:themeColor="text1"/>
              </w:rPr>
            </w:pPr>
            <w:r w:rsidRPr="5F884969">
              <w:rPr>
                <w:color w:val="000000" w:themeColor="text1"/>
              </w:rPr>
              <w:t>138</w:t>
            </w:r>
          </w:p>
        </w:tc>
        <w:tc>
          <w:tcPr>
            <w:tcW w:w="1025" w:type="dxa"/>
            <w:noWrap/>
            <w:tcMar>
              <w:top w:w="0" w:type="dxa"/>
              <w:left w:w="108" w:type="dxa"/>
              <w:bottom w:w="0" w:type="dxa"/>
              <w:right w:w="108" w:type="dxa"/>
            </w:tcMar>
            <w:vAlign w:val="bottom"/>
            <w:hideMark/>
          </w:tcPr>
          <w:p w14:paraId="2F7A5C48" w14:textId="77777777" w:rsidR="00336260" w:rsidRDefault="5F884969" w:rsidP="5F884969">
            <w:pPr>
              <w:jc w:val="right"/>
              <w:rPr>
                <w:color w:val="000000" w:themeColor="text1"/>
              </w:rPr>
            </w:pPr>
            <w:r w:rsidRPr="5F884969">
              <w:rPr>
                <w:color w:val="000000" w:themeColor="text1"/>
              </w:rPr>
              <w:t>164</w:t>
            </w:r>
          </w:p>
        </w:tc>
        <w:tc>
          <w:tcPr>
            <w:tcW w:w="1025" w:type="dxa"/>
            <w:noWrap/>
            <w:tcMar>
              <w:top w:w="0" w:type="dxa"/>
              <w:left w:w="108" w:type="dxa"/>
              <w:bottom w:w="0" w:type="dxa"/>
              <w:right w:w="108" w:type="dxa"/>
            </w:tcMar>
            <w:vAlign w:val="bottom"/>
            <w:hideMark/>
          </w:tcPr>
          <w:p w14:paraId="0432F9AC" w14:textId="77777777" w:rsidR="00336260" w:rsidRDefault="5F884969" w:rsidP="5F884969">
            <w:pPr>
              <w:jc w:val="right"/>
              <w:rPr>
                <w:color w:val="000000" w:themeColor="text1"/>
              </w:rPr>
            </w:pPr>
            <w:r w:rsidRPr="5F884969">
              <w:rPr>
                <w:color w:val="000000" w:themeColor="text1"/>
              </w:rPr>
              <w:t>866</w:t>
            </w:r>
          </w:p>
        </w:tc>
        <w:tc>
          <w:tcPr>
            <w:tcW w:w="1025" w:type="dxa"/>
            <w:noWrap/>
            <w:tcMar>
              <w:top w:w="0" w:type="dxa"/>
              <w:left w:w="108" w:type="dxa"/>
              <w:bottom w:w="0" w:type="dxa"/>
              <w:right w:w="108" w:type="dxa"/>
            </w:tcMar>
            <w:vAlign w:val="bottom"/>
            <w:hideMark/>
          </w:tcPr>
          <w:p w14:paraId="32A0E1D9" w14:textId="77777777" w:rsidR="00336260" w:rsidRDefault="5F884969" w:rsidP="5F884969">
            <w:pPr>
              <w:jc w:val="right"/>
              <w:rPr>
                <w:color w:val="000000" w:themeColor="text1"/>
              </w:rPr>
            </w:pPr>
            <w:r w:rsidRPr="5F884969">
              <w:rPr>
                <w:color w:val="000000" w:themeColor="text1"/>
              </w:rPr>
              <w:t>762</w:t>
            </w:r>
          </w:p>
        </w:tc>
        <w:tc>
          <w:tcPr>
            <w:tcW w:w="1025" w:type="dxa"/>
            <w:noWrap/>
            <w:tcMar>
              <w:top w:w="0" w:type="dxa"/>
              <w:left w:w="108" w:type="dxa"/>
              <w:bottom w:w="0" w:type="dxa"/>
              <w:right w:w="108" w:type="dxa"/>
            </w:tcMar>
            <w:vAlign w:val="bottom"/>
            <w:hideMark/>
          </w:tcPr>
          <w:p w14:paraId="61051BAB" w14:textId="77777777" w:rsidR="00336260" w:rsidRDefault="5F884969" w:rsidP="5F884969">
            <w:pPr>
              <w:jc w:val="right"/>
              <w:rPr>
                <w:color w:val="000000" w:themeColor="text1"/>
              </w:rPr>
            </w:pPr>
            <w:r w:rsidRPr="5F884969">
              <w:rPr>
                <w:color w:val="000000" w:themeColor="text1"/>
              </w:rPr>
              <w:t>366</w:t>
            </w:r>
          </w:p>
        </w:tc>
        <w:tc>
          <w:tcPr>
            <w:tcW w:w="1025" w:type="dxa"/>
            <w:noWrap/>
            <w:tcMar>
              <w:top w:w="0" w:type="dxa"/>
              <w:left w:w="108" w:type="dxa"/>
              <w:bottom w:w="0" w:type="dxa"/>
              <w:right w:w="108" w:type="dxa"/>
            </w:tcMar>
            <w:vAlign w:val="bottom"/>
            <w:hideMark/>
          </w:tcPr>
          <w:p w14:paraId="1C036729" w14:textId="77777777" w:rsidR="00336260" w:rsidRDefault="5F884969" w:rsidP="5F884969">
            <w:pPr>
              <w:jc w:val="right"/>
              <w:rPr>
                <w:color w:val="000000" w:themeColor="text1"/>
              </w:rPr>
            </w:pPr>
            <w:r w:rsidRPr="5F884969">
              <w:rPr>
                <w:color w:val="000000" w:themeColor="text1"/>
              </w:rPr>
              <w:t>21</w:t>
            </w:r>
          </w:p>
        </w:tc>
        <w:tc>
          <w:tcPr>
            <w:tcW w:w="1210" w:type="dxa"/>
            <w:noWrap/>
            <w:tcMar>
              <w:top w:w="0" w:type="dxa"/>
              <w:left w:w="108" w:type="dxa"/>
              <w:bottom w:w="0" w:type="dxa"/>
              <w:right w:w="108" w:type="dxa"/>
            </w:tcMar>
            <w:vAlign w:val="bottom"/>
            <w:hideMark/>
          </w:tcPr>
          <w:p w14:paraId="499942EC" w14:textId="77777777" w:rsidR="00336260" w:rsidRDefault="5F884969" w:rsidP="5F884969">
            <w:pPr>
              <w:jc w:val="right"/>
              <w:rPr>
                <w:color w:val="000000" w:themeColor="text1"/>
              </w:rPr>
            </w:pPr>
            <w:r w:rsidRPr="5F884969">
              <w:rPr>
                <w:color w:val="000000" w:themeColor="text1"/>
              </w:rPr>
              <w:t>3</w:t>
            </w:r>
          </w:p>
        </w:tc>
      </w:tr>
    </w:tbl>
    <w:p w14:paraId="114EE004" w14:textId="77777777" w:rsidR="00AA68A9" w:rsidRDefault="00AA68A9" w:rsidP="00DC0784">
      <w:pPr>
        <w:spacing w:after="0"/>
        <w:rPr>
          <w:rFonts w:ascii="Calibri" w:hAnsi="Calibri"/>
          <w:b/>
          <w:bCs/>
          <w:i/>
          <w:sz w:val="20"/>
          <w:szCs w:val="20"/>
        </w:rPr>
      </w:pPr>
    </w:p>
    <w:p w14:paraId="19F4A391" w14:textId="77777777" w:rsidR="00AA68A9" w:rsidRDefault="00AA68A9" w:rsidP="00DC0784">
      <w:pPr>
        <w:spacing w:after="0"/>
        <w:rPr>
          <w:rFonts w:ascii="Calibri" w:hAnsi="Calibri"/>
          <w:b/>
          <w:bCs/>
          <w:i/>
          <w:sz w:val="20"/>
          <w:szCs w:val="20"/>
        </w:rPr>
      </w:pPr>
    </w:p>
    <w:p w14:paraId="14E7196F" w14:textId="763B99E6" w:rsidR="00336260" w:rsidRPr="00DC0784" w:rsidRDefault="00210EF0" w:rsidP="00DC0784">
      <w:pPr>
        <w:spacing w:after="0"/>
        <w:rPr>
          <w:sz w:val="20"/>
          <w:szCs w:val="20"/>
        </w:rPr>
      </w:pPr>
      <w:r>
        <w:rPr>
          <w:rFonts w:ascii="Calibri" w:hAnsi="Calibri"/>
          <w:b/>
          <w:bCs/>
          <w:i/>
          <w:sz w:val="20"/>
          <w:szCs w:val="20"/>
        </w:rPr>
        <w:t>Table 19</w:t>
      </w:r>
      <w:r w:rsidR="00DC0784" w:rsidRPr="00DC0784">
        <w:rPr>
          <w:rFonts w:ascii="Calibri" w:hAnsi="Calibri"/>
          <w:b/>
          <w:bCs/>
          <w:i/>
          <w:sz w:val="20"/>
          <w:szCs w:val="20"/>
        </w:rPr>
        <w:t>:</w:t>
      </w:r>
      <w:r w:rsidR="00DC0784" w:rsidRPr="00DC0784">
        <w:rPr>
          <w:rFonts w:ascii="Calibri" w:hAnsi="Calibri"/>
          <w:bCs/>
          <w:sz w:val="20"/>
          <w:szCs w:val="20"/>
        </w:rPr>
        <w:t xml:space="preserve"> BHA Developments, </w:t>
      </w:r>
      <w:r w:rsidR="5F884969" w:rsidRPr="00DC0784">
        <w:rPr>
          <w:rFonts w:ascii="Calibri" w:hAnsi="Calibri"/>
          <w:bCs/>
          <w:sz w:val="20"/>
          <w:szCs w:val="20"/>
        </w:rPr>
        <w:t>Number of Bedrooms</w:t>
      </w:r>
      <w:r w:rsidR="00DC0784" w:rsidRPr="00DC0784">
        <w:rPr>
          <w:rFonts w:ascii="Calibri" w:hAnsi="Calibri"/>
          <w:bCs/>
          <w:sz w:val="20"/>
          <w:szCs w:val="20"/>
        </w:rPr>
        <w:t>.</w:t>
      </w:r>
    </w:p>
    <w:tbl>
      <w:tblPr>
        <w:tblW w:w="9240" w:type="dxa"/>
        <w:tblInd w:w="100" w:type="dxa"/>
        <w:tblCellMar>
          <w:left w:w="0" w:type="dxa"/>
          <w:right w:w="0" w:type="dxa"/>
        </w:tblCellMar>
        <w:tblLook w:val="04A0" w:firstRow="1" w:lastRow="0" w:firstColumn="1" w:lastColumn="0" w:noHBand="0" w:noVBand="1"/>
      </w:tblPr>
      <w:tblGrid>
        <w:gridCol w:w="2979"/>
        <w:gridCol w:w="855"/>
        <w:gridCol w:w="856"/>
        <w:gridCol w:w="270"/>
        <w:gridCol w:w="856"/>
        <w:gridCol w:w="856"/>
        <w:gridCol w:w="856"/>
        <w:gridCol w:w="856"/>
        <w:gridCol w:w="856"/>
      </w:tblGrid>
      <w:tr w:rsidR="001B5245" w14:paraId="6BE7D956" w14:textId="77777777" w:rsidTr="001B5245">
        <w:trPr>
          <w:trHeight w:val="288"/>
        </w:trPr>
        <w:tc>
          <w:tcPr>
            <w:tcW w:w="297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0C76316" w14:textId="77777777" w:rsidR="001B5245" w:rsidRDefault="001B5245" w:rsidP="5F884969">
            <w:pPr>
              <w:spacing w:before="100" w:beforeAutospacing="1" w:after="100" w:afterAutospacing="1"/>
            </w:pPr>
            <w:r w:rsidRPr="5F884969">
              <w:rPr>
                <w:rFonts w:ascii="Calibri" w:hAnsi="Calibri"/>
                <w:b/>
                <w:bCs/>
                <w:color w:val="000000" w:themeColor="text1"/>
              </w:rPr>
              <w:t>BHA Property</w:t>
            </w:r>
          </w:p>
        </w:tc>
        <w:tc>
          <w:tcPr>
            <w:tcW w:w="85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C30F976" w14:textId="77777777" w:rsidR="001B5245" w:rsidRDefault="001B5245" w:rsidP="5F884969">
            <w:pPr>
              <w:spacing w:before="100" w:beforeAutospacing="1" w:after="100" w:afterAutospacing="1"/>
              <w:jc w:val="center"/>
            </w:pPr>
            <w:r w:rsidRPr="5F884969">
              <w:rPr>
                <w:rFonts w:ascii="Calibri" w:hAnsi="Calibri"/>
                <w:b/>
                <w:bCs/>
                <w:color w:val="000000" w:themeColor="text1"/>
              </w:rPr>
              <w:t>Studio</w:t>
            </w:r>
          </w:p>
        </w:tc>
        <w:tc>
          <w:tcPr>
            <w:tcW w:w="8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DDF2617" w14:textId="77777777" w:rsidR="001B5245" w:rsidRDefault="001B5245" w:rsidP="5F884969">
            <w:pPr>
              <w:spacing w:before="100" w:beforeAutospacing="1" w:after="100" w:afterAutospacing="1"/>
              <w:jc w:val="center"/>
            </w:pPr>
            <w:r w:rsidRPr="5F884969">
              <w:rPr>
                <w:rFonts w:ascii="Calibri" w:hAnsi="Calibri"/>
                <w:b/>
                <w:bCs/>
                <w:color w:val="000000" w:themeColor="text1"/>
              </w:rPr>
              <w:t>1 BR</w:t>
            </w:r>
          </w:p>
        </w:tc>
        <w:tc>
          <w:tcPr>
            <w:tcW w:w="270" w:type="dxa"/>
            <w:tcBorders>
              <w:top w:val="single" w:sz="8" w:space="0" w:color="auto"/>
              <w:left w:val="nil"/>
              <w:bottom w:val="single" w:sz="8" w:space="0" w:color="auto"/>
              <w:right w:val="nil"/>
            </w:tcBorders>
          </w:tcPr>
          <w:p w14:paraId="556A9CB8" w14:textId="77777777" w:rsidR="001B5245" w:rsidRPr="5F884969" w:rsidRDefault="001B5245" w:rsidP="5F884969">
            <w:pPr>
              <w:spacing w:before="100" w:beforeAutospacing="1" w:after="100" w:afterAutospacing="1"/>
              <w:jc w:val="center"/>
              <w:rPr>
                <w:rFonts w:ascii="Calibri" w:hAnsi="Calibri"/>
                <w:b/>
                <w:bCs/>
                <w:color w:val="000000" w:themeColor="text1"/>
              </w:rPr>
            </w:pPr>
          </w:p>
        </w:tc>
        <w:tc>
          <w:tcPr>
            <w:tcW w:w="8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4C54041" w14:textId="35D20730" w:rsidR="001B5245" w:rsidRDefault="001B5245" w:rsidP="5F884969">
            <w:pPr>
              <w:spacing w:before="100" w:beforeAutospacing="1" w:after="100" w:afterAutospacing="1"/>
              <w:jc w:val="center"/>
            </w:pPr>
            <w:r w:rsidRPr="5F884969">
              <w:rPr>
                <w:rFonts w:ascii="Calibri" w:hAnsi="Calibri"/>
                <w:b/>
                <w:bCs/>
                <w:color w:val="000000" w:themeColor="text1"/>
              </w:rPr>
              <w:t>2 BR</w:t>
            </w:r>
          </w:p>
        </w:tc>
        <w:tc>
          <w:tcPr>
            <w:tcW w:w="8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E3F0036" w14:textId="77777777" w:rsidR="001B5245" w:rsidRDefault="001B5245" w:rsidP="5F884969">
            <w:pPr>
              <w:spacing w:before="100" w:beforeAutospacing="1" w:after="100" w:afterAutospacing="1"/>
              <w:jc w:val="center"/>
            </w:pPr>
            <w:r w:rsidRPr="5F884969">
              <w:rPr>
                <w:rFonts w:ascii="Calibri" w:hAnsi="Calibri"/>
                <w:b/>
                <w:bCs/>
                <w:color w:val="000000" w:themeColor="text1"/>
              </w:rPr>
              <w:t>3 BR</w:t>
            </w:r>
          </w:p>
        </w:tc>
        <w:tc>
          <w:tcPr>
            <w:tcW w:w="8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1F80888" w14:textId="77777777" w:rsidR="001B5245" w:rsidRDefault="001B5245" w:rsidP="5F884969">
            <w:pPr>
              <w:spacing w:before="100" w:beforeAutospacing="1" w:after="100" w:afterAutospacing="1"/>
              <w:jc w:val="center"/>
            </w:pPr>
            <w:r w:rsidRPr="5F884969">
              <w:rPr>
                <w:rFonts w:ascii="Calibri" w:hAnsi="Calibri"/>
                <w:b/>
                <w:bCs/>
                <w:color w:val="000000" w:themeColor="text1"/>
              </w:rPr>
              <w:t>4 BR</w:t>
            </w:r>
          </w:p>
        </w:tc>
        <w:tc>
          <w:tcPr>
            <w:tcW w:w="856" w:type="dxa"/>
            <w:tcBorders>
              <w:top w:val="single" w:sz="8" w:space="0" w:color="auto"/>
              <w:left w:val="nil"/>
              <w:bottom w:val="single" w:sz="8" w:space="0" w:color="auto"/>
              <w:right w:val="double" w:sz="4" w:space="0" w:color="auto"/>
            </w:tcBorders>
            <w:noWrap/>
            <w:tcMar>
              <w:top w:w="0" w:type="dxa"/>
              <w:left w:w="108" w:type="dxa"/>
              <w:bottom w:w="0" w:type="dxa"/>
              <w:right w:w="108" w:type="dxa"/>
            </w:tcMar>
            <w:vAlign w:val="bottom"/>
            <w:hideMark/>
          </w:tcPr>
          <w:p w14:paraId="036C3F59" w14:textId="77777777" w:rsidR="001B5245" w:rsidRDefault="001B5245" w:rsidP="5F884969">
            <w:pPr>
              <w:spacing w:before="100" w:beforeAutospacing="1" w:after="100" w:afterAutospacing="1"/>
              <w:jc w:val="center"/>
            </w:pPr>
            <w:r w:rsidRPr="5F884969">
              <w:rPr>
                <w:rFonts w:ascii="Calibri" w:hAnsi="Calibri"/>
                <w:b/>
                <w:bCs/>
                <w:color w:val="000000" w:themeColor="text1"/>
              </w:rPr>
              <w:t>5 BR</w:t>
            </w:r>
          </w:p>
        </w:tc>
        <w:tc>
          <w:tcPr>
            <w:tcW w:w="85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AC6E90F" w14:textId="77777777" w:rsidR="001B5245" w:rsidRDefault="001B5245" w:rsidP="5F884969">
            <w:pPr>
              <w:spacing w:before="100" w:beforeAutospacing="1" w:after="100" w:afterAutospacing="1"/>
              <w:jc w:val="center"/>
            </w:pPr>
            <w:r w:rsidRPr="5F884969">
              <w:rPr>
                <w:rFonts w:ascii="Calibri" w:hAnsi="Calibri"/>
                <w:b/>
                <w:bCs/>
                <w:color w:val="000000" w:themeColor="text1"/>
              </w:rPr>
              <w:t>Total Units</w:t>
            </w:r>
          </w:p>
        </w:tc>
      </w:tr>
      <w:tr w:rsidR="001B5245" w14:paraId="3896EA98"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899FDE" w14:textId="77777777" w:rsidR="001B5245" w:rsidRDefault="001B5245" w:rsidP="5F884969">
            <w:pPr>
              <w:spacing w:before="100" w:beforeAutospacing="1" w:after="100" w:afterAutospacing="1"/>
            </w:pPr>
            <w:r w:rsidRPr="5F884969">
              <w:rPr>
                <w:rFonts w:ascii="Calibri" w:hAnsi="Calibri"/>
                <w:color w:val="000000" w:themeColor="text1"/>
              </w:rPr>
              <w:t>105 East Allen (Winooski)</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C6E995"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FBBC1D" w14:textId="77777777" w:rsidR="001B5245" w:rsidRDefault="001B5245" w:rsidP="5F884969">
            <w:pPr>
              <w:spacing w:before="100" w:beforeAutospacing="1" w:after="100" w:afterAutospacing="1"/>
              <w:jc w:val="right"/>
            </w:pPr>
            <w:r w:rsidRPr="5F884969">
              <w:rPr>
                <w:rFonts w:ascii="Calibri" w:hAnsi="Calibri"/>
                <w:color w:val="000000" w:themeColor="text1"/>
              </w:rPr>
              <w:t>3</w:t>
            </w:r>
          </w:p>
        </w:tc>
        <w:tc>
          <w:tcPr>
            <w:tcW w:w="270" w:type="dxa"/>
            <w:tcBorders>
              <w:top w:val="nil"/>
              <w:left w:val="nil"/>
              <w:bottom w:val="single" w:sz="8" w:space="0" w:color="auto"/>
              <w:right w:val="nil"/>
            </w:tcBorders>
          </w:tcPr>
          <w:p w14:paraId="25178838"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C8D36" w14:textId="760B2857" w:rsidR="001B5245" w:rsidRDefault="001B5245" w:rsidP="5F884969">
            <w:pPr>
              <w:spacing w:before="100" w:beforeAutospacing="1" w:after="100" w:afterAutospacing="1"/>
              <w:jc w:val="right"/>
            </w:pPr>
            <w:r w:rsidRPr="5F884969">
              <w:rPr>
                <w:rFonts w:ascii="Calibri" w:hAnsi="Calibri"/>
                <w:color w:val="000000" w:themeColor="text1"/>
              </w:rPr>
              <w:t>3</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722104"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96C78"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46732583"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72FE69" w14:textId="77777777" w:rsidR="001B5245" w:rsidRDefault="001B5245" w:rsidP="5F884969">
            <w:pPr>
              <w:spacing w:before="100" w:beforeAutospacing="1" w:after="100" w:afterAutospacing="1"/>
              <w:jc w:val="right"/>
            </w:pPr>
            <w:r w:rsidRPr="5F884969">
              <w:rPr>
                <w:rFonts w:ascii="Calibri" w:hAnsi="Calibri"/>
                <w:color w:val="000000" w:themeColor="text1"/>
              </w:rPr>
              <w:t>6</w:t>
            </w:r>
          </w:p>
        </w:tc>
      </w:tr>
      <w:tr w:rsidR="001B5245" w14:paraId="4CE7CE2A"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B2AB01" w14:textId="77777777" w:rsidR="001B5245" w:rsidRDefault="001B5245" w:rsidP="5F884969">
            <w:pPr>
              <w:spacing w:before="100" w:beforeAutospacing="1" w:after="100" w:afterAutospacing="1"/>
            </w:pPr>
            <w:r w:rsidRPr="5F884969">
              <w:rPr>
                <w:rFonts w:ascii="Calibri" w:hAnsi="Calibri"/>
                <w:color w:val="000000" w:themeColor="text1"/>
              </w:rPr>
              <w:t>693-711 Riverside Avenue</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56FA6A" w14:textId="77777777" w:rsidR="001B5245" w:rsidRDefault="001B5245" w:rsidP="5F884969">
            <w:pPr>
              <w:spacing w:before="100" w:beforeAutospacing="1" w:after="100" w:afterAutospacing="1"/>
              <w:jc w:val="right"/>
            </w:pPr>
            <w:r w:rsidRPr="5F884969">
              <w:rPr>
                <w:rFonts w:ascii="Calibri" w:hAnsi="Calibri"/>
                <w:color w:val="000000" w:themeColor="text1"/>
              </w:rPr>
              <w:t>5</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D17F0F" w14:textId="77777777" w:rsidR="001B5245" w:rsidRDefault="001B5245" w:rsidP="5F884969">
            <w:pPr>
              <w:spacing w:before="100" w:beforeAutospacing="1" w:after="100" w:afterAutospacing="1"/>
              <w:jc w:val="right"/>
            </w:pPr>
            <w:r w:rsidRPr="5F884969">
              <w:rPr>
                <w:rFonts w:ascii="Calibri" w:hAnsi="Calibri"/>
                <w:color w:val="000000" w:themeColor="text1"/>
              </w:rPr>
              <w:t>1</w:t>
            </w:r>
          </w:p>
        </w:tc>
        <w:tc>
          <w:tcPr>
            <w:tcW w:w="270" w:type="dxa"/>
            <w:tcBorders>
              <w:top w:val="nil"/>
              <w:left w:val="nil"/>
              <w:bottom w:val="single" w:sz="8" w:space="0" w:color="auto"/>
              <w:right w:val="nil"/>
            </w:tcBorders>
          </w:tcPr>
          <w:p w14:paraId="0D3AC945"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45863" w14:textId="12D19481" w:rsidR="001B5245" w:rsidRDefault="001B5245" w:rsidP="5F884969">
            <w:pPr>
              <w:spacing w:before="100" w:beforeAutospacing="1" w:after="100" w:afterAutospacing="1"/>
              <w:jc w:val="right"/>
            </w:pPr>
            <w:r w:rsidRPr="5F884969">
              <w:rPr>
                <w:rFonts w:ascii="Calibri" w:hAnsi="Calibri"/>
                <w:color w:val="000000" w:themeColor="text1"/>
              </w:rPr>
              <w:t>6</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BFA435"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0B61B8"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6FB088DD"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7F68E4" w14:textId="77777777" w:rsidR="001B5245" w:rsidRDefault="001B5245" w:rsidP="5F884969">
            <w:pPr>
              <w:spacing w:before="100" w:beforeAutospacing="1" w:after="100" w:afterAutospacing="1"/>
              <w:jc w:val="right"/>
            </w:pPr>
            <w:r w:rsidRPr="5F884969">
              <w:rPr>
                <w:rFonts w:ascii="Calibri" w:hAnsi="Calibri"/>
                <w:color w:val="000000" w:themeColor="text1"/>
              </w:rPr>
              <w:t>12</w:t>
            </w:r>
          </w:p>
        </w:tc>
      </w:tr>
      <w:tr w:rsidR="001B5245" w14:paraId="768ECC1D"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DD0B34" w14:textId="77777777" w:rsidR="001B5245" w:rsidRDefault="001B5245" w:rsidP="5F884969">
            <w:pPr>
              <w:spacing w:before="100" w:beforeAutospacing="1" w:after="100" w:afterAutospacing="1"/>
            </w:pPr>
            <w:r w:rsidRPr="5F884969">
              <w:rPr>
                <w:rFonts w:ascii="Calibri" w:hAnsi="Calibri"/>
                <w:color w:val="000000" w:themeColor="text1"/>
              </w:rPr>
              <w:t>Bobbin Mill Apartments</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03C3F4"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811711" w14:textId="77777777" w:rsidR="001B5245" w:rsidRDefault="001B5245" w:rsidP="5F884969">
            <w:pPr>
              <w:spacing w:before="100" w:beforeAutospacing="1" w:after="100" w:afterAutospacing="1"/>
              <w:jc w:val="right"/>
            </w:pPr>
            <w:r w:rsidRPr="5F884969">
              <w:rPr>
                <w:rFonts w:ascii="Calibri" w:hAnsi="Calibri"/>
                <w:color w:val="000000" w:themeColor="text1"/>
              </w:rPr>
              <w:t>17</w:t>
            </w:r>
          </w:p>
        </w:tc>
        <w:tc>
          <w:tcPr>
            <w:tcW w:w="270" w:type="dxa"/>
            <w:tcBorders>
              <w:top w:val="nil"/>
              <w:left w:val="nil"/>
              <w:bottom w:val="single" w:sz="8" w:space="0" w:color="auto"/>
              <w:right w:val="nil"/>
            </w:tcBorders>
          </w:tcPr>
          <w:p w14:paraId="207D42AB"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5EE68F" w14:textId="23481C95" w:rsidR="001B5245" w:rsidRDefault="001B5245" w:rsidP="5F884969">
            <w:pPr>
              <w:spacing w:before="100" w:beforeAutospacing="1" w:after="100" w:afterAutospacing="1"/>
              <w:jc w:val="right"/>
            </w:pPr>
            <w:r w:rsidRPr="5F884969">
              <w:rPr>
                <w:rFonts w:ascii="Calibri" w:hAnsi="Calibri"/>
                <w:color w:val="000000" w:themeColor="text1"/>
              </w:rPr>
              <w:t>23</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BFBE55" w14:textId="77777777" w:rsidR="001B5245" w:rsidRDefault="001B5245" w:rsidP="5F884969">
            <w:pPr>
              <w:spacing w:before="100" w:beforeAutospacing="1" w:after="100" w:afterAutospacing="1"/>
              <w:jc w:val="right"/>
            </w:pPr>
            <w:r w:rsidRPr="5F884969">
              <w:rPr>
                <w:rFonts w:ascii="Calibri" w:hAnsi="Calibri"/>
                <w:color w:val="000000" w:themeColor="text1"/>
              </w:rPr>
              <w:t>11</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F5C089"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0BE812B4"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22914" w14:textId="77777777" w:rsidR="001B5245" w:rsidRDefault="001B5245" w:rsidP="5F884969">
            <w:pPr>
              <w:spacing w:before="100" w:beforeAutospacing="1" w:after="100" w:afterAutospacing="1"/>
              <w:jc w:val="right"/>
            </w:pPr>
            <w:r w:rsidRPr="5F884969">
              <w:rPr>
                <w:rFonts w:ascii="Calibri" w:hAnsi="Calibri"/>
                <w:color w:val="000000" w:themeColor="text1"/>
              </w:rPr>
              <w:t>51</w:t>
            </w:r>
          </w:p>
        </w:tc>
      </w:tr>
      <w:tr w:rsidR="001B5245" w14:paraId="185699D5"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396B4C" w14:textId="77777777" w:rsidR="001B5245" w:rsidRDefault="001B5245" w:rsidP="5F884969">
            <w:pPr>
              <w:spacing w:before="100" w:beforeAutospacing="1" w:after="100" w:afterAutospacing="1"/>
            </w:pPr>
            <w:r w:rsidRPr="5F884969">
              <w:rPr>
                <w:rFonts w:ascii="Calibri" w:hAnsi="Calibri"/>
                <w:color w:val="000000" w:themeColor="text1"/>
              </w:rPr>
              <w:t>Duggan Row House</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D618B4"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7E7FEB" w14:textId="77777777"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270" w:type="dxa"/>
            <w:tcBorders>
              <w:top w:val="nil"/>
              <w:left w:val="nil"/>
              <w:bottom w:val="single" w:sz="8" w:space="0" w:color="auto"/>
              <w:right w:val="nil"/>
            </w:tcBorders>
          </w:tcPr>
          <w:p w14:paraId="6429A498"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FE1BA1" w14:textId="007358FD" w:rsidR="001B5245" w:rsidRDefault="001B5245" w:rsidP="5F884969">
            <w:pPr>
              <w:spacing w:before="100" w:beforeAutospacing="1" w:after="100" w:afterAutospacing="1"/>
              <w:jc w:val="right"/>
            </w:pPr>
            <w:r w:rsidRPr="5F884969">
              <w:rPr>
                <w:rFonts w:ascii="Calibri" w:hAnsi="Calibri"/>
                <w:color w:val="000000" w:themeColor="text1"/>
              </w:rPr>
              <w:t>5</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76F7B5" w14:textId="77777777" w:rsidR="001B5245" w:rsidRDefault="001B5245" w:rsidP="5F884969">
            <w:pPr>
              <w:spacing w:before="100" w:beforeAutospacing="1" w:after="100" w:afterAutospacing="1"/>
              <w:jc w:val="right"/>
            </w:pPr>
            <w:r w:rsidRPr="5F884969">
              <w:rPr>
                <w:rFonts w:ascii="Calibri" w:hAnsi="Calibri"/>
                <w:color w:val="000000" w:themeColor="text1"/>
              </w:rPr>
              <w:t>7</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09BD48"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1DAF6DE4"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178BAF" w14:textId="77777777" w:rsidR="001B5245" w:rsidRDefault="001B5245" w:rsidP="5F884969">
            <w:pPr>
              <w:spacing w:before="100" w:beforeAutospacing="1" w:after="100" w:afterAutospacing="1"/>
              <w:jc w:val="right"/>
            </w:pPr>
            <w:r w:rsidRPr="5F884969">
              <w:rPr>
                <w:rFonts w:ascii="Calibri" w:hAnsi="Calibri"/>
                <w:color w:val="000000" w:themeColor="text1"/>
              </w:rPr>
              <w:t>14</w:t>
            </w:r>
          </w:p>
        </w:tc>
      </w:tr>
      <w:tr w:rsidR="001B5245" w14:paraId="16A774E1"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585187" w14:textId="77777777" w:rsidR="001B5245" w:rsidRDefault="001B5245" w:rsidP="5F884969">
            <w:pPr>
              <w:spacing w:before="100" w:beforeAutospacing="1" w:after="100" w:afterAutospacing="1"/>
            </w:pPr>
            <w:r w:rsidRPr="5F884969">
              <w:rPr>
                <w:rFonts w:ascii="Calibri" w:hAnsi="Calibri"/>
                <w:color w:val="000000" w:themeColor="text1"/>
              </w:rPr>
              <w:t>Elderly - Champlain</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3C7704"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EBF87" w14:textId="77777777" w:rsidR="001B5245" w:rsidRDefault="001B5245" w:rsidP="5F884969">
            <w:pPr>
              <w:spacing w:before="100" w:beforeAutospacing="1" w:after="100" w:afterAutospacing="1"/>
              <w:jc w:val="right"/>
            </w:pPr>
            <w:r w:rsidRPr="5F884969">
              <w:rPr>
                <w:rFonts w:ascii="Calibri" w:hAnsi="Calibri"/>
                <w:color w:val="000000" w:themeColor="text1"/>
              </w:rPr>
              <w:t>44</w:t>
            </w:r>
          </w:p>
        </w:tc>
        <w:tc>
          <w:tcPr>
            <w:tcW w:w="270" w:type="dxa"/>
            <w:tcBorders>
              <w:top w:val="nil"/>
              <w:left w:val="nil"/>
              <w:bottom w:val="single" w:sz="8" w:space="0" w:color="auto"/>
              <w:right w:val="nil"/>
            </w:tcBorders>
          </w:tcPr>
          <w:p w14:paraId="0377F1E1"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F6672C" w14:textId="2C9C4E63" w:rsidR="001B5245" w:rsidRDefault="001B5245" w:rsidP="5F884969">
            <w:pPr>
              <w:spacing w:before="100" w:beforeAutospacing="1" w:after="100" w:afterAutospacing="1"/>
              <w:jc w:val="right"/>
            </w:pPr>
            <w:r w:rsidRPr="5F884969">
              <w:rPr>
                <w:rFonts w:ascii="Calibri" w:hAnsi="Calibri"/>
                <w:color w:val="000000" w:themeColor="text1"/>
              </w:rPr>
              <w:t>4</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E0E79C"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2249B4"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3C7245F3"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F240AA" w14:textId="77777777" w:rsidR="001B5245" w:rsidRDefault="001B5245" w:rsidP="5F884969">
            <w:pPr>
              <w:spacing w:before="100" w:beforeAutospacing="1" w:after="100" w:afterAutospacing="1"/>
              <w:jc w:val="right"/>
            </w:pPr>
            <w:r w:rsidRPr="5F884969">
              <w:rPr>
                <w:rFonts w:ascii="Calibri" w:hAnsi="Calibri"/>
                <w:color w:val="000000" w:themeColor="text1"/>
              </w:rPr>
              <w:t>48</w:t>
            </w:r>
          </w:p>
        </w:tc>
      </w:tr>
      <w:tr w:rsidR="001B5245" w14:paraId="6AE1C377"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3B9B47" w14:textId="77777777" w:rsidR="001B5245" w:rsidRDefault="001B5245" w:rsidP="5F884969">
            <w:pPr>
              <w:spacing w:before="100" w:beforeAutospacing="1" w:after="100" w:afterAutospacing="1"/>
            </w:pPr>
            <w:r w:rsidRPr="5F884969">
              <w:rPr>
                <w:rFonts w:ascii="Calibri" w:hAnsi="Calibri"/>
                <w:color w:val="000000" w:themeColor="text1"/>
              </w:rPr>
              <w:t>Elderly - Decker</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C0CDD4" w14:textId="77777777" w:rsidR="001B5245" w:rsidRDefault="001B5245" w:rsidP="5F884969">
            <w:pPr>
              <w:spacing w:before="100" w:beforeAutospacing="1" w:after="100" w:afterAutospacing="1"/>
              <w:jc w:val="right"/>
            </w:pPr>
            <w:r w:rsidRPr="5F884969">
              <w:rPr>
                <w:rFonts w:ascii="Calibri" w:hAnsi="Calibri"/>
                <w:color w:val="000000" w:themeColor="text1"/>
              </w:rPr>
              <w:t>53</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A53274" w14:textId="77777777" w:rsidR="001B5245" w:rsidRDefault="001B5245" w:rsidP="5F884969">
            <w:pPr>
              <w:spacing w:before="100" w:beforeAutospacing="1" w:after="100" w:afterAutospacing="1"/>
              <w:jc w:val="right"/>
            </w:pPr>
            <w:r w:rsidRPr="5F884969">
              <w:rPr>
                <w:rFonts w:ascii="Calibri" w:hAnsi="Calibri"/>
                <w:color w:val="000000" w:themeColor="text1"/>
              </w:rPr>
              <w:t>100</w:t>
            </w:r>
          </w:p>
        </w:tc>
        <w:tc>
          <w:tcPr>
            <w:tcW w:w="270" w:type="dxa"/>
            <w:tcBorders>
              <w:top w:val="nil"/>
              <w:left w:val="nil"/>
              <w:bottom w:val="single" w:sz="8" w:space="0" w:color="auto"/>
              <w:right w:val="nil"/>
            </w:tcBorders>
          </w:tcPr>
          <w:p w14:paraId="70E22AB2"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8D7053" w14:textId="2B86E3E9"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1ACE03"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5E02DD"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02A08D7D"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60A689" w14:textId="77777777" w:rsidR="001B5245" w:rsidRDefault="001B5245" w:rsidP="5F884969">
            <w:pPr>
              <w:spacing w:before="100" w:beforeAutospacing="1" w:after="100" w:afterAutospacing="1"/>
              <w:jc w:val="right"/>
            </w:pPr>
            <w:r w:rsidRPr="5F884969">
              <w:rPr>
                <w:rFonts w:ascii="Calibri" w:hAnsi="Calibri"/>
                <w:color w:val="000000" w:themeColor="text1"/>
              </w:rPr>
              <w:t>153</w:t>
            </w:r>
          </w:p>
        </w:tc>
      </w:tr>
      <w:tr w:rsidR="001B5245" w14:paraId="4FADBA81"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149A13" w14:textId="77777777" w:rsidR="001B5245" w:rsidRDefault="001B5245" w:rsidP="5F884969">
            <w:pPr>
              <w:spacing w:before="100" w:beforeAutospacing="1" w:after="100" w:afterAutospacing="1"/>
            </w:pPr>
            <w:r w:rsidRPr="5F884969">
              <w:rPr>
                <w:rFonts w:ascii="Calibri" w:hAnsi="Calibri"/>
                <w:color w:val="000000" w:themeColor="text1"/>
              </w:rPr>
              <w:t>Family - Franklin</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7AFD5"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D14BA1" w14:textId="77777777" w:rsidR="001B5245" w:rsidRDefault="001B5245" w:rsidP="5F884969">
            <w:pPr>
              <w:spacing w:before="100" w:beforeAutospacing="1" w:after="100" w:afterAutospacing="1"/>
              <w:jc w:val="right"/>
            </w:pPr>
            <w:r w:rsidRPr="5F884969">
              <w:rPr>
                <w:rFonts w:ascii="Calibri" w:hAnsi="Calibri"/>
                <w:color w:val="000000" w:themeColor="text1"/>
              </w:rPr>
              <w:t>4</w:t>
            </w:r>
          </w:p>
        </w:tc>
        <w:tc>
          <w:tcPr>
            <w:tcW w:w="270" w:type="dxa"/>
            <w:tcBorders>
              <w:top w:val="nil"/>
              <w:left w:val="nil"/>
              <w:bottom w:val="single" w:sz="8" w:space="0" w:color="auto"/>
              <w:right w:val="nil"/>
            </w:tcBorders>
          </w:tcPr>
          <w:p w14:paraId="4D4725E0"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4F43BE" w14:textId="2F8CF2B0" w:rsidR="001B5245" w:rsidRDefault="001B5245" w:rsidP="5F884969">
            <w:pPr>
              <w:spacing w:before="100" w:beforeAutospacing="1" w:after="100" w:afterAutospacing="1"/>
              <w:jc w:val="right"/>
            </w:pPr>
            <w:r w:rsidRPr="5F884969">
              <w:rPr>
                <w:rFonts w:ascii="Calibri" w:hAnsi="Calibri"/>
                <w:color w:val="000000" w:themeColor="text1"/>
              </w:rPr>
              <w:t>15</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6AB5C" w14:textId="77777777" w:rsidR="001B5245" w:rsidRDefault="001B5245" w:rsidP="5F884969">
            <w:pPr>
              <w:spacing w:before="100" w:beforeAutospacing="1" w:after="100" w:afterAutospacing="1"/>
              <w:jc w:val="right"/>
            </w:pPr>
            <w:r w:rsidRPr="5F884969">
              <w:rPr>
                <w:rFonts w:ascii="Calibri" w:hAnsi="Calibri"/>
                <w:color w:val="000000" w:themeColor="text1"/>
              </w:rPr>
              <w:t>30</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48D25F" w14:textId="77777777" w:rsidR="001B5245" w:rsidRDefault="001B5245" w:rsidP="5F884969">
            <w:pPr>
              <w:spacing w:before="100" w:beforeAutospacing="1" w:after="100" w:afterAutospacing="1"/>
              <w:jc w:val="right"/>
            </w:pPr>
            <w:r w:rsidRPr="5F884969">
              <w:rPr>
                <w:rFonts w:ascii="Calibri" w:hAnsi="Calibri"/>
                <w:color w:val="000000" w:themeColor="text1"/>
              </w:rPr>
              <w:t>5</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4EBB5A35" w14:textId="77777777"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8078FA" w14:textId="77777777" w:rsidR="001B5245" w:rsidRDefault="001B5245" w:rsidP="5F884969">
            <w:pPr>
              <w:spacing w:before="100" w:beforeAutospacing="1" w:after="100" w:afterAutospacing="1"/>
              <w:jc w:val="right"/>
            </w:pPr>
            <w:r w:rsidRPr="5F884969">
              <w:rPr>
                <w:rFonts w:ascii="Calibri" w:hAnsi="Calibri"/>
                <w:color w:val="000000" w:themeColor="text1"/>
              </w:rPr>
              <w:t>56</w:t>
            </w:r>
          </w:p>
        </w:tc>
      </w:tr>
      <w:tr w:rsidR="001B5245" w14:paraId="261CC0CC"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D8BCBB" w14:textId="77777777" w:rsidR="001B5245" w:rsidRDefault="001B5245" w:rsidP="5F884969">
            <w:pPr>
              <w:spacing w:before="100" w:beforeAutospacing="1" w:after="100" w:afterAutospacing="1"/>
            </w:pPr>
            <w:r w:rsidRPr="5F884969">
              <w:rPr>
                <w:rFonts w:ascii="Calibri" w:hAnsi="Calibri"/>
                <w:color w:val="000000" w:themeColor="text1"/>
              </w:rPr>
              <w:t>Family - Hillside</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CD31EA"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00D200"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270" w:type="dxa"/>
            <w:tcBorders>
              <w:top w:val="nil"/>
              <w:left w:val="nil"/>
              <w:bottom w:val="single" w:sz="8" w:space="0" w:color="auto"/>
              <w:right w:val="nil"/>
            </w:tcBorders>
          </w:tcPr>
          <w:p w14:paraId="2C46240F"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85045E" w14:textId="3D84D758" w:rsidR="001B5245" w:rsidRDefault="001B5245" w:rsidP="5F884969">
            <w:pPr>
              <w:spacing w:before="100" w:beforeAutospacing="1" w:after="100" w:afterAutospacing="1"/>
              <w:jc w:val="right"/>
            </w:pPr>
            <w:r w:rsidRPr="5F884969">
              <w:rPr>
                <w:rFonts w:ascii="Calibri" w:hAnsi="Calibri"/>
                <w:color w:val="000000" w:themeColor="text1"/>
              </w:rPr>
              <w:t>16</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057719" w14:textId="77777777" w:rsidR="001B5245" w:rsidRDefault="001B5245" w:rsidP="5F884969">
            <w:pPr>
              <w:spacing w:before="100" w:beforeAutospacing="1" w:after="100" w:afterAutospacing="1"/>
              <w:jc w:val="right"/>
            </w:pPr>
            <w:r w:rsidRPr="5F884969">
              <w:rPr>
                <w:rFonts w:ascii="Calibri" w:hAnsi="Calibri"/>
                <w:color w:val="000000" w:themeColor="text1"/>
              </w:rPr>
              <w:t>9</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B6C8AF"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593DA9CE"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A82193" w14:textId="77777777" w:rsidR="001B5245" w:rsidRDefault="001B5245" w:rsidP="5F884969">
            <w:pPr>
              <w:spacing w:before="100" w:beforeAutospacing="1" w:after="100" w:afterAutospacing="1"/>
              <w:jc w:val="right"/>
            </w:pPr>
            <w:r w:rsidRPr="5F884969">
              <w:rPr>
                <w:rFonts w:ascii="Calibri" w:hAnsi="Calibri"/>
                <w:color w:val="000000" w:themeColor="text1"/>
              </w:rPr>
              <w:t>25</w:t>
            </w:r>
          </w:p>
        </w:tc>
      </w:tr>
      <w:tr w:rsidR="001B5245" w14:paraId="6CA08E53"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1D1505" w14:textId="77777777" w:rsidR="001B5245" w:rsidRDefault="001B5245" w:rsidP="5F884969">
            <w:pPr>
              <w:spacing w:before="100" w:beforeAutospacing="1" w:after="100" w:afterAutospacing="1"/>
            </w:pPr>
            <w:r w:rsidRPr="5F884969">
              <w:rPr>
                <w:rFonts w:ascii="Calibri" w:hAnsi="Calibri"/>
                <w:color w:val="000000" w:themeColor="text1"/>
              </w:rPr>
              <w:t>Family - Riverside</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BC4286" w14:textId="77777777" w:rsidR="001B5245" w:rsidRDefault="001B5245" w:rsidP="5F884969">
            <w:pPr>
              <w:spacing w:before="100" w:beforeAutospacing="1" w:after="100" w:afterAutospacing="1"/>
              <w:jc w:val="right"/>
            </w:pPr>
            <w:r w:rsidRPr="5F884969">
              <w:rPr>
                <w:rFonts w:ascii="Calibri" w:hAnsi="Calibri"/>
                <w:color w:val="000000" w:themeColor="text1"/>
              </w:rPr>
              <w:t>1</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50E320" w14:textId="77777777" w:rsidR="001B5245" w:rsidRDefault="001B5245" w:rsidP="5F884969">
            <w:pPr>
              <w:spacing w:before="100" w:beforeAutospacing="1" w:after="100" w:afterAutospacing="1"/>
              <w:jc w:val="right"/>
            </w:pPr>
            <w:r w:rsidRPr="5F884969">
              <w:rPr>
                <w:rFonts w:ascii="Calibri" w:hAnsi="Calibri"/>
                <w:color w:val="000000" w:themeColor="text1"/>
              </w:rPr>
              <w:t>3</w:t>
            </w:r>
          </w:p>
        </w:tc>
        <w:tc>
          <w:tcPr>
            <w:tcW w:w="270" w:type="dxa"/>
            <w:tcBorders>
              <w:top w:val="nil"/>
              <w:left w:val="nil"/>
              <w:bottom w:val="single" w:sz="8" w:space="0" w:color="auto"/>
              <w:right w:val="nil"/>
            </w:tcBorders>
          </w:tcPr>
          <w:p w14:paraId="14C5237F"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26114C" w14:textId="19E22C2B" w:rsidR="001B5245" w:rsidRDefault="001B5245" w:rsidP="5F884969">
            <w:pPr>
              <w:spacing w:before="100" w:beforeAutospacing="1" w:after="100" w:afterAutospacing="1"/>
              <w:jc w:val="right"/>
            </w:pPr>
            <w:r w:rsidRPr="5F884969">
              <w:rPr>
                <w:rFonts w:ascii="Calibri" w:hAnsi="Calibri"/>
                <w:color w:val="000000" w:themeColor="text1"/>
              </w:rPr>
              <w:t>16</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72862D" w14:textId="77777777" w:rsidR="001B5245" w:rsidRDefault="001B5245" w:rsidP="5F884969">
            <w:pPr>
              <w:spacing w:before="100" w:beforeAutospacing="1" w:after="100" w:afterAutospacing="1"/>
              <w:jc w:val="right"/>
            </w:pPr>
            <w:r w:rsidRPr="5F884969">
              <w:rPr>
                <w:rFonts w:ascii="Calibri" w:hAnsi="Calibri"/>
                <w:color w:val="000000" w:themeColor="text1"/>
              </w:rPr>
              <w:t>18</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921F99" w14:textId="77777777" w:rsidR="001B5245" w:rsidRDefault="001B5245" w:rsidP="5F884969">
            <w:pPr>
              <w:spacing w:before="100" w:beforeAutospacing="1" w:after="100" w:afterAutospacing="1"/>
              <w:jc w:val="right"/>
            </w:pPr>
            <w:r w:rsidRPr="5F884969">
              <w:rPr>
                <w:rFonts w:ascii="Calibri" w:hAnsi="Calibri"/>
                <w:color w:val="000000" w:themeColor="text1"/>
              </w:rPr>
              <w:t>5</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34D313B7" w14:textId="77777777" w:rsidR="001B5245" w:rsidRDefault="001B5245" w:rsidP="5F884969">
            <w:pPr>
              <w:spacing w:before="100" w:beforeAutospacing="1" w:after="100" w:afterAutospacing="1"/>
              <w:jc w:val="right"/>
            </w:pPr>
            <w:r w:rsidRPr="5F884969">
              <w:rPr>
                <w:rFonts w:ascii="Calibri" w:hAnsi="Calibri"/>
                <w:color w:val="000000" w:themeColor="text1"/>
              </w:rPr>
              <w:t>1</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A81E56" w14:textId="77777777" w:rsidR="001B5245" w:rsidRDefault="001B5245" w:rsidP="5F884969">
            <w:pPr>
              <w:spacing w:before="100" w:beforeAutospacing="1" w:after="100" w:afterAutospacing="1"/>
              <w:jc w:val="right"/>
            </w:pPr>
            <w:r w:rsidRPr="5F884969">
              <w:rPr>
                <w:rFonts w:ascii="Calibri" w:hAnsi="Calibri"/>
                <w:color w:val="000000" w:themeColor="text1"/>
              </w:rPr>
              <w:t>44</w:t>
            </w:r>
          </w:p>
        </w:tc>
      </w:tr>
      <w:tr w:rsidR="001B5245" w14:paraId="1644DB2B"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80F21F" w14:textId="77777777" w:rsidR="001B5245" w:rsidRDefault="001B5245" w:rsidP="5F884969">
            <w:pPr>
              <w:spacing w:before="100" w:beforeAutospacing="1" w:after="100" w:afterAutospacing="1"/>
            </w:pPr>
            <w:r w:rsidRPr="5F884969">
              <w:rPr>
                <w:rFonts w:ascii="Calibri" w:hAnsi="Calibri"/>
                <w:color w:val="000000" w:themeColor="text1"/>
              </w:rPr>
              <w:t>KSNRC/Maple St Apartments</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D585B8" w14:textId="77777777"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77EAB7" w14:textId="77777777" w:rsidR="001B5245" w:rsidRDefault="001B5245" w:rsidP="5F884969">
            <w:pPr>
              <w:spacing w:before="100" w:beforeAutospacing="1" w:after="100" w:afterAutospacing="1"/>
              <w:jc w:val="right"/>
            </w:pPr>
            <w:r w:rsidRPr="5F884969">
              <w:rPr>
                <w:rFonts w:ascii="Calibri" w:hAnsi="Calibri"/>
                <w:color w:val="000000" w:themeColor="text1"/>
              </w:rPr>
              <w:t>5</w:t>
            </w:r>
          </w:p>
        </w:tc>
        <w:tc>
          <w:tcPr>
            <w:tcW w:w="270" w:type="dxa"/>
            <w:tcBorders>
              <w:top w:val="nil"/>
              <w:left w:val="nil"/>
              <w:bottom w:val="single" w:sz="8" w:space="0" w:color="auto"/>
              <w:right w:val="nil"/>
            </w:tcBorders>
          </w:tcPr>
          <w:p w14:paraId="257F3B02"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744686" w14:textId="69EF899D"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C24691" w14:textId="77777777"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19F1E2"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4D613056"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8826CA" w14:textId="77777777" w:rsidR="001B5245" w:rsidRDefault="001B5245" w:rsidP="5F884969">
            <w:pPr>
              <w:spacing w:before="100" w:beforeAutospacing="1" w:after="100" w:afterAutospacing="1"/>
              <w:jc w:val="right"/>
            </w:pPr>
            <w:r w:rsidRPr="5F884969">
              <w:rPr>
                <w:rFonts w:ascii="Calibri" w:hAnsi="Calibri"/>
                <w:color w:val="000000" w:themeColor="text1"/>
              </w:rPr>
              <w:t>11</w:t>
            </w:r>
          </w:p>
        </w:tc>
      </w:tr>
      <w:tr w:rsidR="001B5245" w14:paraId="4E4DC5D7"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A98B48B" w14:textId="77777777" w:rsidR="001B5245" w:rsidRDefault="001B5245" w:rsidP="5F884969">
            <w:pPr>
              <w:spacing w:before="100" w:beforeAutospacing="1" w:after="100" w:afterAutospacing="1"/>
            </w:pPr>
            <w:r w:rsidRPr="5F884969">
              <w:rPr>
                <w:rFonts w:ascii="Calibri" w:hAnsi="Calibri"/>
                <w:color w:val="000000" w:themeColor="text1"/>
              </w:rPr>
              <w:t>Lake Champlain Apartments</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5333F9"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FDE4D9" w14:textId="77777777" w:rsidR="001B5245" w:rsidRDefault="001B5245" w:rsidP="5F884969">
            <w:pPr>
              <w:spacing w:before="100" w:beforeAutospacing="1" w:after="100" w:afterAutospacing="1"/>
              <w:jc w:val="right"/>
            </w:pPr>
            <w:r w:rsidRPr="5F884969">
              <w:rPr>
                <w:rFonts w:ascii="Calibri" w:hAnsi="Calibri"/>
                <w:color w:val="000000" w:themeColor="text1"/>
              </w:rPr>
              <w:t>11</w:t>
            </w:r>
          </w:p>
        </w:tc>
        <w:tc>
          <w:tcPr>
            <w:tcW w:w="270" w:type="dxa"/>
            <w:tcBorders>
              <w:top w:val="nil"/>
              <w:left w:val="nil"/>
              <w:bottom w:val="single" w:sz="8" w:space="0" w:color="auto"/>
              <w:right w:val="nil"/>
            </w:tcBorders>
          </w:tcPr>
          <w:p w14:paraId="41504EEB"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412961" w14:textId="1D076F94" w:rsidR="001B5245" w:rsidRDefault="001B5245" w:rsidP="5F884969">
            <w:pPr>
              <w:spacing w:before="100" w:beforeAutospacing="1" w:after="100" w:afterAutospacing="1"/>
              <w:jc w:val="right"/>
            </w:pPr>
            <w:r w:rsidRPr="5F884969">
              <w:rPr>
                <w:rFonts w:ascii="Calibri" w:hAnsi="Calibri"/>
                <w:color w:val="000000" w:themeColor="text1"/>
              </w:rPr>
              <w:t>22</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DD5232" w14:textId="77777777" w:rsidR="001B5245" w:rsidRDefault="001B5245" w:rsidP="5F884969">
            <w:pPr>
              <w:spacing w:before="100" w:beforeAutospacing="1" w:after="100" w:afterAutospacing="1"/>
              <w:jc w:val="right"/>
            </w:pPr>
            <w:r w:rsidRPr="5F884969">
              <w:rPr>
                <w:rFonts w:ascii="Calibri" w:hAnsi="Calibri"/>
                <w:color w:val="000000" w:themeColor="text1"/>
              </w:rPr>
              <w:t>5</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A7077B"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09D6BFD2"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898F5E" w14:textId="77777777" w:rsidR="001B5245" w:rsidRDefault="001B5245" w:rsidP="5F884969">
            <w:pPr>
              <w:spacing w:before="100" w:beforeAutospacing="1" w:after="100" w:afterAutospacing="1"/>
              <w:jc w:val="right"/>
            </w:pPr>
            <w:r w:rsidRPr="5F884969">
              <w:rPr>
                <w:rFonts w:ascii="Calibri" w:hAnsi="Calibri"/>
                <w:color w:val="000000" w:themeColor="text1"/>
              </w:rPr>
              <w:t>38</w:t>
            </w:r>
          </w:p>
        </w:tc>
      </w:tr>
      <w:tr w:rsidR="001B5245" w14:paraId="7F8DAD46"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ABA7E4" w14:textId="77777777" w:rsidR="001B5245" w:rsidRDefault="001B5245" w:rsidP="5F884969">
            <w:pPr>
              <w:spacing w:before="100" w:beforeAutospacing="1" w:after="100" w:afterAutospacing="1"/>
            </w:pPr>
            <w:r w:rsidRPr="5F884969">
              <w:rPr>
                <w:rFonts w:ascii="Calibri" w:hAnsi="Calibri"/>
                <w:color w:val="000000" w:themeColor="text1"/>
              </w:rPr>
              <w:t>Peterson Place Apartments</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54A70E"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9973AB" w14:textId="77777777"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270" w:type="dxa"/>
            <w:tcBorders>
              <w:top w:val="nil"/>
              <w:left w:val="nil"/>
              <w:bottom w:val="single" w:sz="8" w:space="0" w:color="auto"/>
              <w:right w:val="nil"/>
            </w:tcBorders>
          </w:tcPr>
          <w:p w14:paraId="5E8C98A1"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F727B5" w14:textId="40F05228" w:rsidR="001B5245" w:rsidRDefault="001B5245" w:rsidP="5F884969">
            <w:pPr>
              <w:spacing w:before="100" w:beforeAutospacing="1" w:after="100" w:afterAutospacing="1"/>
              <w:jc w:val="right"/>
            </w:pPr>
            <w:r w:rsidRPr="5F884969">
              <w:rPr>
                <w:rFonts w:ascii="Calibri" w:hAnsi="Calibri"/>
                <w:color w:val="000000" w:themeColor="text1"/>
              </w:rPr>
              <w:t>7</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BB3AA0"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C4C6DF" w14:textId="77777777"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440E1C13"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57CE2E" w14:textId="77777777" w:rsidR="001B5245" w:rsidRDefault="001B5245" w:rsidP="5F884969">
            <w:pPr>
              <w:spacing w:before="100" w:beforeAutospacing="1" w:after="100" w:afterAutospacing="1"/>
              <w:jc w:val="right"/>
            </w:pPr>
            <w:r w:rsidRPr="5F884969">
              <w:rPr>
                <w:rFonts w:ascii="Calibri" w:hAnsi="Calibri"/>
                <w:color w:val="000000" w:themeColor="text1"/>
              </w:rPr>
              <w:t>11</w:t>
            </w:r>
          </w:p>
        </w:tc>
      </w:tr>
      <w:tr w:rsidR="001B5245" w14:paraId="2BA65111"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93D4C4A" w14:textId="77777777" w:rsidR="001B5245" w:rsidRDefault="001B5245" w:rsidP="5F884969">
            <w:pPr>
              <w:spacing w:before="100" w:beforeAutospacing="1" w:after="100" w:afterAutospacing="1"/>
            </w:pPr>
            <w:r w:rsidRPr="5F884969">
              <w:rPr>
                <w:rFonts w:ascii="Calibri" w:hAnsi="Calibri"/>
                <w:color w:val="000000" w:themeColor="text1"/>
              </w:rPr>
              <w:t>South Square Apartments</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A4A872" w14:textId="77777777"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DEF71B" w14:textId="77777777" w:rsidR="001B5245" w:rsidRDefault="001B5245" w:rsidP="5F884969">
            <w:pPr>
              <w:spacing w:before="100" w:beforeAutospacing="1" w:after="100" w:afterAutospacing="1"/>
              <w:jc w:val="right"/>
            </w:pPr>
            <w:r w:rsidRPr="5F884969">
              <w:rPr>
                <w:rFonts w:ascii="Calibri" w:hAnsi="Calibri"/>
                <w:color w:val="000000" w:themeColor="text1"/>
              </w:rPr>
              <w:t>54</w:t>
            </w:r>
          </w:p>
        </w:tc>
        <w:tc>
          <w:tcPr>
            <w:tcW w:w="270" w:type="dxa"/>
            <w:tcBorders>
              <w:top w:val="nil"/>
              <w:left w:val="nil"/>
              <w:bottom w:val="single" w:sz="8" w:space="0" w:color="auto"/>
              <w:right w:val="nil"/>
            </w:tcBorders>
          </w:tcPr>
          <w:p w14:paraId="663F66AD"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BA8A8B" w14:textId="52C838FF" w:rsidR="001B5245" w:rsidRDefault="001B5245" w:rsidP="5F884969">
            <w:pPr>
              <w:spacing w:before="100" w:beforeAutospacing="1" w:after="100" w:afterAutospacing="1"/>
              <w:jc w:val="right"/>
            </w:pPr>
            <w:r w:rsidRPr="5F884969">
              <w:rPr>
                <w:rFonts w:ascii="Calibri" w:hAnsi="Calibri"/>
                <w:color w:val="000000" w:themeColor="text1"/>
              </w:rPr>
              <w:t>9</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61D820"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AD3777"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6935A32D"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C1D21C" w14:textId="77777777" w:rsidR="001B5245" w:rsidRDefault="001B5245" w:rsidP="5F884969">
            <w:pPr>
              <w:spacing w:before="100" w:beforeAutospacing="1" w:after="100" w:afterAutospacing="1"/>
              <w:jc w:val="right"/>
            </w:pPr>
            <w:r w:rsidRPr="5F884969">
              <w:rPr>
                <w:rFonts w:ascii="Calibri" w:hAnsi="Calibri"/>
                <w:color w:val="000000" w:themeColor="text1"/>
              </w:rPr>
              <w:t>65</w:t>
            </w:r>
          </w:p>
        </w:tc>
      </w:tr>
      <w:tr w:rsidR="001B5245" w14:paraId="5067AE86"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80CB4D" w14:textId="77777777" w:rsidR="001B5245" w:rsidRDefault="001B5245" w:rsidP="5F884969">
            <w:pPr>
              <w:spacing w:before="100" w:beforeAutospacing="1" w:after="100" w:afterAutospacing="1"/>
            </w:pPr>
            <w:r w:rsidRPr="5F884969">
              <w:rPr>
                <w:rFonts w:ascii="Calibri" w:hAnsi="Calibri"/>
                <w:color w:val="000000" w:themeColor="text1"/>
              </w:rPr>
              <w:t>South St. Paul Apartments</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03FF72"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6B9446" w14:textId="77777777"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270" w:type="dxa"/>
            <w:tcBorders>
              <w:top w:val="nil"/>
              <w:left w:val="nil"/>
              <w:bottom w:val="single" w:sz="8" w:space="0" w:color="auto"/>
              <w:right w:val="nil"/>
            </w:tcBorders>
          </w:tcPr>
          <w:p w14:paraId="6C2BB949"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2435CC" w14:textId="2952E519" w:rsidR="001B5245" w:rsidRDefault="001B5245" w:rsidP="5F884969">
            <w:pPr>
              <w:spacing w:before="100" w:beforeAutospacing="1" w:after="100" w:afterAutospacing="1"/>
              <w:jc w:val="right"/>
            </w:pPr>
            <w:r w:rsidRPr="5F884969">
              <w:rPr>
                <w:rFonts w:ascii="Calibri" w:hAnsi="Calibri"/>
                <w:color w:val="000000" w:themeColor="text1"/>
              </w:rPr>
              <w:t>16</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3089F4"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295458" w14:textId="77777777" w:rsidR="001B5245" w:rsidRDefault="001B5245" w:rsidP="5F884969">
            <w:pPr>
              <w:spacing w:before="100" w:beforeAutospacing="1" w:after="100" w:afterAutospacing="1"/>
              <w:jc w:val="right"/>
            </w:pPr>
            <w:r w:rsidRPr="5F884969">
              <w:rPr>
                <w:rFonts w:ascii="Calibri" w:hAnsi="Calibri"/>
                <w:color w:val="000000" w:themeColor="text1"/>
              </w:rPr>
              <w:t>3</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659593CD"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54059A" w14:textId="77777777" w:rsidR="001B5245" w:rsidRDefault="001B5245" w:rsidP="5F884969">
            <w:pPr>
              <w:spacing w:before="100" w:beforeAutospacing="1" w:after="100" w:afterAutospacing="1"/>
              <w:jc w:val="right"/>
            </w:pPr>
            <w:r w:rsidRPr="5F884969">
              <w:rPr>
                <w:rFonts w:ascii="Calibri" w:hAnsi="Calibri"/>
                <w:color w:val="000000" w:themeColor="text1"/>
              </w:rPr>
              <w:t>21</w:t>
            </w:r>
          </w:p>
        </w:tc>
      </w:tr>
      <w:tr w:rsidR="001B5245" w14:paraId="326CD1EF" w14:textId="77777777" w:rsidTr="001B5245">
        <w:trPr>
          <w:trHeight w:val="288"/>
        </w:trPr>
        <w:tc>
          <w:tcPr>
            <w:tcW w:w="2979" w:type="dxa"/>
            <w:tcBorders>
              <w:top w:val="nil"/>
              <w:left w:val="single" w:sz="8" w:space="0" w:color="auto"/>
              <w:bottom w:val="double" w:sz="4" w:space="0" w:color="auto"/>
              <w:right w:val="single" w:sz="8" w:space="0" w:color="auto"/>
            </w:tcBorders>
            <w:noWrap/>
            <w:tcMar>
              <w:top w:w="0" w:type="dxa"/>
              <w:left w:w="108" w:type="dxa"/>
              <w:bottom w:w="0" w:type="dxa"/>
              <w:right w:w="108" w:type="dxa"/>
            </w:tcMar>
            <w:vAlign w:val="bottom"/>
            <w:hideMark/>
          </w:tcPr>
          <w:p w14:paraId="349F32C2" w14:textId="77777777" w:rsidR="001B5245" w:rsidRDefault="001B5245" w:rsidP="5F884969">
            <w:pPr>
              <w:spacing w:before="100" w:beforeAutospacing="1" w:after="100" w:afterAutospacing="1"/>
            </w:pPr>
            <w:r w:rsidRPr="5F884969">
              <w:rPr>
                <w:rFonts w:ascii="Calibri" w:hAnsi="Calibri"/>
                <w:color w:val="000000" w:themeColor="text1"/>
              </w:rPr>
              <w:t>Wharf Lane Apartments</w:t>
            </w:r>
          </w:p>
        </w:tc>
        <w:tc>
          <w:tcPr>
            <w:tcW w:w="855" w:type="dxa"/>
            <w:tcBorders>
              <w:top w:val="nil"/>
              <w:left w:val="nil"/>
              <w:bottom w:val="double" w:sz="4" w:space="0" w:color="auto"/>
              <w:right w:val="single" w:sz="8" w:space="0" w:color="auto"/>
            </w:tcBorders>
            <w:noWrap/>
            <w:tcMar>
              <w:top w:w="0" w:type="dxa"/>
              <w:left w:w="108" w:type="dxa"/>
              <w:bottom w:w="0" w:type="dxa"/>
              <w:right w:w="108" w:type="dxa"/>
            </w:tcMar>
            <w:vAlign w:val="bottom"/>
            <w:hideMark/>
          </w:tcPr>
          <w:p w14:paraId="5A6AFB6A" w14:textId="77777777" w:rsidR="001B5245" w:rsidRDefault="001B5245" w:rsidP="5F884969">
            <w:pPr>
              <w:spacing w:before="100" w:beforeAutospacing="1" w:after="100" w:afterAutospacing="1"/>
              <w:jc w:val="right"/>
            </w:pPr>
            <w:r w:rsidRPr="5F884969">
              <w:rPr>
                <w:rFonts w:ascii="Calibri" w:hAnsi="Calibri"/>
                <w:color w:val="000000" w:themeColor="text1"/>
              </w:rPr>
              <w:t>2</w:t>
            </w:r>
          </w:p>
        </w:tc>
        <w:tc>
          <w:tcPr>
            <w:tcW w:w="856" w:type="dxa"/>
            <w:tcBorders>
              <w:top w:val="nil"/>
              <w:left w:val="nil"/>
              <w:bottom w:val="double" w:sz="4" w:space="0" w:color="auto"/>
              <w:right w:val="single" w:sz="8" w:space="0" w:color="auto"/>
            </w:tcBorders>
            <w:noWrap/>
            <w:tcMar>
              <w:top w:w="0" w:type="dxa"/>
              <w:left w:w="108" w:type="dxa"/>
              <w:bottom w:w="0" w:type="dxa"/>
              <w:right w:w="108" w:type="dxa"/>
            </w:tcMar>
            <w:vAlign w:val="bottom"/>
            <w:hideMark/>
          </w:tcPr>
          <w:p w14:paraId="553C0186" w14:textId="77777777" w:rsidR="001B5245" w:rsidRDefault="001B5245" w:rsidP="5F884969">
            <w:pPr>
              <w:spacing w:before="100" w:beforeAutospacing="1" w:after="100" w:afterAutospacing="1"/>
              <w:jc w:val="right"/>
            </w:pPr>
            <w:r w:rsidRPr="5F884969">
              <w:rPr>
                <w:rFonts w:ascii="Calibri" w:hAnsi="Calibri"/>
                <w:color w:val="000000" w:themeColor="text1"/>
              </w:rPr>
              <w:t>29</w:t>
            </w:r>
          </w:p>
        </w:tc>
        <w:tc>
          <w:tcPr>
            <w:tcW w:w="270" w:type="dxa"/>
            <w:tcBorders>
              <w:top w:val="nil"/>
              <w:left w:val="nil"/>
              <w:bottom w:val="double" w:sz="4" w:space="0" w:color="auto"/>
              <w:right w:val="nil"/>
            </w:tcBorders>
          </w:tcPr>
          <w:p w14:paraId="3A4D7F72"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double" w:sz="4" w:space="0" w:color="auto"/>
              <w:right w:val="single" w:sz="8" w:space="0" w:color="auto"/>
            </w:tcBorders>
            <w:noWrap/>
            <w:tcMar>
              <w:top w:w="0" w:type="dxa"/>
              <w:left w:w="108" w:type="dxa"/>
              <w:bottom w:w="0" w:type="dxa"/>
              <w:right w:w="108" w:type="dxa"/>
            </w:tcMar>
            <w:vAlign w:val="bottom"/>
            <w:hideMark/>
          </w:tcPr>
          <w:p w14:paraId="7A1360B8" w14:textId="6470111D" w:rsidR="001B5245" w:rsidRDefault="001B5245" w:rsidP="5F884969">
            <w:pPr>
              <w:spacing w:before="100" w:beforeAutospacing="1" w:after="100" w:afterAutospacing="1"/>
              <w:jc w:val="right"/>
            </w:pPr>
            <w:r w:rsidRPr="5F884969">
              <w:rPr>
                <w:rFonts w:ascii="Calibri" w:hAnsi="Calibri"/>
                <w:color w:val="000000" w:themeColor="text1"/>
              </w:rPr>
              <w:t>6</w:t>
            </w:r>
          </w:p>
        </w:tc>
        <w:tc>
          <w:tcPr>
            <w:tcW w:w="856" w:type="dxa"/>
            <w:tcBorders>
              <w:top w:val="nil"/>
              <w:left w:val="nil"/>
              <w:bottom w:val="double" w:sz="4" w:space="0" w:color="auto"/>
              <w:right w:val="single" w:sz="8" w:space="0" w:color="auto"/>
            </w:tcBorders>
            <w:noWrap/>
            <w:tcMar>
              <w:top w:w="0" w:type="dxa"/>
              <w:left w:w="108" w:type="dxa"/>
              <w:bottom w:w="0" w:type="dxa"/>
              <w:right w:w="108" w:type="dxa"/>
            </w:tcMar>
            <w:vAlign w:val="bottom"/>
            <w:hideMark/>
          </w:tcPr>
          <w:p w14:paraId="54727A63"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double" w:sz="4" w:space="0" w:color="auto"/>
              <w:right w:val="single" w:sz="8" w:space="0" w:color="auto"/>
            </w:tcBorders>
            <w:noWrap/>
            <w:tcMar>
              <w:top w:w="0" w:type="dxa"/>
              <w:left w:w="108" w:type="dxa"/>
              <w:bottom w:w="0" w:type="dxa"/>
              <w:right w:w="108" w:type="dxa"/>
            </w:tcMar>
            <w:vAlign w:val="bottom"/>
            <w:hideMark/>
          </w:tcPr>
          <w:p w14:paraId="46CE186F"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double" w:sz="4" w:space="0" w:color="auto"/>
              <w:right w:val="double" w:sz="4" w:space="0" w:color="auto"/>
            </w:tcBorders>
            <w:noWrap/>
            <w:tcMar>
              <w:top w:w="0" w:type="dxa"/>
              <w:left w:w="108" w:type="dxa"/>
              <w:bottom w:w="0" w:type="dxa"/>
              <w:right w:w="108" w:type="dxa"/>
            </w:tcMar>
            <w:vAlign w:val="bottom"/>
            <w:hideMark/>
          </w:tcPr>
          <w:p w14:paraId="6B8C2673" w14:textId="77777777" w:rsidR="001B5245" w:rsidRDefault="001B5245" w:rsidP="5F884969">
            <w:pPr>
              <w:spacing w:before="100" w:beforeAutospacing="1" w:after="100" w:afterAutospacing="1"/>
              <w:jc w:val="right"/>
            </w:pPr>
            <w:r w:rsidRPr="5F884969">
              <w:rPr>
                <w:rFonts w:ascii="Calibri" w:hAnsi="Calibri"/>
                <w:color w:val="000000" w:themeColor="text1"/>
              </w:rPr>
              <w:t> </w:t>
            </w:r>
          </w:p>
        </w:tc>
        <w:tc>
          <w:tcPr>
            <w:tcW w:w="856" w:type="dxa"/>
            <w:tcBorders>
              <w:top w:val="nil"/>
              <w:left w:val="nil"/>
              <w:bottom w:val="double" w:sz="4" w:space="0" w:color="auto"/>
              <w:right w:val="single" w:sz="8" w:space="0" w:color="auto"/>
            </w:tcBorders>
            <w:noWrap/>
            <w:tcMar>
              <w:top w:w="0" w:type="dxa"/>
              <w:left w:w="108" w:type="dxa"/>
              <w:bottom w:w="0" w:type="dxa"/>
              <w:right w:w="108" w:type="dxa"/>
            </w:tcMar>
            <w:vAlign w:val="bottom"/>
            <w:hideMark/>
          </w:tcPr>
          <w:p w14:paraId="7AABF898" w14:textId="77777777" w:rsidR="001B5245" w:rsidRDefault="001B5245" w:rsidP="5F884969">
            <w:pPr>
              <w:spacing w:before="100" w:beforeAutospacing="1" w:after="100" w:afterAutospacing="1"/>
              <w:jc w:val="right"/>
            </w:pPr>
            <w:r w:rsidRPr="5F884969">
              <w:rPr>
                <w:rFonts w:ascii="Calibri" w:hAnsi="Calibri"/>
                <w:color w:val="000000" w:themeColor="text1"/>
              </w:rPr>
              <w:t>37</w:t>
            </w:r>
          </w:p>
        </w:tc>
      </w:tr>
      <w:tr w:rsidR="001B5245" w14:paraId="0A678C82" w14:textId="77777777" w:rsidTr="001B5245">
        <w:trPr>
          <w:trHeight w:val="288"/>
        </w:trPr>
        <w:tc>
          <w:tcPr>
            <w:tcW w:w="297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BE9B43" w14:textId="77777777" w:rsidR="001B5245" w:rsidRDefault="001B5245" w:rsidP="5F884969">
            <w:pPr>
              <w:spacing w:before="100" w:beforeAutospacing="1" w:after="100" w:afterAutospacing="1"/>
              <w:jc w:val="right"/>
            </w:pPr>
            <w:r w:rsidRPr="5F884969">
              <w:rPr>
                <w:rFonts w:ascii="Calibri" w:hAnsi="Calibri"/>
                <w:b/>
                <w:bCs/>
                <w:color w:val="000000" w:themeColor="text1"/>
              </w:rPr>
              <w:t>TOTAL Bedrooms</w:t>
            </w:r>
          </w:p>
        </w:tc>
        <w:tc>
          <w:tcPr>
            <w:tcW w:w="85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57203A" w14:textId="77777777" w:rsidR="001B5245" w:rsidRDefault="001B5245" w:rsidP="5F884969">
            <w:pPr>
              <w:spacing w:before="100" w:beforeAutospacing="1" w:after="100" w:afterAutospacing="1"/>
              <w:jc w:val="right"/>
            </w:pPr>
            <w:r w:rsidRPr="5F884969">
              <w:rPr>
                <w:rFonts w:ascii="Calibri" w:hAnsi="Calibri"/>
                <w:color w:val="000000" w:themeColor="text1"/>
              </w:rPr>
              <w:t>65</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7BFE1A" w14:textId="77777777" w:rsidR="001B5245" w:rsidRDefault="001B5245" w:rsidP="5F884969">
            <w:pPr>
              <w:spacing w:before="100" w:beforeAutospacing="1" w:after="100" w:afterAutospacing="1"/>
              <w:jc w:val="right"/>
            </w:pPr>
            <w:r w:rsidRPr="5F884969">
              <w:rPr>
                <w:rFonts w:ascii="Calibri" w:hAnsi="Calibri"/>
                <w:color w:val="000000" w:themeColor="text1"/>
              </w:rPr>
              <w:t>277</w:t>
            </w:r>
          </w:p>
        </w:tc>
        <w:tc>
          <w:tcPr>
            <w:tcW w:w="270" w:type="dxa"/>
            <w:tcBorders>
              <w:top w:val="nil"/>
              <w:left w:val="nil"/>
              <w:bottom w:val="single" w:sz="8" w:space="0" w:color="auto"/>
              <w:right w:val="nil"/>
            </w:tcBorders>
          </w:tcPr>
          <w:p w14:paraId="22575874" w14:textId="77777777" w:rsidR="001B5245" w:rsidRPr="5F884969" w:rsidRDefault="001B5245" w:rsidP="5F884969">
            <w:pPr>
              <w:spacing w:before="100" w:beforeAutospacing="1" w:after="100" w:afterAutospacing="1"/>
              <w:jc w:val="right"/>
              <w:rPr>
                <w:rFonts w:ascii="Calibri" w:hAnsi="Calibri"/>
                <w:color w:val="000000" w:themeColor="text1"/>
              </w:rPr>
            </w:pP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D00BA7" w14:textId="4A1F0032" w:rsidR="001B5245" w:rsidRDefault="001B5245" w:rsidP="5F884969">
            <w:pPr>
              <w:spacing w:before="100" w:beforeAutospacing="1" w:after="100" w:afterAutospacing="1"/>
              <w:jc w:val="right"/>
            </w:pPr>
            <w:r w:rsidRPr="5F884969">
              <w:rPr>
                <w:rFonts w:ascii="Calibri" w:hAnsi="Calibri"/>
                <w:color w:val="000000" w:themeColor="text1"/>
              </w:rPr>
              <w:t>150</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5BE832" w14:textId="77777777" w:rsidR="001B5245" w:rsidRDefault="001B5245" w:rsidP="5F884969">
            <w:pPr>
              <w:spacing w:before="100" w:beforeAutospacing="1" w:after="100" w:afterAutospacing="1"/>
              <w:jc w:val="right"/>
            </w:pPr>
            <w:r w:rsidRPr="5F884969">
              <w:rPr>
                <w:rFonts w:ascii="Calibri" w:hAnsi="Calibri"/>
                <w:color w:val="000000" w:themeColor="text1"/>
              </w:rPr>
              <w:t>82</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E7C0E5" w14:textId="77777777" w:rsidR="001B5245" w:rsidRDefault="001B5245" w:rsidP="5F884969">
            <w:pPr>
              <w:spacing w:before="100" w:beforeAutospacing="1" w:after="100" w:afterAutospacing="1"/>
              <w:jc w:val="right"/>
            </w:pPr>
            <w:r w:rsidRPr="5F884969">
              <w:rPr>
                <w:rFonts w:ascii="Calibri" w:hAnsi="Calibri"/>
                <w:color w:val="000000" w:themeColor="text1"/>
              </w:rPr>
              <w:t>15</w:t>
            </w:r>
          </w:p>
        </w:tc>
        <w:tc>
          <w:tcPr>
            <w:tcW w:w="856" w:type="dxa"/>
            <w:tcBorders>
              <w:top w:val="nil"/>
              <w:left w:val="nil"/>
              <w:bottom w:val="single" w:sz="8" w:space="0" w:color="auto"/>
              <w:right w:val="double" w:sz="4" w:space="0" w:color="auto"/>
            </w:tcBorders>
            <w:noWrap/>
            <w:tcMar>
              <w:top w:w="0" w:type="dxa"/>
              <w:left w:w="108" w:type="dxa"/>
              <w:bottom w:w="0" w:type="dxa"/>
              <w:right w:w="108" w:type="dxa"/>
            </w:tcMar>
            <w:vAlign w:val="bottom"/>
            <w:hideMark/>
          </w:tcPr>
          <w:p w14:paraId="4BDFFF43" w14:textId="77777777" w:rsidR="001B5245" w:rsidRDefault="001B5245" w:rsidP="5F884969">
            <w:pPr>
              <w:spacing w:before="100" w:beforeAutospacing="1" w:after="100" w:afterAutospacing="1"/>
              <w:jc w:val="right"/>
            </w:pPr>
            <w:r w:rsidRPr="5F884969">
              <w:rPr>
                <w:rFonts w:ascii="Calibri" w:hAnsi="Calibri"/>
                <w:color w:val="000000" w:themeColor="text1"/>
              </w:rPr>
              <w:t>3</w:t>
            </w:r>
          </w:p>
        </w:tc>
        <w:tc>
          <w:tcPr>
            <w:tcW w:w="85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5080BC" w14:textId="77777777" w:rsidR="001B5245" w:rsidRDefault="001B5245" w:rsidP="5F884969">
            <w:pPr>
              <w:spacing w:before="100" w:beforeAutospacing="1" w:after="100" w:afterAutospacing="1"/>
              <w:jc w:val="right"/>
            </w:pPr>
            <w:r w:rsidRPr="5F884969">
              <w:rPr>
                <w:rFonts w:ascii="Calibri" w:hAnsi="Calibri"/>
                <w:color w:val="000000" w:themeColor="text1"/>
              </w:rPr>
              <w:t>592</w:t>
            </w:r>
          </w:p>
        </w:tc>
      </w:tr>
    </w:tbl>
    <w:p w14:paraId="1A9A7AA3" w14:textId="77777777" w:rsidR="00FC0FD4" w:rsidRPr="002735D1" w:rsidRDefault="00FC0FD4" w:rsidP="002735D1">
      <w:pPr>
        <w:rPr>
          <w:b/>
          <w:bCs/>
        </w:rPr>
      </w:pPr>
    </w:p>
    <w:p w14:paraId="335F6E7F" w14:textId="77777777" w:rsidR="00FC0FD4" w:rsidRDefault="00FC0FD4" w:rsidP="00AA68A9">
      <w:pPr>
        <w:pStyle w:val="ListParagraph"/>
        <w:ind w:left="540"/>
        <w:rPr>
          <w:b/>
          <w:bCs/>
        </w:rPr>
      </w:pPr>
    </w:p>
    <w:p w14:paraId="6F1EC936" w14:textId="77777777" w:rsidR="00FC0FD4" w:rsidRDefault="00FC0FD4" w:rsidP="00AA68A9">
      <w:pPr>
        <w:pStyle w:val="ListParagraph"/>
        <w:ind w:left="540"/>
        <w:rPr>
          <w:b/>
          <w:bCs/>
        </w:rPr>
      </w:pPr>
    </w:p>
    <w:p w14:paraId="7142CF78" w14:textId="07116E05" w:rsidR="00A10F8A" w:rsidRPr="00FF0C42" w:rsidRDefault="5F884969" w:rsidP="00AA68A9">
      <w:pPr>
        <w:pStyle w:val="ListParagraph"/>
        <w:ind w:left="540"/>
        <w:rPr>
          <w:b/>
          <w:bCs/>
          <w:i/>
        </w:rPr>
      </w:pPr>
      <w:r w:rsidRPr="00FF0C42">
        <w:rPr>
          <w:b/>
          <w:bCs/>
          <w:i/>
        </w:rPr>
        <w:t>Describe the differences in rates of renter and owner occupied housing by race/ethnicity in the jurisdiction and region.</w:t>
      </w:r>
    </w:p>
    <w:p w14:paraId="156DBE78" w14:textId="77777777" w:rsidR="00AA68A9" w:rsidRPr="00AA68A9" w:rsidRDefault="00AA68A9" w:rsidP="00AA68A9">
      <w:pPr>
        <w:pStyle w:val="ListParagraph"/>
        <w:ind w:left="540"/>
        <w:rPr>
          <w:b/>
          <w:bCs/>
        </w:rPr>
      </w:pPr>
    </w:p>
    <w:p w14:paraId="48FE49A0" w14:textId="77777777" w:rsidR="00A10F8A" w:rsidRPr="00970F79" w:rsidRDefault="00A10F8A" w:rsidP="002F7C2E">
      <w:pPr>
        <w:pStyle w:val="ListParagraph"/>
        <w:ind w:left="540"/>
        <w:outlineLvl w:val="0"/>
        <w:rPr>
          <w:b/>
          <w:i/>
        </w:rPr>
      </w:pPr>
      <w:r w:rsidRPr="00970F79">
        <w:rPr>
          <w:b/>
          <w:i/>
        </w:rPr>
        <w:t>Burlington</w:t>
      </w:r>
    </w:p>
    <w:p w14:paraId="6FB128EA" w14:textId="5E5B57C3" w:rsidR="004121A4" w:rsidRDefault="00BB6C35" w:rsidP="004121A4">
      <w:pPr>
        <w:pStyle w:val="ListParagraph"/>
        <w:ind w:left="540"/>
      </w:pPr>
      <w:r>
        <w:t>According to the 2010 Census, there is significant disparity in homeownership rates among racial and ethnic groups. The homeownership rate for Whites in Burlington is 43%, Asian 32%, Native Hawai</w:t>
      </w:r>
      <w:r w:rsidR="00A10F8A">
        <w:t>ian/Other Pacific Islander 25%, Hispanic/Latino 18% and Black/African American 15%.</w:t>
      </w:r>
    </w:p>
    <w:p w14:paraId="2B1E238F" w14:textId="77777777" w:rsidR="00A10F8A" w:rsidRDefault="00A10F8A" w:rsidP="004121A4">
      <w:pPr>
        <w:pStyle w:val="ListParagraph"/>
        <w:ind w:left="540"/>
      </w:pPr>
    </w:p>
    <w:p w14:paraId="3E46ED41" w14:textId="00CCD782" w:rsidR="00A10F8A" w:rsidRDefault="00A10F8A" w:rsidP="004121A4">
      <w:pPr>
        <w:pStyle w:val="ListParagraph"/>
        <w:ind w:left="540"/>
      </w:pPr>
      <w:r>
        <w:t xml:space="preserve">Although 86% of the renters in Burlington are white, this number is influenced by the significant student population. </w:t>
      </w:r>
      <w:r w:rsidR="0005252C">
        <w:t xml:space="preserve">It tells a more impactful story to compare the renter and homeownership rates within each race/ethnicity category. See </w:t>
      </w:r>
      <w:r w:rsidR="00210EF0">
        <w:t>table 20</w:t>
      </w:r>
      <w:r w:rsidR="0005252C">
        <w:t xml:space="preserve"> below.</w:t>
      </w:r>
    </w:p>
    <w:p w14:paraId="295864F5" w14:textId="77777777" w:rsidR="0005252C" w:rsidRDefault="0005252C" w:rsidP="004121A4">
      <w:pPr>
        <w:pStyle w:val="ListParagraph"/>
        <w:ind w:left="540"/>
      </w:pPr>
    </w:p>
    <w:p w14:paraId="4E6CAF50" w14:textId="05996D56" w:rsidR="00AA68A9" w:rsidRPr="00AA68A9" w:rsidRDefault="00210EF0" w:rsidP="004121A4">
      <w:pPr>
        <w:pStyle w:val="ListParagraph"/>
        <w:ind w:left="540"/>
        <w:rPr>
          <w:sz w:val="20"/>
          <w:szCs w:val="20"/>
        </w:rPr>
      </w:pPr>
      <w:r>
        <w:rPr>
          <w:b/>
          <w:i/>
          <w:sz w:val="20"/>
          <w:szCs w:val="20"/>
        </w:rPr>
        <w:t>Table 20</w:t>
      </w:r>
      <w:r w:rsidR="00342B8C">
        <w:rPr>
          <w:b/>
          <w:i/>
          <w:sz w:val="20"/>
          <w:szCs w:val="20"/>
        </w:rPr>
        <w:t>A</w:t>
      </w:r>
      <w:r w:rsidR="00AA68A9" w:rsidRPr="00AA68A9">
        <w:rPr>
          <w:b/>
          <w:i/>
          <w:sz w:val="20"/>
          <w:szCs w:val="20"/>
        </w:rPr>
        <w:t>:</w:t>
      </w:r>
      <w:r w:rsidR="00AA68A9" w:rsidRPr="00AA68A9">
        <w:rPr>
          <w:sz w:val="20"/>
          <w:szCs w:val="20"/>
        </w:rPr>
        <w:t xml:space="preserve"> Number of Renters and Homeowners in Burlington by Race/Ethnicity.</w:t>
      </w:r>
    </w:p>
    <w:tbl>
      <w:tblPr>
        <w:tblStyle w:val="TableGrid"/>
        <w:tblW w:w="0" w:type="auto"/>
        <w:tblInd w:w="540" w:type="dxa"/>
        <w:tblLook w:val="04A0" w:firstRow="1" w:lastRow="0" w:firstColumn="1" w:lastColumn="0" w:noHBand="0" w:noVBand="1"/>
      </w:tblPr>
      <w:tblGrid>
        <w:gridCol w:w="4045"/>
        <w:gridCol w:w="1823"/>
        <w:gridCol w:w="2942"/>
      </w:tblGrid>
      <w:tr w:rsidR="0005252C" w14:paraId="3B4F36D2" w14:textId="77777777" w:rsidTr="0005252C">
        <w:tc>
          <w:tcPr>
            <w:tcW w:w="4045" w:type="dxa"/>
          </w:tcPr>
          <w:p w14:paraId="5F6BB043" w14:textId="2A4A99CE" w:rsidR="0005252C" w:rsidRPr="00AA68A9" w:rsidRDefault="0005252C" w:rsidP="004121A4">
            <w:pPr>
              <w:pStyle w:val="ListParagraph"/>
              <w:ind w:left="0"/>
              <w:rPr>
                <w:b/>
              </w:rPr>
            </w:pPr>
            <w:r w:rsidRPr="00AA68A9">
              <w:rPr>
                <w:b/>
              </w:rPr>
              <w:t>Race/Ethnicity</w:t>
            </w:r>
          </w:p>
        </w:tc>
        <w:tc>
          <w:tcPr>
            <w:tcW w:w="1823" w:type="dxa"/>
          </w:tcPr>
          <w:p w14:paraId="4155F273" w14:textId="0AFB47FC" w:rsidR="0005252C" w:rsidRPr="00AA68A9" w:rsidRDefault="0005252C" w:rsidP="004121A4">
            <w:pPr>
              <w:pStyle w:val="ListParagraph"/>
              <w:ind w:left="0"/>
              <w:rPr>
                <w:b/>
              </w:rPr>
            </w:pPr>
            <w:r w:rsidRPr="00AA68A9">
              <w:rPr>
                <w:b/>
              </w:rPr>
              <w:t xml:space="preserve">Renter </w:t>
            </w:r>
          </w:p>
        </w:tc>
        <w:tc>
          <w:tcPr>
            <w:tcW w:w="2942" w:type="dxa"/>
          </w:tcPr>
          <w:p w14:paraId="19430623" w14:textId="65054159" w:rsidR="0005252C" w:rsidRPr="00AA68A9" w:rsidRDefault="0005252C" w:rsidP="004121A4">
            <w:pPr>
              <w:pStyle w:val="ListParagraph"/>
              <w:ind w:left="0"/>
              <w:rPr>
                <w:b/>
              </w:rPr>
            </w:pPr>
            <w:r w:rsidRPr="00AA68A9">
              <w:rPr>
                <w:b/>
              </w:rPr>
              <w:t>Homeowner</w:t>
            </w:r>
          </w:p>
        </w:tc>
      </w:tr>
      <w:tr w:rsidR="0005252C" w14:paraId="6A3F5F23" w14:textId="77777777" w:rsidTr="0005252C">
        <w:tc>
          <w:tcPr>
            <w:tcW w:w="4045" w:type="dxa"/>
          </w:tcPr>
          <w:p w14:paraId="68F6E26A" w14:textId="15A8D305" w:rsidR="0005252C" w:rsidRDefault="0005252C" w:rsidP="004121A4">
            <w:pPr>
              <w:pStyle w:val="ListParagraph"/>
              <w:ind w:left="0"/>
            </w:pPr>
            <w:r>
              <w:t>White</w:t>
            </w:r>
          </w:p>
        </w:tc>
        <w:tc>
          <w:tcPr>
            <w:tcW w:w="1823" w:type="dxa"/>
          </w:tcPr>
          <w:p w14:paraId="6258EB53" w14:textId="421E8DE4" w:rsidR="0005252C" w:rsidRDefault="0005252C" w:rsidP="004121A4">
            <w:pPr>
              <w:pStyle w:val="ListParagraph"/>
              <w:ind w:left="0"/>
            </w:pPr>
            <w:r>
              <w:t>8</w:t>
            </w:r>
            <w:r w:rsidR="00AA68A9">
              <w:t>,</w:t>
            </w:r>
            <w:r>
              <w:t>313</w:t>
            </w:r>
          </w:p>
        </w:tc>
        <w:tc>
          <w:tcPr>
            <w:tcW w:w="2942" w:type="dxa"/>
          </w:tcPr>
          <w:p w14:paraId="0848C1CC" w14:textId="29363A5F" w:rsidR="0005252C" w:rsidRDefault="00BB1D75" w:rsidP="004121A4">
            <w:pPr>
              <w:pStyle w:val="ListParagraph"/>
              <w:ind w:left="0"/>
            </w:pPr>
            <w:r>
              <w:t>6</w:t>
            </w:r>
            <w:r w:rsidR="00AA68A9">
              <w:t>,</w:t>
            </w:r>
            <w:r>
              <w:t>212</w:t>
            </w:r>
          </w:p>
        </w:tc>
      </w:tr>
      <w:tr w:rsidR="0005252C" w14:paraId="5B97722F" w14:textId="77777777" w:rsidTr="0005252C">
        <w:tc>
          <w:tcPr>
            <w:tcW w:w="4045" w:type="dxa"/>
          </w:tcPr>
          <w:p w14:paraId="1C31AC1E" w14:textId="08B41893" w:rsidR="0005252C" w:rsidRDefault="0005252C" w:rsidP="004121A4">
            <w:pPr>
              <w:pStyle w:val="ListParagraph"/>
              <w:ind w:left="0"/>
            </w:pPr>
            <w:r>
              <w:t>Black/African American</w:t>
            </w:r>
          </w:p>
        </w:tc>
        <w:tc>
          <w:tcPr>
            <w:tcW w:w="1823" w:type="dxa"/>
          </w:tcPr>
          <w:p w14:paraId="38A4ABAD" w14:textId="0BDBEB61" w:rsidR="0005252C" w:rsidRDefault="0005252C" w:rsidP="004121A4">
            <w:pPr>
              <w:pStyle w:val="ListParagraph"/>
              <w:ind w:left="0"/>
            </w:pPr>
            <w:r>
              <w:t>569</w:t>
            </w:r>
          </w:p>
        </w:tc>
        <w:tc>
          <w:tcPr>
            <w:tcW w:w="2942" w:type="dxa"/>
          </w:tcPr>
          <w:p w14:paraId="205AEF34" w14:textId="0EE19E7D" w:rsidR="0005252C" w:rsidRDefault="0005252C" w:rsidP="004121A4">
            <w:pPr>
              <w:pStyle w:val="ListParagraph"/>
              <w:ind w:left="0"/>
            </w:pPr>
            <w:r>
              <w:t>18</w:t>
            </w:r>
          </w:p>
        </w:tc>
      </w:tr>
      <w:tr w:rsidR="0005252C" w14:paraId="4A8B0A0F" w14:textId="77777777" w:rsidTr="0005252C">
        <w:tc>
          <w:tcPr>
            <w:tcW w:w="4045" w:type="dxa"/>
          </w:tcPr>
          <w:p w14:paraId="5C045C2D" w14:textId="001F63E6" w:rsidR="0005252C" w:rsidRDefault="0005252C" w:rsidP="004121A4">
            <w:pPr>
              <w:pStyle w:val="ListParagraph"/>
              <w:ind w:left="0"/>
            </w:pPr>
            <w:r>
              <w:t>Asian</w:t>
            </w:r>
          </w:p>
        </w:tc>
        <w:tc>
          <w:tcPr>
            <w:tcW w:w="1823" w:type="dxa"/>
          </w:tcPr>
          <w:p w14:paraId="2E5101CA" w14:textId="45A43883" w:rsidR="0005252C" w:rsidRDefault="0005252C" w:rsidP="004121A4">
            <w:pPr>
              <w:pStyle w:val="ListParagraph"/>
              <w:ind w:left="0"/>
            </w:pPr>
            <w:r>
              <w:t>497</w:t>
            </w:r>
          </w:p>
        </w:tc>
        <w:tc>
          <w:tcPr>
            <w:tcW w:w="2942" w:type="dxa"/>
          </w:tcPr>
          <w:p w14:paraId="74BE7B3F" w14:textId="09482EB8" w:rsidR="0005252C" w:rsidRDefault="00BB1D75" w:rsidP="004121A4">
            <w:pPr>
              <w:pStyle w:val="ListParagraph"/>
              <w:ind w:left="0"/>
            </w:pPr>
            <w:r>
              <w:t>162</w:t>
            </w:r>
          </w:p>
        </w:tc>
      </w:tr>
      <w:tr w:rsidR="0005252C" w14:paraId="12C7BC32" w14:textId="77777777" w:rsidTr="0005252C">
        <w:tc>
          <w:tcPr>
            <w:tcW w:w="4045" w:type="dxa"/>
          </w:tcPr>
          <w:p w14:paraId="530DCA20" w14:textId="4F480D46" w:rsidR="0005252C" w:rsidRDefault="0005252C" w:rsidP="004121A4">
            <w:pPr>
              <w:pStyle w:val="ListParagraph"/>
              <w:ind w:left="0"/>
            </w:pPr>
            <w:r>
              <w:t xml:space="preserve">American Indian </w:t>
            </w:r>
          </w:p>
        </w:tc>
        <w:tc>
          <w:tcPr>
            <w:tcW w:w="1823" w:type="dxa"/>
          </w:tcPr>
          <w:p w14:paraId="530FFDF3" w14:textId="4818D5AD" w:rsidR="0005252C" w:rsidRDefault="0005252C" w:rsidP="004121A4">
            <w:pPr>
              <w:pStyle w:val="ListParagraph"/>
              <w:ind w:left="0"/>
            </w:pPr>
            <w:r>
              <w:t>118</w:t>
            </w:r>
          </w:p>
        </w:tc>
        <w:tc>
          <w:tcPr>
            <w:tcW w:w="2942" w:type="dxa"/>
          </w:tcPr>
          <w:p w14:paraId="278E2254" w14:textId="428BD3C6" w:rsidR="0005252C" w:rsidRDefault="00BB1D75" w:rsidP="004121A4">
            <w:pPr>
              <w:pStyle w:val="ListParagraph"/>
              <w:ind w:left="0"/>
            </w:pPr>
            <w:r>
              <w:t>12</w:t>
            </w:r>
          </w:p>
        </w:tc>
      </w:tr>
      <w:tr w:rsidR="0005252C" w14:paraId="73FC1F53" w14:textId="77777777" w:rsidTr="0005252C">
        <w:tc>
          <w:tcPr>
            <w:tcW w:w="4045" w:type="dxa"/>
          </w:tcPr>
          <w:p w14:paraId="138B8F2D" w14:textId="1874F92D" w:rsidR="0005252C" w:rsidRDefault="0005252C" w:rsidP="004121A4">
            <w:pPr>
              <w:pStyle w:val="ListParagraph"/>
              <w:ind w:left="0"/>
            </w:pPr>
            <w:r>
              <w:t>Native Hawaiian/Other Pacific Islander</w:t>
            </w:r>
          </w:p>
        </w:tc>
        <w:tc>
          <w:tcPr>
            <w:tcW w:w="1823" w:type="dxa"/>
          </w:tcPr>
          <w:p w14:paraId="6C006FFC" w14:textId="5A87FC1A" w:rsidR="0005252C" w:rsidRDefault="0005252C" w:rsidP="004121A4">
            <w:pPr>
              <w:pStyle w:val="ListParagraph"/>
              <w:ind w:left="0"/>
            </w:pPr>
            <w:r>
              <w:t>n/a</w:t>
            </w:r>
          </w:p>
        </w:tc>
        <w:tc>
          <w:tcPr>
            <w:tcW w:w="2942" w:type="dxa"/>
          </w:tcPr>
          <w:p w14:paraId="67D5110D" w14:textId="4356DEF3" w:rsidR="0005252C" w:rsidRDefault="00BB1D75" w:rsidP="004121A4">
            <w:pPr>
              <w:pStyle w:val="ListParagraph"/>
              <w:ind w:left="0"/>
            </w:pPr>
            <w:r>
              <w:t>n/a</w:t>
            </w:r>
          </w:p>
        </w:tc>
      </w:tr>
      <w:tr w:rsidR="0005252C" w14:paraId="1AA37569" w14:textId="77777777" w:rsidTr="0005252C">
        <w:tc>
          <w:tcPr>
            <w:tcW w:w="4045" w:type="dxa"/>
          </w:tcPr>
          <w:p w14:paraId="17FF2A52" w14:textId="5BAEE5B5" w:rsidR="0005252C" w:rsidRDefault="00BB1D75" w:rsidP="004121A4">
            <w:pPr>
              <w:pStyle w:val="ListParagraph"/>
              <w:ind w:left="0"/>
            </w:pPr>
            <w:r>
              <w:t>Hispanic/Latino</w:t>
            </w:r>
          </w:p>
        </w:tc>
        <w:tc>
          <w:tcPr>
            <w:tcW w:w="1823" w:type="dxa"/>
          </w:tcPr>
          <w:p w14:paraId="3307408A" w14:textId="5FAF28B8" w:rsidR="0005252C" w:rsidRDefault="00BB1D75" w:rsidP="004121A4">
            <w:pPr>
              <w:pStyle w:val="ListParagraph"/>
              <w:ind w:left="0"/>
            </w:pPr>
            <w:r>
              <w:t>260</w:t>
            </w:r>
          </w:p>
        </w:tc>
        <w:tc>
          <w:tcPr>
            <w:tcW w:w="2942" w:type="dxa"/>
          </w:tcPr>
          <w:p w14:paraId="3843C32D" w14:textId="5DB9FE1F" w:rsidR="0005252C" w:rsidRDefault="00BB1D75" w:rsidP="004121A4">
            <w:pPr>
              <w:pStyle w:val="ListParagraph"/>
              <w:ind w:left="0"/>
            </w:pPr>
            <w:r>
              <w:t>44</w:t>
            </w:r>
          </w:p>
        </w:tc>
      </w:tr>
    </w:tbl>
    <w:p w14:paraId="29873E23" w14:textId="77777777" w:rsidR="0005252C" w:rsidRDefault="0005252C" w:rsidP="004121A4">
      <w:pPr>
        <w:pStyle w:val="ListParagraph"/>
        <w:ind w:left="540"/>
        <w:rPr>
          <w:b/>
        </w:rPr>
      </w:pPr>
    </w:p>
    <w:p w14:paraId="206A207C" w14:textId="77777777" w:rsidR="00AA68A9" w:rsidRPr="006537A3" w:rsidRDefault="00AA68A9" w:rsidP="004121A4">
      <w:pPr>
        <w:pStyle w:val="ListParagraph"/>
        <w:ind w:left="540"/>
        <w:rPr>
          <w:b/>
        </w:rPr>
      </w:pPr>
    </w:p>
    <w:p w14:paraId="226D03F3" w14:textId="77777777" w:rsidR="00AA68A9" w:rsidRPr="00342B8C" w:rsidRDefault="00AA68A9" w:rsidP="004121A4">
      <w:pPr>
        <w:pStyle w:val="ListParagraph"/>
        <w:ind w:left="540"/>
        <w:rPr>
          <w:b/>
        </w:rPr>
      </w:pPr>
    </w:p>
    <w:p w14:paraId="124905F3" w14:textId="16969715" w:rsidR="00A10F8A" w:rsidRPr="00342B8C" w:rsidRDefault="00211280" w:rsidP="002F7C2E">
      <w:pPr>
        <w:pStyle w:val="ListParagraph"/>
        <w:ind w:left="540"/>
        <w:outlineLvl w:val="0"/>
        <w:rPr>
          <w:b/>
          <w:i/>
        </w:rPr>
      </w:pPr>
      <w:r w:rsidRPr="00342B8C">
        <w:rPr>
          <w:b/>
          <w:i/>
        </w:rPr>
        <w:t>Burlington/ South Burlington Region</w:t>
      </w:r>
    </w:p>
    <w:p w14:paraId="19695499" w14:textId="198E1002" w:rsidR="007E4CC4" w:rsidRDefault="007E4CC4" w:rsidP="007E4CC4">
      <w:pPr>
        <w:pStyle w:val="ListParagraph"/>
        <w:ind w:left="540"/>
      </w:pPr>
      <w:r>
        <w:t>According to the 2010 Census, there is significant disparity in homeownership rates among racial groups in the Region. The most significant disparity exists with Black three times more likely to rent than own. Asian renter and owner occupied households are equal and there are slightly more American Indian owner-occupied households than renter households.</w:t>
      </w:r>
    </w:p>
    <w:p w14:paraId="78DF2FFF" w14:textId="77777777" w:rsidR="007E4CC4" w:rsidRDefault="007E4CC4" w:rsidP="007E4CC4">
      <w:pPr>
        <w:pStyle w:val="ListParagraph"/>
        <w:ind w:left="540"/>
      </w:pPr>
    </w:p>
    <w:p w14:paraId="25412F3E" w14:textId="17FB2968" w:rsidR="007E4CC4" w:rsidRDefault="007E4CC4" w:rsidP="007E4CC4">
      <w:pPr>
        <w:pStyle w:val="ListParagraph"/>
        <w:ind w:left="540"/>
      </w:pPr>
      <w:r>
        <w:t>Sixty-five percent of the owner occupied units in the Region are white demonstrating the higher rate of homeownership by Whites in the Region. See Table 20B below.</w:t>
      </w:r>
    </w:p>
    <w:p w14:paraId="168F6807" w14:textId="77777777" w:rsidR="00211280" w:rsidRDefault="00211280" w:rsidP="004121A4">
      <w:pPr>
        <w:pStyle w:val="ListParagraph"/>
        <w:ind w:left="540"/>
      </w:pPr>
    </w:p>
    <w:p w14:paraId="13B6F678" w14:textId="74845628" w:rsidR="00342B8C" w:rsidRPr="00AA68A9" w:rsidRDefault="00342B8C" w:rsidP="00342B8C">
      <w:pPr>
        <w:pStyle w:val="ListParagraph"/>
        <w:ind w:left="540"/>
        <w:rPr>
          <w:sz w:val="20"/>
          <w:szCs w:val="20"/>
        </w:rPr>
      </w:pPr>
      <w:r>
        <w:rPr>
          <w:b/>
          <w:i/>
          <w:sz w:val="20"/>
          <w:szCs w:val="20"/>
        </w:rPr>
        <w:t>Table 20B</w:t>
      </w:r>
      <w:r w:rsidRPr="00AA68A9">
        <w:rPr>
          <w:b/>
          <w:i/>
          <w:sz w:val="20"/>
          <w:szCs w:val="20"/>
        </w:rPr>
        <w:t>:</w:t>
      </w:r>
      <w:r w:rsidRPr="00AA68A9">
        <w:rPr>
          <w:sz w:val="20"/>
          <w:szCs w:val="20"/>
        </w:rPr>
        <w:t xml:space="preserve"> Number of</w:t>
      </w:r>
      <w:r>
        <w:rPr>
          <w:sz w:val="20"/>
          <w:szCs w:val="20"/>
        </w:rPr>
        <w:t xml:space="preserve"> Households by</w:t>
      </w:r>
      <w:r w:rsidRPr="00AA68A9">
        <w:rPr>
          <w:sz w:val="20"/>
          <w:szCs w:val="20"/>
        </w:rPr>
        <w:t xml:space="preserve"> Rent</w:t>
      </w:r>
      <w:r>
        <w:rPr>
          <w:sz w:val="20"/>
          <w:szCs w:val="20"/>
        </w:rPr>
        <w:t>ers and Homeowners in the Burlington/South Burlington Region</w:t>
      </w:r>
      <w:r w:rsidRPr="00AA68A9">
        <w:rPr>
          <w:sz w:val="20"/>
          <w:szCs w:val="20"/>
        </w:rPr>
        <w:t xml:space="preserve"> by Race/Ethnicity.</w:t>
      </w:r>
    </w:p>
    <w:tbl>
      <w:tblPr>
        <w:tblStyle w:val="TableGrid"/>
        <w:tblW w:w="0" w:type="auto"/>
        <w:tblInd w:w="540" w:type="dxa"/>
        <w:tblLook w:val="04A0" w:firstRow="1" w:lastRow="0" w:firstColumn="1" w:lastColumn="0" w:noHBand="0" w:noVBand="1"/>
      </w:tblPr>
      <w:tblGrid>
        <w:gridCol w:w="4045"/>
        <w:gridCol w:w="1823"/>
        <w:gridCol w:w="2942"/>
      </w:tblGrid>
      <w:tr w:rsidR="00342B8C" w14:paraId="35A418DC" w14:textId="77777777" w:rsidTr="00EA0866">
        <w:tc>
          <w:tcPr>
            <w:tcW w:w="4045" w:type="dxa"/>
          </w:tcPr>
          <w:p w14:paraId="6D1A1190" w14:textId="77777777" w:rsidR="00342B8C" w:rsidRPr="00AA68A9" w:rsidRDefault="00342B8C" w:rsidP="00EA0866">
            <w:pPr>
              <w:pStyle w:val="ListParagraph"/>
              <w:ind w:left="0"/>
              <w:rPr>
                <w:b/>
              </w:rPr>
            </w:pPr>
            <w:r w:rsidRPr="00AA68A9">
              <w:rPr>
                <w:b/>
              </w:rPr>
              <w:t>Race/Ethnicity</w:t>
            </w:r>
          </w:p>
        </w:tc>
        <w:tc>
          <w:tcPr>
            <w:tcW w:w="1823" w:type="dxa"/>
          </w:tcPr>
          <w:p w14:paraId="1C20B574" w14:textId="77777777" w:rsidR="00342B8C" w:rsidRPr="00AA68A9" w:rsidRDefault="00342B8C" w:rsidP="00EA0866">
            <w:pPr>
              <w:pStyle w:val="ListParagraph"/>
              <w:ind w:left="0"/>
              <w:rPr>
                <w:b/>
              </w:rPr>
            </w:pPr>
            <w:r w:rsidRPr="00AA68A9">
              <w:rPr>
                <w:b/>
              </w:rPr>
              <w:t xml:space="preserve">Renter </w:t>
            </w:r>
          </w:p>
        </w:tc>
        <w:tc>
          <w:tcPr>
            <w:tcW w:w="2942" w:type="dxa"/>
          </w:tcPr>
          <w:p w14:paraId="2DDDEB99" w14:textId="77777777" w:rsidR="00342B8C" w:rsidRPr="00AA68A9" w:rsidRDefault="00342B8C" w:rsidP="00EA0866">
            <w:pPr>
              <w:pStyle w:val="ListParagraph"/>
              <w:ind w:left="0"/>
              <w:rPr>
                <w:b/>
              </w:rPr>
            </w:pPr>
            <w:r w:rsidRPr="00AA68A9">
              <w:rPr>
                <w:b/>
              </w:rPr>
              <w:t>Homeowner</w:t>
            </w:r>
          </w:p>
        </w:tc>
      </w:tr>
      <w:tr w:rsidR="00342B8C" w14:paraId="6A94DB27" w14:textId="77777777" w:rsidTr="00EA0866">
        <w:tc>
          <w:tcPr>
            <w:tcW w:w="4045" w:type="dxa"/>
          </w:tcPr>
          <w:p w14:paraId="735A8650" w14:textId="77777777" w:rsidR="00342B8C" w:rsidRDefault="00342B8C" w:rsidP="00EA0866">
            <w:pPr>
              <w:pStyle w:val="ListParagraph"/>
              <w:ind w:left="0"/>
            </w:pPr>
            <w:r>
              <w:t>White</w:t>
            </w:r>
          </w:p>
        </w:tc>
        <w:tc>
          <w:tcPr>
            <w:tcW w:w="1823" w:type="dxa"/>
          </w:tcPr>
          <w:p w14:paraId="72DF9575" w14:textId="65729322" w:rsidR="00342B8C" w:rsidRDefault="00342B8C" w:rsidP="00EA0866">
            <w:pPr>
              <w:pStyle w:val="ListParagraph"/>
              <w:ind w:left="0"/>
            </w:pPr>
            <w:r>
              <w:t>24,106</w:t>
            </w:r>
          </w:p>
        </w:tc>
        <w:tc>
          <w:tcPr>
            <w:tcW w:w="2942" w:type="dxa"/>
          </w:tcPr>
          <w:p w14:paraId="0675A703" w14:textId="4B600B9F" w:rsidR="00342B8C" w:rsidRDefault="00342B8C" w:rsidP="00EA0866">
            <w:pPr>
              <w:pStyle w:val="ListParagraph"/>
              <w:ind w:left="0"/>
            </w:pPr>
            <w:r>
              <w:t>54,412</w:t>
            </w:r>
          </w:p>
        </w:tc>
      </w:tr>
      <w:tr w:rsidR="00342B8C" w14:paraId="67334C2D" w14:textId="77777777" w:rsidTr="00EA0866">
        <w:tc>
          <w:tcPr>
            <w:tcW w:w="4045" w:type="dxa"/>
          </w:tcPr>
          <w:p w14:paraId="6BA868CB" w14:textId="77777777" w:rsidR="00342B8C" w:rsidRDefault="00342B8C" w:rsidP="00EA0866">
            <w:pPr>
              <w:pStyle w:val="ListParagraph"/>
              <w:ind w:left="0"/>
            </w:pPr>
            <w:r>
              <w:t>Black/African American</w:t>
            </w:r>
          </w:p>
        </w:tc>
        <w:tc>
          <w:tcPr>
            <w:tcW w:w="1823" w:type="dxa"/>
          </w:tcPr>
          <w:p w14:paraId="36C916BA" w14:textId="35B4D5B8" w:rsidR="00342B8C" w:rsidRDefault="00342B8C" w:rsidP="00EA0866">
            <w:pPr>
              <w:pStyle w:val="ListParagraph"/>
              <w:ind w:left="0"/>
            </w:pPr>
            <w:r>
              <w:t>699</w:t>
            </w:r>
          </w:p>
        </w:tc>
        <w:tc>
          <w:tcPr>
            <w:tcW w:w="2942" w:type="dxa"/>
          </w:tcPr>
          <w:p w14:paraId="5B79B576" w14:textId="10B5BD44" w:rsidR="00342B8C" w:rsidRDefault="00342B8C" w:rsidP="00EA0866">
            <w:pPr>
              <w:pStyle w:val="ListParagraph"/>
              <w:ind w:left="0"/>
            </w:pPr>
            <w:r>
              <w:t>204</w:t>
            </w:r>
          </w:p>
        </w:tc>
      </w:tr>
      <w:tr w:rsidR="00342B8C" w14:paraId="67B711B8" w14:textId="77777777" w:rsidTr="00EA0866">
        <w:tc>
          <w:tcPr>
            <w:tcW w:w="4045" w:type="dxa"/>
          </w:tcPr>
          <w:p w14:paraId="35FE5229" w14:textId="77777777" w:rsidR="00342B8C" w:rsidRDefault="00342B8C" w:rsidP="00EA0866">
            <w:pPr>
              <w:pStyle w:val="ListParagraph"/>
              <w:ind w:left="0"/>
            </w:pPr>
            <w:r>
              <w:t>Asian</w:t>
            </w:r>
          </w:p>
        </w:tc>
        <w:tc>
          <w:tcPr>
            <w:tcW w:w="1823" w:type="dxa"/>
          </w:tcPr>
          <w:p w14:paraId="78A2B360" w14:textId="278AE2F8" w:rsidR="00342B8C" w:rsidRDefault="00342B8C" w:rsidP="00EA0866">
            <w:pPr>
              <w:pStyle w:val="ListParagraph"/>
              <w:ind w:left="0"/>
            </w:pPr>
            <w:r>
              <w:t>645</w:t>
            </w:r>
          </w:p>
        </w:tc>
        <w:tc>
          <w:tcPr>
            <w:tcW w:w="2942" w:type="dxa"/>
          </w:tcPr>
          <w:p w14:paraId="14C86AD4" w14:textId="19D600F8" w:rsidR="00342B8C" w:rsidRDefault="00342B8C" w:rsidP="00EA0866">
            <w:pPr>
              <w:pStyle w:val="ListParagraph"/>
              <w:ind w:left="0"/>
            </w:pPr>
            <w:r>
              <w:t>634</w:t>
            </w:r>
          </w:p>
        </w:tc>
      </w:tr>
      <w:tr w:rsidR="00342B8C" w14:paraId="51072DD3" w14:textId="77777777" w:rsidTr="00EA0866">
        <w:tc>
          <w:tcPr>
            <w:tcW w:w="4045" w:type="dxa"/>
          </w:tcPr>
          <w:p w14:paraId="752F9D5A" w14:textId="77777777" w:rsidR="00342B8C" w:rsidRDefault="00342B8C" w:rsidP="00EA0866">
            <w:pPr>
              <w:pStyle w:val="ListParagraph"/>
              <w:ind w:left="0"/>
            </w:pPr>
            <w:r>
              <w:t xml:space="preserve">American Indian </w:t>
            </w:r>
          </w:p>
        </w:tc>
        <w:tc>
          <w:tcPr>
            <w:tcW w:w="1823" w:type="dxa"/>
          </w:tcPr>
          <w:p w14:paraId="3EB479E9" w14:textId="290B879C" w:rsidR="00342B8C" w:rsidRDefault="00342B8C" w:rsidP="00EA0866">
            <w:pPr>
              <w:pStyle w:val="ListParagraph"/>
              <w:ind w:left="0"/>
            </w:pPr>
            <w:r>
              <w:t>172</w:t>
            </w:r>
          </w:p>
        </w:tc>
        <w:tc>
          <w:tcPr>
            <w:tcW w:w="2942" w:type="dxa"/>
          </w:tcPr>
          <w:p w14:paraId="2CB5AEFF" w14:textId="4CDFCCCC" w:rsidR="00342B8C" w:rsidRDefault="00342B8C" w:rsidP="00EA0866">
            <w:pPr>
              <w:pStyle w:val="ListParagraph"/>
              <w:ind w:left="0"/>
            </w:pPr>
            <w:r>
              <w:t>218</w:t>
            </w:r>
          </w:p>
        </w:tc>
      </w:tr>
      <w:tr w:rsidR="00342B8C" w14:paraId="2C2B25E7" w14:textId="77777777" w:rsidTr="00EA0866">
        <w:tc>
          <w:tcPr>
            <w:tcW w:w="4045" w:type="dxa"/>
          </w:tcPr>
          <w:p w14:paraId="1B75D28B" w14:textId="77777777" w:rsidR="00342B8C" w:rsidRDefault="00342B8C" w:rsidP="00EA0866">
            <w:pPr>
              <w:pStyle w:val="ListParagraph"/>
              <w:ind w:left="0"/>
            </w:pPr>
            <w:r>
              <w:t>Native Hawaiian/Other Pacific Islander</w:t>
            </w:r>
          </w:p>
        </w:tc>
        <w:tc>
          <w:tcPr>
            <w:tcW w:w="1823" w:type="dxa"/>
          </w:tcPr>
          <w:p w14:paraId="121ADEA3" w14:textId="359F41C7" w:rsidR="00342B8C" w:rsidRDefault="00342B8C" w:rsidP="00EA0866">
            <w:pPr>
              <w:pStyle w:val="ListParagraph"/>
              <w:ind w:left="0"/>
            </w:pPr>
            <w:r>
              <w:t>12</w:t>
            </w:r>
          </w:p>
        </w:tc>
        <w:tc>
          <w:tcPr>
            <w:tcW w:w="2942" w:type="dxa"/>
          </w:tcPr>
          <w:p w14:paraId="2BDBD946" w14:textId="795B4374" w:rsidR="00342B8C" w:rsidRDefault="00342B8C" w:rsidP="00EA0866">
            <w:pPr>
              <w:pStyle w:val="ListParagraph"/>
              <w:ind w:left="0"/>
            </w:pPr>
            <w:r>
              <w:t>1</w:t>
            </w:r>
          </w:p>
        </w:tc>
      </w:tr>
      <w:tr w:rsidR="00342B8C" w14:paraId="7E1BB3A9" w14:textId="77777777" w:rsidTr="00EA0866">
        <w:tc>
          <w:tcPr>
            <w:tcW w:w="4045" w:type="dxa"/>
          </w:tcPr>
          <w:p w14:paraId="0E59CFBC" w14:textId="77777777" w:rsidR="00342B8C" w:rsidRDefault="00342B8C" w:rsidP="00EA0866">
            <w:pPr>
              <w:pStyle w:val="ListParagraph"/>
              <w:ind w:left="0"/>
            </w:pPr>
            <w:r>
              <w:t>Hispanic/Latino</w:t>
            </w:r>
          </w:p>
        </w:tc>
        <w:tc>
          <w:tcPr>
            <w:tcW w:w="1823" w:type="dxa"/>
          </w:tcPr>
          <w:p w14:paraId="26831758" w14:textId="1D94B94E" w:rsidR="00342B8C" w:rsidRDefault="00342B8C" w:rsidP="00EA0866">
            <w:pPr>
              <w:pStyle w:val="ListParagraph"/>
              <w:ind w:left="0"/>
            </w:pPr>
            <w:r>
              <w:t>558</w:t>
            </w:r>
          </w:p>
        </w:tc>
        <w:tc>
          <w:tcPr>
            <w:tcW w:w="2942" w:type="dxa"/>
          </w:tcPr>
          <w:p w14:paraId="0E235FB7" w14:textId="20E8C028" w:rsidR="00342B8C" w:rsidRDefault="00342B8C" w:rsidP="00EA0866">
            <w:pPr>
              <w:pStyle w:val="ListParagraph"/>
              <w:ind w:left="0"/>
            </w:pPr>
            <w:r>
              <w:t>458</w:t>
            </w:r>
          </w:p>
        </w:tc>
      </w:tr>
    </w:tbl>
    <w:p w14:paraId="2A2EBF7F" w14:textId="77777777" w:rsidR="00211280" w:rsidRDefault="00211280" w:rsidP="004121A4">
      <w:pPr>
        <w:pStyle w:val="ListParagraph"/>
        <w:ind w:left="540"/>
      </w:pPr>
    </w:p>
    <w:p w14:paraId="7A7B7B9C" w14:textId="77777777" w:rsidR="004121A4" w:rsidRPr="00565411" w:rsidRDefault="5F884969" w:rsidP="002F7C2E">
      <w:pPr>
        <w:pStyle w:val="ListParagraph"/>
        <w:ind w:left="540"/>
        <w:outlineLvl w:val="0"/>
        <w:rPr>
          <w:b/>
          <w:bCs/>
          <w:u w:val="single"/>
        </w:rPr>
      </w:pPr>
      <w:r w:rsidRPr="00565411">
        <w:rPr>
          <w:b/>
          <w:bCs/>
          <w:u w:val="single"/>
        </w:rPr>
        <w:t>Additional Information</w:t>
      </w:r>
    </w:p>
    <w:p w14:paraId="0E23B5A1" w14:textId="42B661A6" w:rsidR="009D7D1C" w:rsidRPr="00FC4CF8" w:rsidRDefault="5F884969" w:rsidP="5F884969">
      <w:pPr>
        <w:pStyle w:val="ListParagraph"/>
        <w:widowControl w:val="0"/>
        <w:autoSpaceDE w:val="0"/>
        <w:autoSpaceDN w:val="0"/>
        <w:adjustRightInd w:val="0"/>
        <w:spacing w:after="0" w:line="240" w:lineRule="auto"/>
        <w:ind w:left="540"/>
        <w:rPr>
          <w:rFonts w:ascii="Calibri" w:hAnsi="Calibri" w:cs="Times"/>
          <w:i/>
        </w:rPr>
      </w:pPr>
      <w:r w:rsidRPr="00FC4CF8">
        <w:rPr>
          <w:rFonts w:ascii="Calibri" w:hAnsi="Calibri" w:cs="Calibri"/>
          <w:i/>
        </w:rPr>
        <w:t>B</w:t>
      </w:r>
      <w:r w:rsidRPr="00FC4CF8">
        <w:rPr>
          <w:rFonts w:ascii="Calibri" w:hAnsi="Calibri" w:cs="Calibri"/>
          <w:b/>
          <w:bCs/>
          <w:i/>
        </w:rPr>
        <w:t>eyond the HUD-provided data, provide additional relevant information, if any, about disproportionate housing needs in the jurisdiction and region affecting groups with other protected characteristics.</w:t>
      </w:r>
      <w:r w:rsidRPr="00FC4CF8">
        <w:rPr>
          <w:rFonts w:ascii="Calibri" w:hAnsi="Calibri" w:cs="Calibri"/>
          <w:i/>
        </w:rPr>
        <w:t xml:space="preserve"> </w:t>
      </w:r>
    </w:p>
    <w:p w14:paraId="69CD011B" w14:textId="77777777" w:rsidR="00954DC0" w:rsidRDefault="00954DC0" w:rsidP="00405080">
      <w:pPr>
        <w:pStyle w:val="ListParagraph"/>
        <w:ind w:left="540"/>
        <w:rPr>
          <w:b/>
          <w:i/>
        </w:rPr>
      </w:pPr>
    </w:p>
    <w:p w14:paraId="56214727" w14:textId="4E610915" w:rsidR="00F11448" w:rsidRDefault="00405080" w:rsidP="00405080">
      <w:pPr>
        <w:pStyle w:val="ListParagraph"/>
        <w:ind w:left="540"/>
        <w:rPr>
          <w:b/>
          <w:i/>
        </w:rPr>
      </w:pPr>
      <w:r w:rsidRPr="00405080">
        <w:rPr>
          <w:b/>
          <w:i/>
        </w:rPr>
        <w:t>Burlington</w:t>
      </w:r>
    </w:p>
    <w:p w14:paraId="55A5DE5D" w14:textId="57507013" w:rsidR="00B95806" w:rsidRPr="002735D1" w:rsidRDefault="00405080" w:rsidP="00B95806">
      <w:pPr>
        <w:spacing w:after="0" w:line="240" w:lineRule="auto"/>
        <w:ind w:left="540"/>
        <w:rPr>
          <w:b/>
        </w:rPr>
      </w:pPr>
      <w:r>
        <w:t xml:space="preserve">Disproportionate housing needs in Burlington also include </w:t>
      </w:r>
      <w:r w:rsidR="00B95806">
        <w:t>rehabilitation and energy efficiency needs of the aging housing stock.</w:t>
      </w:r>
      <w:r w:rsidR="00B95806" w:rsidRPr="00B95806">
        <w:rPr>
          <w:rFonts w:cs="Arial"/>
          <w:sz w:val="23"/>
          <w:szCs w:val="23"/>
        </w:rPr>
        <w:t xml:space="preserve"> </w:t>
      </w:r>
      <w:r w:rsidR="00B95806" w:rsidRPr="0009709C">
        <w:rPr>
          <w:rFonts w:cs="Arial"/>
          <w:sz w:val="23"/>
          <w:szCs w:val="23"/>
        </w:rPr>
        <w:t xml:space="preserve">Housing conditions vary widely by housing type, location and investment objectives of rental property owners. It has been noted that Vermont has the 7th oldest housing stock in the nation.  Overall, Burlington’s housing stock is predominately older, renter-occupied homes and apartments. Burlington has five times as many housing units over 50 years old than any other municipality in Chittenden County, and over 50% of the rental units are found by Code Enforcement to be out of compliance with minimum housing code. Over 47% of Burlington’s housing units were built before 1950. These homes need energy </w:t>
      </w:r>
      <w:r w:rsidR="00B95806" w:rsidRPr="002735D1">
        <w:rPr>
          <w:rFonts w:cs="Arial"/>
        </w:rPr>
        <w:t>efficiency upgrades, lead-based paint hazard reduction, and other rehabilitation to make them safe, affordable and sustainable over the long term.</w:t>
      </w:r>
    </w:p>
    <w:p w14:paraId="7BA63C13" w14:textId="2148EF7A" w:rsidR="00405080" w:rsidRPr="002735D1" w:rsidRDefault="00405080" w:rsidP="00405080">
      <w:pPr>
        <w:pStyle w:val="ListParagraph"/>
        <w:ind w:left="540"/>
      </w:pPr>
    </w:p>
    <w:p w14:paraId="0617E4C1" w14:textId="77777777" w:rsidR="00B95806" w:rsidRPr="002735D1" w:rsidRDefault="00B95806" w:rsidP="00405080">
      <w:pPr>
        <w:pStyle w:val="ListParagraph"/>
        <w:ind w:left="540"/>
      </w:pPr>
    </w:p>
    <w:p w14:paraId="31ADDC8A" w14:textId="77777777" w:rsidR="00B95806" w:rsidRPr="002735D1" w:rsidRDefault="00B95806" w:rsidP="00405080">
      <w:pPr>
        <w:pStyle w:val="ListParagraph"/>
        <w:ind w:left="540"/>
      </w:pPr>
      <w:r w:rsidRPr="002735D1">
        <w:rPr>
          <w:rFonts w:cs="Arial"/>
        </w:rPr>
        <w:t xml:space="preserve">There is an acute need to help low-income homeowners make repairs that allow them to improve and retain their housing, and to help make the homes of low-income tenants and homeowners accessible. Creating new homeowners and retaining existing homeowners is the single best way for low and moderate-income households to build family wealth, maintain economic independence and move out of poverty. </w:t>
      </w:r>
    </w:p>
    <w:p w14:paraId="6DFF4FAA" w14:textId="77777777" w:rsidR="00B95806" w:rsidRPr="002735D1" w:rsidRDefault="00B95806" w:rsidP="00405080">
      <w:pPr>
        <w:pStyle w:val="ListParagraph"/>
        <w:ind w:left="540"/>
      </w:pPr>
    </w:p>
    <w:p w14:paraId="4F79963E" w14:textId="4E11CE35" w:rsidR="00B95806" w:rsidRPr="002735D1" w:rsidRDefault="00B95806" w:rsidP="00405080">
      <w:pPr>
        <w:pStyle w:val="ListParagraph"/>
        <w:ind w:left="540"/>
      </w:pPr>
      <w:r w:rsidRPr="002735D1">
        <w:t>Domestic violence is one of the single largest contributing factor to housing insecurity.</w:t>
      </w:r>
    </w:p>
    <w:p w14:paraId="5DAF73E3" w14:textId="27989F93" w:rsidR="00B95806" w:rsidRDefault="00B95806" w:rsidP="00405080">
      <w:pPr>
        <w:pStyle w:val="ListParagraph"/>
        <w:ind w:left="540"/>
      </w:pPr>
      <w:r w:rsidRPr="002735D1">
        <w:t>A large percentage of temporary motel stays paid for by the state is related to domestic violence.</w:t>
      </w:r>
    </w:p>
    <w:p w14:paraId="4C6216BD" w14:textId="77777777" w:rsidR="00C85B78" w:rsidRDefault="00C85B78" w:rsidP="00405080">
      <w:pPr>
        <w:pStyle w:val="ListParagraph"/>
        <w:ind w:left="540"/>
      </w:pPr>
    </w:p>
    <w:p w14:paraId="3EE63BFA" w14:textId="702695B9" w:rsidR="0013585D" w:rsidRPr="00280E87" w:rsidRDefault="00C85B78" w:rsidP="00280E87">
      <w:pPr>
        <w:pStyle w:val="ListParagraph"/>
        <w:ind w:left="540"/>
      </w:pPr>
      <w:r>
        <w:t>When asked about the availability and quality of housing in their neighborhoods,  almost half of our community respondents (47%) said availability of housing was fair to poor and over half (53%) responded that quality of housing was fair to poor. Both responses confirm the low vacancy rate and the concern for the age and condition of the housing in the neighborhoods of our respondents.</w:t>
      </w:r>
      <w:r w:rsidR="0013585D">
        <w:t xml:space="preserve"> </w:t>
      </w:r>
      <w:r w:rsidR="00280E87">
        <w:t xml:space="preserve">Eight-nine of the </w:t>
      </w:r>
      <w:r w:rsidR="00280E87">
        <w:rPr>
          <w:color w:val="000000"/>
        </w:rPr>
        <w:t>r</w:t>
      </w:r>
      <w:r w:rsidR="0013585D" w:rsidRPr="00280E87">
        <w:rPr>
          <w:color w:val="000000"/>
        </w:rPr>
        <w:t>espondents indicated that they were somewhat dissatisfied or very dissatisfied with the quality of their current housing.</w:t>
      </w:r>
      <w:r w:rsidR="0013585D" w:rsidRPr="00280E87">
        <w:rPr>
          <w:rFonts w:ascii="Times New Roman" w:hAnsi="Times New Roman"/>
        </w:rPr>
        <w:t xml:space="preserve"> </w:t>
      </w:r>
      <w:r w:rsidR="00280E87" w:rsidRPr="00280E87">
        <w:rPr>
          <w:rFonts w:ascii="Times New Roman" w:hAnsi="Times New Roman"/>
        </w:rPr>
        <w:t xml:space="preserve">Of the 89 respondents, </w:t>
      </w:r>
      <w:r w:rsidR="0013585D" w:rsidRPr="00280E87">
        <w:rPr>
          <w:color w:val="000000"/>
        </w:rPr>
        <w:t>96% said the</w:t>
      </w:r>
      <w:r w:rsidR="00280E87" w:rsidRPr="00280E87">
        <w:rPr>
          <w:color w:val="000000"/>
        </w:rPr>
        <w:t xml:space="preserve">y </w:t>
      </w:r>
      <w:r w:rsidR="0013585D" w:rsidRPr="00280E87">
        <w:rPr>
          <w:color w:val="000000"/>
        </w:rPr>
        <w:t>have trouble finding safe, quality housing in</w:t>
      </w:r>
      <w:r w:rsidR="00280E87" w:rsidRPr="00280E87">
        <w:rPr>
          <w:color w:val="000000"/>
        </w:rPr>
        <w:t xml:space="preserve"> a neighborhood they can afford;  </w:t>
      </w:r>
      <w:r w:rsidR="0013585D" w:rsidRPr="00280E87">
        <w:rPr>
          <w:color w:val="000000"/>
        </w:rPr>
        <w:t>90% said cost limited their hous</w:t>
      </w:r>
      <w:r w:rsidR="00280E87" w:rsidRPr="00280E87">
        <w:rPr>
          <w:color w:val="000000"/>
        </w:rPr>
        <w:t xml:space="preserve">ing options; </w:t>
      </w:r>
      <w:r w:rsidR="0013585D" w:rsidRPr="00280E87">
        <w:rPr>
          <w:color w:val="000000"/>
        </w:rPr>
        <w:t>80% said their current neighborhood safe</w:t>
      </w:r>
      <w:r w:rsidR="00280E87" w:rsidRPr="00280E87">
        <w:rPr>
          <w:color w:val="000000"/>
        </w:rPr>
        <w:t xml:space="preserve">ty was fair, good, or excellent; and </w:t>
      </w:r>
      <w:r w:rsidR="0013585D" w:rsidRPr="00280E87">
        <w:rPr>
          <w:color w:val="000000"/>
        </w:rPr>
        <w:t>35% rated the quality of their current housing as fair, good, or excellent</w:t>
      </w:r>
      <w:r w:rsidR="001B5245">
        <w:rPr>
          <w:color w:val="000000"/>
        </w:rPr>
        <w:t>.</w:t>
      </w:r>
    </w:p>
    <w:p w14:paraId="2027FFEC" w14:textId="77777777" w:rsidR="0013585D" w:rsidRDefault="0013585D" w:rsidP="00405080">
      <w:pPr>
        <w:pStyle w:val="ListParagraph"/>
        <w:ind w:left="540"/>
      </w:pPr>
    </w:p>
    <w:p w14:paraId="57CFFE69" w14:textId="77777777" w:rsidR="00C12F54" w:rsidRDefault="00C12F54" w:rsidP="00405080">
      <w:pPr>
        <w:pStyle w:val="ListParagraph"/>
        <w:ind w:left="540"/>
      </w:pPr>
    </w:p>
    <w:p w14:paraId="615FE50C" w14:textId="709F1714" w:rsidR="00C12F54" w:rsidRPr="002735D1" w:rsidRDefault="00C12F54" w:rsidP="00405080">
      <w:pPr>
        <w:pStyle w:val="ListParagraph"/>
        <w:ind w:left="540"/>
      </w:pPr>
      <w:r>
        <w:t xml:space="preserve">Fifty-one percent of our respondents were homeowners. </w:t>
      </w:r>
    </w:p>
    <w:p w14:paraId="0259E98A" w14:textId="77777777" w:rsidR="00405080" w:rsidRPr="002735D1" w:rsidRDefault="00405080" w:rsidP="00405080">
      <w:pPr>
        <w:pStyle w:val="ListParagraph"/>
        <w:ind w:left="540"/>
        <w:rPr>
          <w:b/>
          <w:i/>
          <w:color w:val="FF0000"/>
        </w:rPr>
      </w:pPr>
    </w:p>
    <w:p w14:paraId="7D1A2DCA" w14:textId="77777777" w:rsidR="00BB2CC7" w:rsidRDefault="00BB2CC7" w:rsidP="00405080">
      <w:pPr>
        <w:pStyle w:val="ListParagraph"/>
        <w:ind w:left="540"/>
        <w:rPr>
          <w:b/>
          <w:i/>
        </w:rPr>
      </w:pPr>
    </w:p>
    <w:p w14:paraId="045064AE" w14:textId="760C5315" w:rsidR="00565411" w:rsidRPr="003219AA" w:rsidRDefault="00565411" w:rsidP="00405080">
      <w:pPr>
        <w:pStyle w:val="ListParagraph"/>
        <w:ind w:left="540"/>
        <w:rPr>
          <w:b/>
          <w:i/>
        </w:rPr>
      </w:pPr>
      <w:r w:rsidRPr="003219AA">
        <w:rPr>
          <w:b/>
          <w:i/>
        </w:rPr>
        <w:t>Burling</w:t>
      </w:r>
      <w:r w:rsidR="00D90228" w:rsidRPr="003219AA">
        <w:rPr>
          <w:b/>
          <w:i/>
        </w:rPr>
        <w:t>ton</w:t>
      </w:r>
      <w:r w:rsidRPr="003219AA">
        <w:rPr>
          <w:b/>
          <w:i/>
        </w:rPr>
        <w:t>/South Burlington Region</w:t>
      </w:r>
    </w:p>
    <w:p w14:paraId="7F18A403" w14:textId="5C922BD6" w:rsidR="00D90228" w:rsidRDefault="00D90228" w:rsidP="00D90228">
      <w:pPr>
        <w:pStyle w:val="ListParagraph"/>
        <w:ind w:left="540"/>
      </w:pPr>
      <w:r>
        <w:lastRenderedPageBreak/>
        <w:t>The age of housing in the Region is substantially different than that of Burlington. Only 24% of housing in the Region was built before 1950, demonstrating less need for rehabilitation of, energy efficiency upgrades and perhaps lead remediation for households in the Region.</w:t>
      </w:r>
    </w:p>
    <w:p w14:paraId="1117E3FD" w14:textId="77777777" w:rsidR="00D90228" w:rsidRDefault="00D90228" w:rsidP="00D90228">
      <w:pPr>
        <w:pStyle w:val="ListParagraph"/>
        <w:ind w:left="540"/>
      </w:pPr>
    </w:p>
    <w:p w14:paraId="6EA8A328" w14:textId="5EDC19EE" w:rsidR="00D90228" w:rsidRPr="00D90228" w:rsidRDefault="00D90228" w:rsidP="00D90228">
      <w:pPr>
        <w:pStyle w:val="ListParagraph"/>
        <w:ind w:left="540"/>
      </w:pPr>
      <w:r>
        <w:t xml:space="preserve">Household types </w:t>
      </w:r>
      <w:r w:rsidR="00F91DCF">
        <w:t xml:space="preserve">also present a clear picture of disproportionate housing needs. Female heads of households with children under 18 tend to experience a higher degree of poverty than married couple households or male head of household. In fact, in the Region, 68% of Black female heads of household with children under 18 have income in the past 12 months below the poverty level compared to 56% of White female heads of households and only 28% of Asian female heads of households. </w:t>
      </w:r>
    </w:p>
    <w:p w14:paraId="283FC6C6" w14:textId="77777777" w:rsidR="002735D1" w:rsidRDefault="002735D1" w:rsidP="003F4BB9">
      <w:pPr>
        <w:pStyle w:val="ListParagraph"/>
        <w:widowControl w:val="0"/>
        <w:autoSpaceDE w:val="0"/>
        <w:autoSpaceDN w:val="0"/>
        <w:adjustRightInd w:val="0"/>
        <w:spacing w:after="0" w:line="240" w:lineRule="auto"/>
        <w:ind w:left="540"/>
        <w:rPr>
          <w:b/>
          <w:bCs/>
          <w:i/>
          <w:iCs/>
          <w:color w:val="FF0000"/>
        </w:rPr>
      </w:pPr>
    </w:p>
    <w:p w14:paraId="62AB5A63" w14:textId="68949C5F" w:rsidR="00F11448" w:rsidRPr="002735D1" w:rsidRDefault="5F884969" w:rsidP="003F4BB9">
      <w:pPr>
        <w:pStyle w:val="ListParagraph"/>
        <w:widowControl w:val="0"/>
        <w:autoSpaceDE w:val="0"/>
        <w:autoSpaceDN w:val="0"/>
        <w:adjustRightInd w:val="0"/>
        <w:spacing w:after="0" w:line="240" w:lineRule="auto"/>
        <w:ind w:left="540"/>
        <w:rPr>
          <w:rFonts w:ascii="Calibri" w:hAnsi="Calibri" w:cs="Calibri"/>
          <w:b/>
          <w:bCs/>
          <w:i/>
        </w:rPr>
      </w:pPr>
      <w:r w:rsidRPr="002735D1">
        <w:rPr>
          <w:rFonts w:ascii="Calibri" w:hAnsi="Calibri" w:cs="Calibri"/>
          <w:b/>
          <w:bCs/>
          <w:i/>
        </w:rPr>
        <w:t xml:space="preserve">The program participant may also describe other information relevant to its assessment of disproportionate housing needs. </w:t>
      </w:r>
    </w:p>
    <w:p w14:paraId="34A9DB1D" w14:textId="77777777" w:rsidR="003F4BB9" w:rsidRDefault="003F4BB9" w:rsidP="003F4BB9">
      <w:pPr>
        <w:spacing w:beforeAutospacing="1" w:afterAutospacing="1"/>
        <w:ind w:left="540"/>
        <w:rPr>
          <w:rFonts w:cs="Arial"/>
        </w:rPr>
      </w:pPr>
      <w:r w:rsidRPr="000612E5">
        <w:rPr>
          <w:bCs/>
          <w:iCs/>
        </w:rPr>
        <w:t xml:space="preserve">A key factor contributing to housing affordability and housing choice is our local vacancy rate. </w:t>
      </w:r>
      <w:r w:rsidRPr="000612E5">
        <w:t> A rental vacancy</w:t>
      </w:r>
      <w:r>
        <w:t xml:space="preserve"> rate between 3% and 5% is generally considered by most experts to be “balanced.”  When it falls below that level, a lack of supply will lead to escalating rents, leave people unable to find housing, and limit economic growth. </w:t>
      </w:r>
    </w:p>
    <w:p w14:paraId="7347C03F" w14:textId="76806C25" w:rsidR="003F4BB9" w:rsidRDefault="000612E5" w:rsidP="002735D1">
      <w:pPr>
        <w:spacing w:beforeAutospacing="1" w:afterAutospacing="1"/>
        <w:ind w:left="540"/>
        <w:rPr>
          <w:rFonts w:cs="Arial"/>
        </w:rPr>
      </w:pPr>
      <w:r>
        <w:t>The County</w:t>
      </w:r>
      <w:r w:rsidR="003F4BB9">
        <w:t xml:space="preserve"> rental vacancy rate, measured twice a year by the Allen &amp; Brooks Report, is running at 4.4% in Chittenden County as of December 2016, a 1.4% increase from 2015 and within the ‘balanced’ range. </w:t>
      </w:r>
    </w:p>
    <w:p w14:paraId="22A7337D" w14:textId="41A60C32" w:rsidR="003F4BB9" w:rsidRDefault="003F4BB9" w:rsidP="002735D1">
      <w:pPr>
        <w:spacing w:beforeAutospacing="1" w:afterAutospacing="1"/>
        <w:ind w:left="540" w:firstLine="45"/>
      </w:pPr>
      <w:r>
        <w:t>In all previous years, it ran well below national and regional rates which are reported by the Census Bureau and displayed in the graph below. </w:t>
      </w:r>
    </w:p>
    <w:p w14:paraId="0390996F" w14:textId="226ABBF3" w:rsidR="003F4BB9" w:rsidRDefault="003F4BB9" w:rsidP="003F4BB9">
      <w:pPr>
        <w:spacing w:beforeAutospacing="1" w:afterAutospacing="1"/>
        <w:rPr>
          <w:rFonts w:cs="Arial"/>
        </w:rPr>
      </w:pPr>
      <w:r>
        <w:rPr>
          <w:rFonts w:cs="Arial"/>
          <w:noProof/>
          <w:lang w:eastAsia="en-US"/>
        </w:rPr>
        <w:drawing>
          <wp:inline distT="0" distB="0" distL="0" distR="0" wp14:anchorId="18D90878" wp14:editId="71B0B05C">
            <wp:extent cx="5944235" cy="3206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4235" cy="3206750"/>
                    </a:xfrm>
                    <a:prstGeom prst="rect">
                      <a:avLst/>
                    </a:prstGeom>
                    <a:noFill/>
                  </pic:spPr>
                </pic:pic>
              </a:graphicData>
            </a:graphic>
          </wp:inline>
        </w:drawing>
      </w:r>
    </w:p>
    <w:p w14:paraId="6989AEF5" w14:textId="39901B1D" w:rsidR="000612E5" w:rsidRDefault="000612E5" w:rsidP="000612E5">
      <w:pPr>
        <w:spacing w:before="120" w:line="240" w:lineRule="auto"/>
        <w:rPr>
          <w:b/>
          <w:sz w:val="24"/>
          <w:szCs w:val="24"/>
        </w:rPr>
      </w:pPr>
    </w:p>
    <w:p w14:paraId="6209CE2F" w14:textId="686CF65C" w:rsidR="000612E5" w:rsidRDefault="000612E5" w:rsidP="000612E5">
      <w:pPr>
        <w:spacing w:after="0" w:line="240" w:lineRule="auto"/>
        <w:rPr>
          <w:rFonts w:cs="Arial"/>
          <w:sz w:val="23"/>
          <w:szCs w:val="23"/>
        </w:rPr>
      </w:pPr>
      <w:r w:rsidRPr="0089540C">
        <w:rPr>
          <w:rFonts w:cs="Arial"/>
          <w:sz w:val="23"/>
          <w:szCs w:val="23"/>
        </w:rPr>
        <w:t>The Special Needs populations of the City include seniors over 65, those living with both physical and developmental disabilities, and those with substance abuse and mental health needs. This population generally needs additional supports, or wraparound services to accompany their housing needs.</w:t>
      </w:r>
    </w:p>
    <w:p w14:paraId="2D37D178" w14:textId="77777777" w:rsidR="000612E5" w:rsidRPr="00B87F1C" w:rsidRDefault="000612E5" w:rsidP="000612E5">
      <w:pPr>
        <w:spacing w:after="0" w:line="240" w:lineRule="auto"/>
        <w:rPr>
          <w:b/>
          <w:sz w:val="23"/>
          <w:szCs w:val="23"/>
        </w:rPr>
      </w:pPr>
    </w:p>
    <w:p w14:paraId="516BADC0" w14:textId="77777777" w:rsidR="000612E5" w:rsidRDefault="000612E5" w:rsidP="000612E5">
      <w:pPr>
        <w:keepNext/>
        <w:widowControl w:val="0"/>
        <w:spacing w:before="120" w:line="240" w:lineRule="auto"/>
        <w:jc w:val="center"/>
        <w:rPr>
          <w:b/>
          <w:bCs/>
          <w:vanish/>
          <w:sz w:val="20"/>
          <w:szCs w:val="20"/>
        </w:rPr>
      </w:pPr>
    </w:p>
    <w:p w14:paraId="2AF591B1" w14:textId="77777777" w:rsidR="000612E5" w:rsidRDefault="000612E5" w:rsidP="000612E5">
      <w:pPr>
        <w:spacing w:before="120" w:line="240" w:lineRule="auto"/>
        <w:rPr>
          <w:b/>
          <w:bCs/>
          <w:vanish/>
          <w:sz w:val="16"/>
          <w:szCs w:val="16"/>
        </w:rPr>
      </w:pPr>
    </w:p>
    <w:p w14:paraId="046547CF" w14:textId="77777777" w:rsidR="000612E5" w:rsidRDefault="000612E5" w:rsidP="000612E5">
      <w:pPr>
        <w:spacing w:after="0" w:line="240" w:lineRule="auto"/>
        <w:rPr>
          <w:rFonts w:cs="Arial"/>
          <w:i/>
          <w:sz w:val="23"/>
          <w:szCs w:val="23"/>
        </w:rPr>
      </w:pPr>
      <w:r w:rsidRPr="00B87F1C">
        <w:rPr>
          <w:rFonts w:cs="Arial"/>
          <w:sz w:val="23"/>
          <w:szCs w:val="23"/>
        </w:rPr>
        <w:t>As of the 2010 Census, there were 3,986 Burlington seniors, age 65 and older, living in the City.  Not all of those residents have supportive service or supportive housing needs.  However, 36.6% of Burlington seniors (a total of 1,460) reported having some kind of disability.  That includes mental illness as well as physical disabilities.  Thirty-six percent were living alone, 20.6% with an independent living difficulty, and 16% had no vehicle. </w:t>
      </w:r>
      <w:r w:rsidRPr="00B87F1C">
        <w:rPr>
          <w:rFonts w:cs="Arial"/>
          <w:i/>
          <w:sz w:val="23"/>
          <w:szCs w:val="23"/>
        </w:rPr>
        <w:t> </w:t>
      </w:r>
    </w:p>
    <w:p w14:paraId="3C80827A" w14:textId="77777777" w:rsidR="000612E5" w:rsidRPr="00B87F1C" w:rsidRDefault="000612E5" w:rsidP="000612E5">
      <w:pPr>
        <w:spacing w:after="0" w:line="240" w:lineRule="auto"/>
        <w:rPr>
          <w:rFonts w:cs="Arial"/>
          <w:sz w:val="23"/>
          <w:szCs w:val="23"/>
        </w:rPr>
      </w:pPr>
    </w:p>
    <w:p w14:paraId="291A5797" w14:textId="77777777" w:rsidR="000612E5" w:rsidRDefault="000612E5" w:rsidP="000612E5">
      <w:pPr>
        <w:spacing w:after="0" w:line="240" w:lineRule="auto"/>
        <w:rPr>
          <w:rFonts w:cs="Arial"/>
          <w:sz w:val="23"/>
          <w:szCs w:val="23"/>
        </w:rPr>
      </w:pPr>
      <w:r w:rsidRPr="00B87F1C">
        <w:rPr>
          <w:rFonts w:cs="Arial"/>
          <w:sz w:val="23"/>
          <w:szCs w:val="23"/>
        </w:rPr>
        <w:t>The Vermont State System of Care uses a prevalence rate of 2.1% of the City</w:t>
      </w:r>
      <w:r>
        <w:rPr>
          <w:rFonts w:cs="Arial"/>
          <w:sz w:val="23"/>
          <w:szCs w:val="23"/>
        </w:rPr>
        <w:t>’</w:t>
      </w:r>
      <w:r w:rsidRPr="00B87F1C">
        <w:rPr>
          <w:rFonts w:cs="Arial"/>
          <w:sz w:val="23"/>
          <w:szCs w:val="23"/>
        </w:rPr>
        <w:t>s general population who have intellectual disabilities and Pervasive Development Disorders.  Applying the overall percent to Burlington</w:t>
      </w:r>
      <w:r>
        <w:rPr>
          <w:rFonts w:cs="Arial"/>
          <w:sz w:val="23"/>
          <w:szCs w:val="23"/>
        </w:rPr>
        <w:t>’</w:t>
      </w:r>
      <w:r w:rsidRPr="00B87F1C">
        <w:rPr>
          <w:rFonts w:cs="Arial"/>
          <w:sz w:val="23"/>
          <w:szCs w:val="23"/>
        </w:rPr>
        <w:t>s population, there are an estimated 890 residents with developmental disabilities.</w:t>
      </w:r>
    </w:p>
    <w:p w14:paraId="729F0A74" w14:textId="77777777" w:rsidR="000612E5" w:rsidRPr="00B87F1C" w:rsidRDefault="000612E5" w:rsidP="000612E5">
      <w:pPr>
        <w:spacing w:after="0" w:line="240" w:lineRule="auto"/>
        <w:rPr>
          <w:rFonts w:cs="Arial"/>
          <w:sz w:val="23"/>
          <w:szCs w:val="23"/>
        </w:rPr>
      </w:pPr>
    </w:p>
    <w:p w14:paraId="5A60F2BC" w14:textId="3734048F" w:rsidR="000612E5" w:rsidRPr="00B87F1C" w:rsidRDefault="000612E5" w:rsidP="000612E5">
      <w:pPr>
        <w:spacing w:after="0" w:line="240" w:lineRule="auto"/>
        <w:rPr>
          <w:rFonts w:cs="Arial"/>
          <w:sz w:val="23"/>
          <w:szCs w:val="23"/>
        </w:rPr>
      </w:pPr>
      <w:r w:rsidRPr="00B87F1C">
        <w:rPr>
          <w:rFonts w:cs="Arial"/>
          <w:sz w:val="23"/>
          <w:szCs w:val="23"/>
        </w:rPr>
        <w:t>As defined by the Centers for Disease Control and Prevention, people with developmental disabilities have problems with major life activities such as language, mobility, learning, self-help, and independent living.  Developmental disabilities begin anytime during development up to 22 years of age and usually last throughout a person</w:t>
      </w:r>
      <w:r>
        <w:rPr>
          <w:rFonts w:cs="Arial"/>
          <w:sz w:val="23"/>
          <w:szCs w:val="23"/>
        </w:rPr>
        <w:t>’</w:t>
      </w:r>
      <w:r w:rsidRPr="00B87F1C">
        <w:rPr>
          <w:rFonts w:cs="Arial"/>
          <w:sz w:val="23"/>
          <w:szCs w:val="23"/>
        </w:rPr>
        <w:t>s lifetime.  The vast majority of people with developmental disabilities are supported by families or other non-Developmental Services Waiver supports.</w:t>
      </w:r>
    </w:p>
    <w:p w14:paraId="544CF408" w14:textId="77777777" w:rsidR="000612E5" w:rsidRPr="00B87F1C" w:rsidRDefault="000612E5" w:rsidP="000612E5">
      <w:pPr>
        <w:spacing w:after="0" w:line="240" w:lineRule="auto"/>
        <w:rPr>
          <w:rFonts w:cs="Arial"/>
          <w:sz w:val="23"/>
          <w:szCs w:val="23"/>
        </w:rPr>
      </w:pPr>
      <w:r w:rsidRPr="00B87F1C">
        <w:rPr>
          <w:rFonts w:cs="Arial"/>
          <w:sz w:val="23"/>
          <w:szCs w:val="23"/>
        </w:rPr>
        <w:t> </w:t>
      </w:r>
    </w:p>
    <w:p w14:paraId="273AB9AA" w14:textId="77777777" w:rsidR="000612E5" w:rsidRPr="00B87F1C" w:rsidRDefault="000612E5" w:rsidP="000612E5">
      <w:pPr>
        <w:spacing w:after="0" w:line="240" w:lineRule="auto"/>
        <w:rPr>
          <w:rFonts w:cs="Arial"/>
          <w:sz w:val="23"/>
          <w:szCs w:val="23"/>
        </w:rPr>
      </w:pPr>
      <w:r w:rsidRPr="00B87F1C">
        <w:rPr>
          <w:rFonts w:cs="Arial"/>
          <w:sz w:val="23"/>
          <w:szCs w:val="23"/>
        </w:rPr>
        <w:t>According to an analysis by the Substance Abuse and Mental Health Services Administration (SAMHSA), about 4.7% of Vermont</w:t>
      </w:r>
      <w:r>
        <w:rPr>
          <w:rFonts w:cs="Arial"/>
          <w:sz w:val="23"/>
          <w:szCs w:val="23"/>
        </w:rPr>
        <w:t>’</w:t>
      </w:r>
      <w:r w:rsidRPr="00B87F1C">
        <w:rPr>
          <w:rFonts w:cs="Arial"/>
          <w:sz w:val="23"/>
          <w:szCs w:val="23"/>
        </w:rPr>
        <w:t>s population over age 18 has a severe mental illness, defined as a mental illness that caused substantial functional impairment with one or more major life activities. Using this estimate, around 1760 Burlington residents suffer from severe mental illness.  It is estimated that roughly half of those who suffer from severe mental illness are also affected by substance abuse.</w:t>
      </w:r>
    </w:p>
    <w:p w14:paraId="1E4E2F76" w14:textId="044D9E97" w:rsidR="000612E5" w:rsidRPr="008353CF" w:rsidRDefault="000612E5" w:rsidP="008353CF">
      <w:pPr>
        <w:spacing w:after="0" w:line="240" w:lineRule="auto"/>
        <w:rPr>
          <w:rFonts w:cs="Arial"/>
          <w:sz w:val="23"/>
          <w:szCs w:val="23"/>
        </w:rPr>
      </w:pPr>
      <w:r w:rsidRPr="00B87F1C">
        <w:rPr>
          <w:rFonts w:cs="Arial"/>
          <w:sz w:val="23"/>
          <w:szCs w:val="23"/>
        </w:rPr>
        <w:t> </w:t>
      </w:r>
      <w:r>
        <w:rPr>
          <w:rFonts w:cs="Arial"/>
        </w:rPr>
        <w:t> </w:t>
      </w:r>
    </w:p>
    <w:p w14:paraId="10D8F3B3" w14:textId="77777777" w:rsidR="000612E5" w:rsidRDefault="000612E5" w:rsidP="000612E5">
      <w:pPr>
        <w:pStyle w:val="NormalWeb"/>
        <w:spacing w:before="0" w:beforeAutospacing="0" w:after="0" w:afterAutospacing="0"/>
        <w:rPr>
          <w:rFonts w:asciiTheme="minorHAnsi" w:hAnsiTheme="minorHAnsi"/>
          <w:color w:val="000000"/>
          <w:sz w:val="23"/>
          <w:szCs w:val="23"/>
        </w:rPr>
      </w:pPr>
      <w:r w:rsidRPr="00B87F1C">
        <w:rPr>
          <w:rFonts w:asciiTheme="minorHAnsi" w:hAnsiTheme="minorHAnsi"/>
          <w:color w:val="000000"/>
          <w:sz w:val="23"/>
          <w:szCs w:val="23"/>
        </w:rPr>
        <w:t>According to the 2010 Census, 821 individuals, ages 65+ in the City, identified an independent living difficulty. In addition, 1,179 senior households, or 29.5% of the population over 65 are paying over 30% of their income for housing and are cost burdened. According to Cathedral Square Corporation, a key housing provider serving the elderly and individuals or families with special needs, their waiting list hovers between 700 and 1,000 people which demonstrates a high need for special needs/senior housing. By 2017, one in three Vermonters will be 55 years of age or older. Services needed for older adults range from chronic care self-management, to prevention, to nursing home level of care in their homes.</w:t>
      </w:r>
    </w:p>
    <w:p w14:paraId="6E09CD47" w14:textId="77777777" w:rsidR="000612E5" w:rsidRPr="00B87F1C" w:rsidRDefault="000612E5" w:rsidP="000612E5">
      <w:pPr>
        <w:pStyle w:val="NormalWeb"/>
        <w:spacing w:before="0" w:beforeAutospacing="0" w:after="0" w:afterAutospacing="0"/>
        <w:rPr>
          <w:rFonts w:asciiTheme="minorHAnsi" w:hAnsiTheme="minorHAnsi"/>
          <w:color w:val="000000"/>
          <w:sz w:val="23"/>
          <w:szCs w:val="23"/>
        </w:rPr>
      </w:pPr>
    </w:p>
    <w:p w14:paraId="0914FFED" w14:textId="77777777" w:rsidR="000612E5" w:rsidRPr="00B87F1C" w:rsidRDefault="000612E5" w:rsidP="000612E5">
      <w:pPr>
        <w:pStyle w:val="NormalWeb"/>
        <w:spacing w:before="0" w:beforeAutospacing="0" w:after="0" w:afterAutospacing="0"/>
        <w:rPr>
          <w:rFonts w:asciiTheme="minorHAnsi" w:hAnsiTheme="minorHAnsi"/>
          <w:bCs/>
          <w:color w:val="000000"/>
          <w:sz w:val="23"/>
          <w:szCs w:val="23"/>
        </w:rPr>
      </w:pPr>
      <w:r w:rsidRPr="00B87F1C">
        <w:rPr>
          <w:rFonts w:asciiTheme="minorHAnsi" w:hAnsiTheme="minorHAnsi"/>
          <w:color w:val="000000"/>
          <w:sz w:val="23"/>
          <w:szCs w:val="23"/>
        </w:rPr>
        <w:t xml:space="preserve">Eligibility requirements often force seniors to </w:t>
      </w:r>
      <w:r>
        <w:rPr>
          <w:rFonts w:asciiTheme="minorHAnsi" w:hAnsiTheme="minorHAnsi"/>
          <w:color w:val="000000"/>
          <w:sz w:val="23"/>
          <w:szCs w:val="23"/>
        </w:rPr>
        <w:t>“</w:t>
      </w:r>
      <w:r w:rsidRPr="00B87F1C">
        <w:rPr>
          <w:rFonts w:asciiTheme="minorHAnsi" w:hAnsiTheme="minorHAnsi"/>
          <w:color w:val="000000"/>
          <w:sz w:val="23"/>
          <w:szCs w:val="23"/>
        </w:rPr>
        <w:t>spend down</w:t>
      </w:r>
      <w:r>
        <w:rPr>
          <w:rFonts w:asciiTheme="minorHAnsi" w:hAnsiTheme="minorHAnsi"/>
          <w:color w:val="000000"/>
          <w:sz w:val="23"/>
          <w:szCs w:val="23"/>
        </w:rPr>
        <w:t>”</w:t>
      </w:r>
      <w:r w:rsidRPr="00B87F1C">
        <w:rPr>
          <w:rFonts w:asciiTheme="minorHAnsi" w:hAnsiTheme="minorHAnsi"/>
          <w:color w:val="000000"/>
          <w:sz w:val="23"/>
          <w:szCs w:val="23"/>
        </w:rPr>
        <w:t xml:space="preserve"> assets in order to access housing and care</w:t>
      </w:r>
      <w:r w:rsidRPr="00B87F1C">
        <w:rPr>
          <w:rFonts w:asciiTheme="minorHAnsi" w:hAnsiTheme="minorHAnsi"/>
          <w:bCs/>
          <w:color w:val="000000"/>
          <w:sz w:val="23"/>
          <w:szCs w:val="23"/>
        </w:rPr>
        <w:t>.</w:t>
      </w:r>
      <w:r w:rsidRPr="00B87F1C">
        <w:rPr>
          <w:rFonts w:asciiTheme="minorHAnsi" w:hAnsiTheme="minorHAnsi"/>
          <w:b/>
          <w:bCs/>
          <w:color w:val="000000"/>
          <w:sz w:val="23"/>
          <w:szCs w:val="23"/>
        </w:rPr>
        <w:t xml:space="preserve"> </w:t>
      </w:r>
      <w:r w:rsidRPr="00B87F1C">
        <w:rPr>
          <w:rFonts w:asciiTheme="minorHAnsi" w:hAnsiTheme="minorHAnsi"/>
          <w:bCs/>
          <w:color w:val="000000"/>
          <w:sz w:val="23"/>
          <w:szCs w:val="23"/>
        </w:rPr>
        <w:t>Other challenges for the elderly in maintaining an independent living environment include reliance on fixed incomes, juggling housing costs with medical care, special transportation needs, in-home care and assistance with daily tasks and the physical aspects of aging in place.  A more detailed list of challenges faced by these populations can be found below.</w:t>
      </w:r>
    </w:p>
    <w:p w14:paraId="05AAE691" w14:textId="77777777" w:rsidR="000612E5" w:rsidRPr="00B87F1C" w:rsidRDefault="000612E5" w:rsidP="000612E5">
      <w:pPr>
        <w:pStyle w:val="NormalWeb"/>
        <w:spacing w:before="0" w:beforeAutospacing="0" w:after="0" w:afterAutospacing="0"/>
        <w:rPr>
          <w:rFonts w:asciiTheme="minorHAnsi" w:hAnsiTheme="minorHAnsi"/>
          <w:color w:val="000000"/>
          <w:sz w:val="23"/>
          <w:szCs w:val="23"/>
        </w:rPr>
      </w:pPr>
    </w:p>
    <w:p w14:paraId="085BF663" w14:textId="77777777" w:rsidR="000612E5" w:rsidRDefault="000612E5" w:rsidP="000612E5">
      <w:pPr>
        <w:pStyle w:val="NormalWeb"/>
        <w:spacing w:before="0" w:beforeAutospacing="0" w:after="0" w:afterAutospacing="0"/>
        <w:rPr>
          <w:rFonts w:asciiTheme="minorHAnsi" w:hAnsiTheme="minorHAnsi"/>
          <w:color w:val="000000"/>
          <w:sz w:val="23"/>
          <w:szCs w:val="23"/>
        </w:rPr>
      </w:pPr>
      <w:r w:rsidRPr="00B87F1C">
        <w:rPr>
          <w:rFonts w:asciiTheme="minorHAnsi" w:hAnsiTheme="minorHAnsi"/>
          <w:color w:val="000000"/>
          <w:sz w:val="23"/>
          <w:szCs w:val="23"/>
        </w:rPr>
        <w:t> Non-elderly residents with mobility and self-care limitations share many of the same challenges as their elderly counterparts.  Also, as residents with mental illness and developmental disabilities age, they also share the challenges of changing medical and physical conditions.</w:t>
      </w:r>
    </w:p>
    <w:p w14:paraId="4B07DFCC" w14:textId="77777777" w:rsidR="000612E5" w:rsidRPr="00B87F1C" w:rsidRDefault="000612E5" w:rsidP="000612E5">
      <w:pPr>
        <w:pStyle w:val="NormalWeb"/>
        <w:spacing w:before="0" w:beforeAutospacing="0" w:after="0" w:afterAutospacing="0"/>
        <w:rPr>
          <w:rFonts w:asciiTheme="minorHAnsi" w:hAnsiTheme="minorHAnsi"/>
          <w:color w:val="000000"/>
          <w:sz w:val="23"/>
          <w:szCs w:val="23"/>
        </w:rPr>
      </w:pPr>
    </w:p>
    <w:p w14:paraId="082178EB" w14:textId="77777777" w:rsidR="000612E5" w:rsidRDefault="000612E5" w:rsidP="000612E5">
      <w:pPr>
        <w:pStyle w:val="NormalWeb"/>
        <w:spacing w:before="0" w:beforeAutospacing="0" w:after="0" w:afterAutospacing="0"/>
        <w:rPr>
          <w:rFonts w:asciiTheme="minorHAnsi" w:hAnsiTheme="minorHAnsi"/>
          <w:color w:val="000000"/>
          <w:sz w:val="23"/>
          <w:szCs w:val="23"/>
        </w:rPr>
      </w:pPr>
      <w:r w:rsidRPr="00B87F1C">
        <w:rPr>
          <w:rFonts w:asciiTheme="minorHAnsi" w:hAnsiTheme="minorHAnsi"/>
          <w:color w:val="000000"/>
          <w:sz w:val="23"/>
          <w:szCs w:val="23"/>
        </w:rPr>
        <w:t> Residents with developmental delays are dependent upon a fixed social security payment as their primary source of income and rely on subsidized housing options.  Those who choose to live in a family living situation or in one of a few remaining supportive group homes can access funding support.  Those who choose an independent living situation are accommodated by Section 8 and other subsidized housing programs; they do not have preferential status on the waiting lists for those programs but do have other housing options while they wait. </w:t>
      </w:r>
    </w:p>
    <w:p w14:paraId="072880C1" w14:textId="77777777" w:rsidR="000612E5" w:rsidRPr="00B87F1C" w:rsidRDefault="000612E5" w:rsidP="000612E5">
      <w:pPr>
        <w:pStyle w:val="NormalWeb"/>
        <w:spacing w:before="0" w:beforeAutospacing="0" w:after="0" w:afterAutospacing="0"/>
        <w:rPr>
          <w:rFonts w:asciiTheme="minorHAnsi" w:hAnsiTheme="minorHAnsi"/>
          <w:color w:val="000000"/>
          <w:sz w:val="23"/>
          <w:szCs w:val="23"/>
        </w:rPr>
      </w:pPr>
    </w:p>
    <w:p w14:paraId="37E01420" w14:textId="30C9AD98" w:rsidR="000612E5" w:rsidRDefault="000612E5" w:rsidP="000612E5">
      <w:pPr>
        <w:pStyle w:val="NormalWeb"/>
        <w:spacing w:before="0" w:beforeAutospacing="0" w:after="0" w:afterAutospacing="0"/>
        <w:rPr>
          <w:rFonts w:asciiTheme="minorHAnsi" w:hAnsiTheme="minorHAnsi"/>
          <w:color w:val="000000"/>
          <w:sz w:val="23"/>
          <w:szCs w:val="23"/>
        </w:rPr>
      </w:pPr>
      <w:r w:rsidRPr="00B87F1C">
        <w:rPr>
          <w:rFonts w:asciiTheme="minorHAnsi" w:hAnsiTheme="minorHAnsi"/>
          <w:color w:val="000000"/>
          <w:sz w:val="23"/>
          <w:szCs w:val="23"/>
        </w:rPr>
        <w:t xml:space="preserve">Service-enriched housing needs for the population with severe mental illness range from affordable, independent apartments with support services provided by visiting mental health workers to 24-hour supervised </w:t>
      </w:r>
      <w:r>
        <w:rPr>
          <w:rFonts w:asciiTheme="minorHAnsi" w:hAnsiTheme="minorHAnsi"/>
          <w:color w:val="000000"/>
          <w:sz w:val="23"/>
          <w:szCs w:val="23"/>
        </w:rPr>
        <w:t>“</w:t>
      </w:r>
      <w:r w:rsidRPr="00B87F1C">
        <w:rPr>
          <w:rFonts w:asciiTheme="minorHAnsi" w:hAnsiTheme="minorHAnsi"/>
          <w:color w:val="000000"/>
          <w:sz w:val="23"/>
          <w:szCs w:val="23"/>
        </w:rPr>
        <w:t>group home</w:t>
      </w:r>
      <w:r>
        <w:rPr>
          <w:rFonts w:asciiTheme="minorHAnsi" w:hAnsiTheme="minorHAnsi"/>
          <w:color w:val="000000"/>
          <w:sz w:val="23"/>
          <w:szCs w:val="23"/>
        </w:rPr>
        <w:t>”</w:t>
      </w:r>
      <w:r w:rsidRPr="00B87F1C">
        <w:rPr>
          <w:rFonts w:asciiTheme="minorHAnsi" w:hAnsiTheme="minorHAnsi"/>
          <w:color w:val="000000"/>
          <w:sz w:val="23"/>
          <w:szCs w:val="23"/>
        </w:rPr>
        <w:t xml:space="preserve"> settings.  Right now, there is a need for additional supportive housing at all levels for those living with severe mental illness. </w:t>
      </w:r>
    </w:p>
    <w:p w14:paraId="2A70E951" w14:textId="77777777" w:rsidR="000612E5" w:rsidRPr="00B87F1C" w:rsidRDefault="000612E5" w:rsidP="000612E5">
      <w:pPr>
        <w:pStyle w:val="NormalWeb"/>
        <w:spacing w:before="0" w:beforeAutospacing="0" w:after="0" w:afterAutospacing="0"/>
        <w:rPr>
          <w:rFonts w:asciiTheme="minorHAnsi" w:hAnsiTheme="minorHAnsi"/>
          <w:color w:val="000000"/>
          <w:sz w:val="23"/>
          <w:szCs w:val="23"/>
        </w:rPr>
      </w:pPr>
    </w:p>
    <w:p w14:paraId="48B38C29" w14:textId="77777777" w:rsidR="000612E5" w:rsidRPr="00B87F1C" w:rsidRDefault="000612E5" w:rsidP="000612E5">
      <w:pPr>
        <w:pStyle w:val="NormalWeb"/>
        <w:spacing w:before="0" w:beforeAutospacing="0" w:after="0" w:afterAutospacing="0"/>
        <w:rPr>
          <w:rFonts w:asciiTheme="minorHAnsi" w:hAnsiTheme="minorHAnsi"/>
          <w:color w:val="000000"/>
          <w:sz w:val="23"/>
          <w:szCs w:val="23"/>
        </w:rPr>
      </w:pPr>
      <w:r w:rsidRPr="00B87F1C">
        <w:rPr>
          <w:rFonts w:asciiTheme="minorHAnsi" w:hAnsiTheme="minorHAnsi"/>
          <w:color w:val="000000"/>
          <w:sz w:val="23"/>
          <w:szCs w:val="23"/>
        </w:rPr>
        <w:t>Substance abuse treatment and recovery for the 3,300 + residents require affordable, appropriate, alcohol-free and drug-free housing with a range of management and supportive services, from a high level of on-site management (for treatment and early recovery) to self-management in housing such as Oxford Houses to self-management in an at-home setting. Housing that does not require a lease will often not qualify for assistance, creating additional burdens for this population.</w:t>
      </w:r>
    </w:p>
    <w:p w14:paraId="2B14E287" w14:textId="77777777" w:rsidR="000612E5" w:rsidRPr="00B87F1C" w:rsidRDefault="000612E5" w:rsidP="000612E5">
      <w:pPr>
        <w:pStyle w:val="NormalWeb"/>
        <w:spacing w:before="0" w:beforeAutospacing="0" w:after="0" w:afterAutospacing="0"/>
        <w:rPr>
          <w:rFonts w:asciiTheme="minorHAnsi" w:hAnsiTheme="minorHAnsi"/>
          <w:color w:val="000000"/>
          <w:sz w:val="23"/>
          <w:szCs w:val="23"/>
        </w:rPr>
      </w:pPr>
      <w:r w:rsidRPr="00B87F1C">
        <w:rPr>
          <w:rFonts w:asciiTheme="minorHAnsi" w:hAnsiTheme="minorHAnsi"/>
          <w:color w:val="000000"/>
          <w:sz w:val="23"/>
          <w:szCs w:val="23"/>
        </w:rPr>
        <w:t> </w:t>
      </w:r>
    </w:p>
    <w:p w14:paraId="5B432284" w14:textId="77777777" w:rsidR="000612E5" w:rsidRDefault="000612E5" w:rsidP="000612E5">
      <w:pPr>
        <w:rPr>
          <w:rFonts w:cs="Arial"/>
          <w:b/>
          <w:sz w:val="24"/>
          <w:szCs w:val="24"/>
        </w:rPr>
      </w:pPr>
    </w:p>
    <w:p w14:paraId="45C0EB69" w14:textId="77777777" w:rsidR="000612E5" w:rsidRPr="000612E5" w:rsidRDefault="000612E5" w:rsidP="000612E5"/>
    <w:p w14:paraId="030E8983" w14:textId="7EA59CBC" w:rsidR="004121A4" w:rsidRPr="000612E5" w:rsidRDefault="5F884969" w:rsidP="008A6436">
      <w:pPr>
        <w:outlineLvl w:val="0"/>
        <w:rPr>
          <w:b/>
          <w:bCs/>
          <w:u w:val="single"/>
        </w:rPr>
      </w:pPr>
      <w:r w:rsidRPr="000612E5">
        <w:rPr>
          <w:b/>
          <w:bCs/>
          <w:u w:val="single"/>
        </w:rPr>
        <w:t>Contributing Factors of Disproportionate Housing Needs</w:t>
      </w:r>
    </w:p>
    <w:p w14:paraId="7D17FC87" w14:textId="24E7E2E6" w:rsidR="009D7D1C" w:rsidRPr="000612E5" w:rsidRDefault="5F884969" w:rsidP="008A6436">
      <w:pPr>
        <w:widowControl w:val="0"/>
        <w:autoSpaceDE w:val="0"/>
        <w:autoSpaceDN w:val="0"/>
        <w:adjustRightInd w:val="0"/>
        <w:spacing w:after="0" w:line="240" w:lineRule="auto"/>
        <w:outlineLvl w:val="0"/>
        <w:rPr>
          <w:rFonts w:ascii="Calibri" w:hAnsi="Calibri" w:cs="Times"/>
          <w:b/>
          <w:bCs/>
          <w:i/>
        </w:rPr>
      </w:pPr>
      <w:r w:rsidRPr="000612E5">
        <w:rPr>
          <w:rFonts w:ascii="Calibri" w:hAnsi="Calibri" w:cs="Times"/>
          <w:b/>
          <w:bCs/>
          <w:i/>
        </w:rPr>
        <w:t>Contributing Factors of Disproportionate Housing Needs</w:t>
      </w:r>
    </w:p>
    <w:p w14:paraId="1103DA64" w14:textId="2D9749AE" w:rsidR="00675CD1" w:rsidRPr="000612E5" w:rsidRDefault="5F884969" w:rsidP="008A6436">
      <w:pPr>
        <w:widowControl w:val="0"/>
        <w:tabs>
          <w:tab w:val="left" w:pos="220"/>
          <w:tab w:val="left" w:pos="720"/>
        </w:tabs>
        <w:autoSpaceDE w:val="0"/>
        <w:autoSpaceDN w:val="0"/>
        <w:adjustRightInd w:val="0"/>
        <w:rPr>
          <w:rFonts w:eastAsia="MS Gothic" w:cs="MS Gothic"/>
          <w:b/>
          <w:bCs/>
          <w:i/>
          <w:color w:val="FF0000"/>
        </w:rPr>
      </w:pPr>
      <w:r w:rsidRPr="000612E5">
        <w:rPr>
          <w:rFonts w:ascii="Calibri" w:hAnsi="Calibri" w:cs="Calibri"/>
          <w:b/>
          <w:bCs/>
          <w:i/>
        </w:rPr>
        <w:t xml:space="preserve">Consider the listed factors and any other factors affecting the jurisdiction and region. Identify factors that significantly create, contribute to, perpetuate, or increase the severity of </w:t>
      </w:r>
      <w:r w:rsidRPr="000612E5">
        <w:rPr>
          <w:rFonts w:cs="Calibri"/>
          <w:b/>
          <w:bCs/>
          <w:i/>
        </w:rPr>
        <w:t>disproportionate housing needs</w:t>
      </w:r>
      <w:r w:rsidRPr="000612E5">
        <w:rPr>
          <w:rFonts w:cs="Calibri"/>
          <w:b/>
          <w:bCs/>
          <w:i/>
          <w:color w:val="FF0000"/>
        </w:rPr>
        <w:t xml:space="preserve">. </w:t>
      </w:r>
      <w:r w:rsidRPr="000612E5">
        <w:rPr>
          <w:rFonts w:ascii="MS Gothic" w:eastAsia="MS Gothic" w:hAnsi="MS Gothic" w:cs="MS Gothic"/>
          <w:b/>
          <w:bCs/>
          <w:i/>
          <w:color w:val="FF0000"/>
        </w:rPr>
        <w:t> </w:t>
      </w:r>
    </w:p>
    <w:p w14:paraId="4E8D4DFC" w14:textId="77777777" w:rsidR="00AB68D7" w:rsidRDefault="5F884969" w:rsidP="00BA4CEB">
      <w:pPr>
        <w:tabs>
          <w:tab w:val="left" w:pos="720"/>
          <w:tab w:val="left" w:pos="1080"/>
        </w:tabs>
        <w:spacing w:after="0" w:line="240" w:lineRule="auto"/>
        <w:textAlignment w:val="baseline"/>
        <w:rPr>
          <w:rFonts w:eastAsia="Times New Roman"/>
          <w:b/>
          <w:bCs/>
        </w:rPr>
      </w:pPr>
      <w:r w:rsidRPr="00BA4CEB">
        <w:rPr>
          <w:rFonts w:eastAsia="Times New Roman"/>
          <w:b/>
          <w:bCs/>
        </w:rPr>
        <w:t>Availability of affordable units in a range of sizes</w:t>
      </w:r>
    </w:p>
    <w:p w14:paraId="744C6E4C" w14:textId="04728AC4" w:rsidR="000A3633" w:rsidRPr="000A3633" w:rsidRDefault="000A3633" w:rsidP="00BA4CEB">
      <w:pPr>
        <w:tabs>
          <w:tab w:val="left" w:pos="720"/>
          <w:tab w:val="left" w:pos="1080"/>
        </w:tabs>
        <w:spacing w:after="0" w:line="240" w:lineRule="auto"/>
        <w:textAlignment w:val="baseline"/>
        <w:rPr>
          <w:rFonts w:eastAsia="Times New Roman"/>
          <w:bCs/>
        </w:rPr>
      </w:pPr>
      <w:r>
        <w:rPr>
          <w:rFonts w:eastAsia="Times New Roman"/>
          <w:bCs/>
        </w:rPr>
        <w:t>Affordable housing is important to individuals and families with certain protected characteristics because these groups are disproportionately represented in the need for affordable housing. As a refugee community, several of the nationalities who come to Burlington and Winooski choose to live multi-generations under one roof and therefore need more bedroom space. In terms of affordability, a renter or homeowners should not expend more than 30% of his income on housing costs. Unfortunately, in Burlington, not only are market rates excessive, but units with multiple bedrooms are frequently rented to college students to increase a landlord</w:t>
      </w:r>
      <w:r w:rsidR="006345AE">
        <w:rPr>
          <w:rFonts w:eastAsia="Times New Roman"/>
          <w:bCs/>
        </w:rPr>
        <w:t>’</w:t>
      </w:r>
      <w:r>
        <w:rPr>
          <w:rFonts w:eastAsia="Times New Roman"/>
          <w:bCs/>
        </w:rPr>
        <w:t>s return on investment.</w:t>
      </w:r>
    </w:p>
    <w:p w14:paraId="702FD5CD" w14:textId="0A9DF9D2" w:rsidR="00AB68D7" w:rsidRPr="00BA4CEB" w:rsidRDefault="00AB68D7" w:rsidP="00BA4CEB">
      <w:pPr>
        <w:tabs>
          <w:tab w:val="left" w:pos="720"/>
        </w:tabs>
        <w:spacing w:after="0" w:line="240" w:lineRule="auto"/>
        <w:textAlignment w:val="baseline"/>
        <w:rPr>
          <w:rFonts w:eastAsia="Times New Roman"/>
          <w:b/>
          <w:bCs/>
        </w:rPr>
      </w:pPr>
    </w:p>
    <w:p w14:paraId="762A0345" w14:textId="3D1949E6" w:rsidR="00AB68D7" w:rsidRDefault="006345AE" w:rsidP="00BA4CEB">
      <w:pPr>
        <w:tabs>
          <w:tab w:val="left" w:pos="720"/>
        </w:tabs>
        <w:spacing w:after="0" w:line="240" w:lineRule="auto"/>
        <w:textAlignment w:val="baseline"/>
        <w:rPr>
          <w:rFonts w:eastAsia="Times New Roman"/>
          <w:b/>
          <w:bCs/>
        </w:rPr>
      </w:pPr>
      <w:r>
        <w:rPr>
          <w:rFonts w:eastAsia="Times New Roman"/>
          <w:b/>
          <w:bCs/>
        </w:rPr>
        <w:t>Lack of affordable housing units</w:t>
      </w:r>
    </w:p>
    <w:p w14:paraId="009C5C0F" w14:textId="39422817" w:rsidR="00AA69E6" w:rsidRPr="00AA69E6" w:rsidRDefault="006345AE" w:rsidP="00BA4CEB">
      <w:pPr>
        <w:tabs>
          <w:tab w:val="left" w:pos="720"/>
        </w:tabs>
        <w:spacing w:after="0" w:line="240" w:lineRule="auto"/>
        <w:textAlignment w:val="baseline"/>
        <w:rPr>
          <w:rFonts w:eastAsia="Times New Roman"/>
          <w:bCs/>
        </w:rPr>
      </w:pPr>
      <w:r>
        <w:rPr>
          <w:rFonts w:eastAsia="Times New Roman"/>
          <w:bCs/>
        </w:rPr>
        <w:t xml:space="preserve">Although 25% of Burlington’s housing stock is made affordable via subsidies, vouchers and other programs, many of our residents find it difficult to find an available unit due to the low vacancy rate. </w:t>
      </w:r>
    </w:p>
    <w:p w14:paraId="2BC5FD35" w14:textId="77777777" w:rsidR="00BE5F2B" w:rsidRDefault="00BE5F2B" w:rsidP="0024558A"/>
    <w:p w14:paraId="2BAF9503" w14:textId="0F33BE2E" w:rsidR="00BE5F2B" w:rsidRPr="00210EF0" w:rsidRDefault="5F884969" w:rsidP="00210EF0">
      <w:pPr>
        <w:pStyle w:val="Heading1"/>
        <w:numPr>
          <w:ilvl w:val="0"/>
          <w:numId w:val="2"/>
        </w:numPr>
        <w:rPr>
          <w:rFonts w:ascii="Garamond" w:hAnsi="Garamond"/>
          <w:b/>
          <w:bCs/>
          <w:sz w:val="26"/>
          <w:szCs w:val="26"/>
        </w:rPr>
      </w:pPr>
      <w:bookmarkStart w:id="41" w:name="PublicallySupportedHousingAnalysis"/>
      <w:r w:rsidRPr="5F884969">
        <w:rPr>
          <w:rFonts w:ascii="Garamond" w:hAnsi="Garamond"/>
          <w:b/>
          <w:bCs/>
          <w:sz w:val="26"/>
          <w:szCs w:val="26"/>
        </w:rPr>
        <w:lastRenderedPageBreak/>
        <w:t>Publicly Supported Housing Analysis</w:t>
      </w:r>
      <w:bookmarkEnd w:id="41"/>
    </w:p>
    <w:p w14:paraId="02F13641" w14:textId="17107AC5" w:rsidR="004659AE" w:rsidRDefault="5F884969" w:rsidP="002F7C2E">
      <w:pPr>
        <w:spacing w:after="240" w:line="240" w:lineRule="auto"/>
        <w:ind w:left="360"/>
        <w:outlineLvl w:val="0"/>
        <w:rPr>
          <w:b/>
          <w:bCs/>
          <w:u w:val="single"/>
        </w:rPr>
      </w:pPr>
      <w:r w:rsidRPr="006537A3">
        <w:rPr>
          <w:b/>
          <w:bCs/>
          <w:u w:val="single"/>
        </w:rPr>
        <w:t>Key Findings</w:t>
      </w:r>
    </w:p>
    <w:p w14:paraId="254CB04A" w14:textId="6710D4D4" w:rsidR="0011254E" w:rsidRDefault="0011254E" w:rsidP="009A2CF5">
      <w:pPr>
        <w:pStyle w:val="ListParagraph"/>
        <w:numPr>
          <w:ilvl w:val="0"/>
          <w:numId w:val="35"/>
        </w:numPr>
        <w:spacing w:after="240" w:line="240" w:lineRule="auto"/>
        <w:outlineLvl w:val="0"/>
        <w:rPr>
          <w:bCs/>
        </w:rPr>
      </w:pPr>
      <w:r>
        <w:rPr>
          <w:bCs/>
        </w:rPr>
        <w:t>A higher percentage of non-Whites live in PHA managed properties than the percentage of non-Whites in the population as a whole</w:t>
      </w:r>
    </w:p>
    <w:p w14:paraId="7346329E" w14:textId="7B78697A" w:rsidR="0011254E" w:rsidRDefault="0011254E" w:rsidP="009A2CF5">
      <w:pPr>
        <w:pStyle w:val="ListParagraph"/>
        <w:numPr>
          <w:ilvl w:val="0"/>
          <w:numId w:val="35"/>
        </w:numPr>
        <w:spacing w:after="240" w:line="240" w:lineRule="auto"/>
        <w:outlineLvl w:val="0"/>
        <w:rPr>
          <w:bCs/>
        </w:rPr>
      </w:pPr>
      <w:r>
        <w:rPr>
          <w:bCs/>
        </w:rPr>
        <w:t>Half of the residents living in BHA managed properties have a disability</w:t>
      </w:r>
    </w:p>
    <w:p w14:paraId="71652607" w14:textId="39A8F5B6" w:rsidR="0011254E" w:rsidRPr="0011254E" w:rsidRDefault="0011254E" w:rsidP="009A2CF5">
      <w:pPr>
        <w:pStyle w:val="ListParagraph"/>
        <w:numPr>
          <w:ilvl w:val="0"/>
          <w:numId w:val="35"/>
        </w:numPr>
        <w:spacing w:after="240" w:line="240" w:lineRule="auto"/>
        <w:outlineLvl w:val="0"/>
        <w:rPr>
          <w:bCs/>
        </w:rPr>
      </w:pPr>
      <w:r>
        <w:rPr>
          <w:bCs/>
        </w:rPr>
        <w:t>Properties with concentrated racial/ethnic populations correlate with properties with family units with more than 2 bedrooms</w:t>
      </w:r>
    </w:p>
    <w:p w14:paraId="53D1739A" w14:textId="77777777" w:rsidR="0011254E" w:rsidRPr="006537A3" w:rsidRDefault="0011254E" w:rsidP="002F7C2E">
      <w:pPr>
        <w:spacing w:after="240" w:line="240" w:lineRule="auto"/>
        <w:ind w:left="360"/>
        <w:outlineLvl w:val="0"/>
        <w:rPr>
          <w:b/>
          <w:bCs/>
          <w:u w:val="single"/>
        </w:rPr>
      </w:pPr>
    </w:p>
    <w:p w14:paraId="6E428412" w14:textId="694913BA" w:rsidR="004659AE" w:rsidRDefault="00AE09E1" w:rsidP="004659AE">
      <w:pPr>
        <w:spacing w:after="240" w:line="240" w:lineRule="auto"/>
        <w:ind w:left="360"/>
      </w:pPr>
      <w:r w:rsidRPr="005E77AD">
        <w:t>The Burlington Housing Authority</w:t>
      </w:r>
      <w:r>
        <w:t xml:space="preserve"> (BHA)</w:t>
      </w:r>
      <w:r w:rsidRPr="005E77AD">
        <w:t xml:space="preserve">, established in 1962, is Vermont’s oldest and largest municipally-based public housing authority. </w:t>
      </w:r>
      <w:r>
        <w:t>BHA has converted all of its conventional public housing units to RAD units with project-based vouchers. The data presented in this section represents 593 units of affordable housing that is owned or managed by BHA and 1,867 Section 8 Housing Choice Voucher holders.</w:t>
      </w:r>
    </w:p>
    <w:p w14:paraId="3386C26E" w14:textId="7B91149D" w:rsidR="00AE09E1" w:rsidRPr="00734033" w:rsidRDefault="00AE09E1" w:rsidP="004659AE">
      <w:pPr>
        <w:spacing w:after="240" w:line="240" w:lineRule="auto"/>
        <w:ind w:left="360"/>
        <w:rPr>
          <w:b/>
          <w:color w:val="FF0000"/>
        </w:rPr>
      </w:pPr>
      <w:r>
        <w:t>Winooski Housing Authority, located in the Burlington/South Burlington region, is a partner with this Assessment of Fair Housing and has information in an insert following this assessment’. WHA has a 3-5 year wait list for Section 8 Housing Choice Vouchers and for public housing units from 6 months to 5 years. Their properties include Spring Gardens, Elm and Franklin Street Apartments, Senior Tower and The Terrace.</w:t>
      </w:r>
    </w:p>
    <w:p w14:paraId="0D9B73A8" w14:textId="3BE7A26D" w:rsidR="004659AE" w:rsidRPr="00F565C5" w:rsidRDefault="5F884969" w:rsidP="002F7C2E">
      <w:pPr>
        <w:spacing w:after="240" w:line="240" w:lineRule="auto"/>
        <w:ind w:left="360"/>
        <w:outlineLvl w:val="0"/>
        <w:rPr>
          <w:b/>
          <w:bCs/>
          <w:u w:val="single"/>
        </w:rPr>
      </w:pPr>
      <w:r w:rsidRPr="00F565C5">
        <w:rPr>
          <w:b/>
          <w:bCs/>
          <w:u w:val="single"/>
        </w:rPr>
        <w:t>Analysis</w:t>
      </w:r>
    </w:p>
    <w:p w14:paraId="404F0085" w14:textId="6DB9040B" w:rsidR="004659AE" w:rsidRPr="00F565C5" w:rsidRDefault="5F884969" w:rsidP="002F7C2E">
      <w:pPr>
        <w:spacing w:after="240" w:line="240" w:lineRule="auto"/>
        <w:ind w:left="360"/>
        <w:outlineLvl w:val="0"/>
        <w:rPr>
          <w:i/>
          <w:iCs/>
          <w:u w:val="single"/>
        </w:rPr>
      </w:pPr>
      <w:r w:rsidRPr="00F565C5">
        <w:rPr>
          <w:i/>
          <w:iCs/>
          <w:u w:val="single"/>
        </w:rPr>
        <w:t>Publicly Supported Housing Demographic Analysis</w:t>
      </w:r>
    </w:p>
    <w:p w14:paraId="6FA9BA8B" w14:textId="2268ED63" w:rsidR="004659AE" w:rsidRPr="00196F6F" w:rsidRDefault="5F884969" w:rsidP="5F884969">
      <w:pPr>
        <w:spacing w:after="240" w:line="240" w:lineRule="auto"/>
        <w:ind w:left="360"/>
        <w:rPr>
          <w:b/>
          <w:bCs/>
          <w:i/>
        </w:rPr>
      </w:pPr>
      <w:r w:rsidRPr="00196F6F">
        <w:rPr>
          <w:b/>
          <w:bCs/>
          <w:i/>
        </w:rPr>
        <w:t>Are certain racial/ethnic groups more likely to be residing in one program category of publicly supported housing than other program categories (public housing, project-based Section 8, Other Multifamily Assisted developments, and Housing Choice Voucher (HCV)) in the jurisdiction?</w:t>
      </w:r>
    </w:p>
    <w:p w14:paraId="59ACBCFB" w14:textId="02C2730B" w:rsidR="004C6CCF" w:rsidRDefault="004C6CCF" w:rsidP="00734033">
      <w:pPr>
        <w:ind w:left="360"/>
      </w:pPr>
      <w:r>
        <w:t xml:space="preserve">The percentages of non-White persons living in BHA owned and managed buildings (over 30%) as well as voucher holders (almost 15%) are much greater </w:t>
      </w:r>
      <w:r w:rsidR="008E0240">
        <w:t xml:space="preserve">than </w:t>
      </w:r>
      <w:r>
        <w:t>the population in Burlington and the Burlington/South Burlington MSA.</w:t>
      </w:r>
      <w:r w:rsidR="006D61E6">
        <w:t xml:space="preserve"> </w:t>
      </w:r>
      <w:r w:rsidR="00F565C5">
        <w:t xml:space="preserve"> This is also true for the Winooski Housing Authority where non-White persons are 23% of the residential population/ </w:t>
      </w:r>
      <w:proofErr w:type="gramStart"/>
      <w:r w:rsidR="006D61E6">
        <w:t>The</w:t>
      </w:r>
      <w:proofErr w:type="gramEnd"/>
      <w:r w:rsidR="006D61E6">
        <w:t xml:space="preserve"> highest percentage of Blacks are enrolled in the Housing Choice Voucher program at 11. 73%. Asians at 6.54% are enrolled in Project-Based Section 8 programs. </w:t>
      </w:r>
      <w:r w:rsidR="00F565C5">
        <w:t>The highest minority population in WHA’s demographics consists of the Asian population at 12%.</w:t>
      </w:r>
    </w:p>
    <w:p w14:paraId="5ED3934F" w14:textId="77777777" w:rsidR="00210EF0" w:rsidRDefault="00210EF0" w:rsidP="00210EF0">
      <w:pPr>
        <w:spacing w:after="0"/>
        <w:ind w:firstLine="360"/>
      </w:pPr>
    </w:p>
    <w:p w14:paraId="5A5FDE91" w14:textId="77777777" w:rsidR="00442689" w:rsidRDefault="00442689" w:rsidP="00210EF0">
      <w:pPr>
        <w:spacing w:after="0"/>
        <w:ind w:left="360"/>
        <w:rPr>
          <w:b/>
          <w:bCs/>
          <w:i/>
          <w:iCs/>
          <w:sz w:val="20"/>
          <w:szCs w:val="20"/>
        </w:rPr>
      </w:pPr>
    </w:p>
    <w:p w14:paraId="2AEA57AA" w14:textId="77777777" w:rsidR="00442689" w:rsidRDefault="00442689" w:rsidP="00210EF0">
      <w:pPr>
        <w:spacing w:after="0"/>
        <w:ind w:left="360"/>
        <w:rPr>
          <w:b/>
          <w:bCs/>
          <w:i/>
          <w:iCs/>
          <w:sz w:val="20"/>
          <w:szCs w:val="20"/>
        </w:rPr>
      </w:pPr>
    </w:p>
    <w:p w14:paraId="7B31D950" w14:textId="77777777" w:rsidR="00442689" w:rsidRDefault="00442689" w:rsidP="00210EF0">
      <w:pPr>
        <w:spacing w:after="0"/>
        <w:ind w:left="360"/>
        <w:rPr>
          <w:b/>
          <w:bCs/>
          <w:i/>
          <w:iCs/>
          <w:sz w:val="20"/>
          <w:szCs w:val="20"/>
        </w:rPr>
      </w:pPr>
    </w:p>
    <w:p w14:paraId="75C71763" w14:textId="789FB430" w:rsidR="00210EF0" w:rsidRDefault="000F55FC" w:rsidP="00210EF0">
      <w:pPr>
        <w:spacing w:after="0"/>
        <w:ind w:left="360"/>
        <w:rPr>
          <w:sz w:val="20"/>
          <w:szCs w:val="20"/>
        </w:rPr>
      </w:pPr>
      <w:r>
        <w:rPr>
          <w:b/>
          <w:bCs/>
          <w:i/>
          <w:iCs/>
          <w:sz w:val="20"/>
          <w:szCs w:val="20"/>
        </w:rPr>
        <w:t>Table 21</w:t>
      </w:r>
      <w:r w:rsidR="00210EF0" w:rsidRPr="5F884969">
        <w:rPr>
          <w:b/>
          <w:bCs/>
          <w:i/>
          <w:iCs/>
          <w:sz w:val="20"/>
          <w:szCs w:val="20"/>
        </w:rPr>
        <w:t>:</w:t>
      </w:r>
      <w:r w:rsidR="00210EF0" w:rsidRPr="5F884969">
        <w:rPr>
          <w:sz w:val="20"/>
          <w:szCs w:val="20"/>
        </w:rPr>
        <w:t xml:space="preserve"> Publicly Supported Housing Units by Program Category in Burlington, VT. Source: Decennial Census; APSH. </w:t>
      </w:r>
    </w:p>
    <w:tbl>
      <w:tblPr>
        <w:tblW w:w="6300" w:type="dxa"/>
        <w:tblInd w:w="364" w:type="dxa"/>
        <w:tblLook w:val="04A0" w:firstRow="1" w:lastRow="0" w:firstColumn="1" w:lastColumn="0" w:noHBand="0" w:noVBand="1"/>
      </w:tblPr>
      <w:tblGrid>
        <w:gridCol w:w="2610"/>
        <w:gridCol w:w="1890"/>
        <w:gridCol w:w="1800"/>
      </w:tblGrid>
      <w:tr w:rsidR="00210EF0" w:rsidRPr="00EF1EAB" w14:paraId="30F01672" w14:textId="77777777" w:rsidTr="00210EF0">
        <w:trPr>
          <w:trHeight w:val="420"/>
        </w:trPr>
        <w:tc>
          <w:tcPr>
            <w:tcW w:w="6300" w:type="dxa"/>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71D91B10" w14:textId="5B067AF1" w:rsidR="00210EF0" w:rsidRPr="00EF1EAB" w:rsidRDefault="000F55FC" w:rsidP="00210EF0">
            <w:pPr>
              <w:spacing w:after="0" w:line="240" w:lineRule="auto"/>
              <w:rPr>
                <w:rFonts w:ascii="Calibri" w:eastAsia="Times New Roman" w:hAnsi="Calibri" w:cs="Times New Roman"/>
                <w:b/>
                <w:bCs/>
                <w:color w:val="000000" w:themeColor="text1"/>
              </w:rPr>
            </w:pPr>
            <w:r>
              <w:rPr>
                <w:rFonts w:ascii="Calibri" w:eastAsia="Times New Roman" w:hAnsi="Calibri" w:cs="Times New Roman"/>
                <w:b/>
                <w:bCs/>
                <w:color w:val="000000" w:themeColor="text1"/>
              </w:rPr>
              <w:t>Table 21</w:t>
            </w:r>
            <w:r w:rsidR="00210EF0" w:rsidRPr="5F884969">
              <w:rPr>
                <w:rFonts w:ascii="Calibri" w:eastAsia="Times New Roman" w:hAnsi="Calibri" w:cs="Times New Roman"/>
                <w:b/>
                <w:bCs/>
                <w:color w:val="000000" w:themeColor="text1"/>
              </w:rPr>
              <w:t xml:space="preserve"> - Publicly Supported Housing Units by Program Category</w:t>
            </w:r>
          </w:p>
        </w:tc>
      </w:tr>
      <w:tr w:rsidR="00210EF0" w:rsidRPr="00EF1EAB" w14:paraId="033BFBD8" w14:textId="77777777" w:rsidTr="00210EF0">
        <w:trPr>
          <w:trHeight w:val="863"/>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9E0F8" w14:textId="77777777" w:rsidR="00210EF0" w:rsidRPr="00EF1EAB" w:rsidRDefault="00210EF0" w:rsidP="00210EF0">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lastRenderedPageBreak/>
              <w:t> </w:t>
            </w:r>
          </w:p>
        </w:tc>
        <w:tc>
          <w:tcPr>
            <w:tcW w:w="3690" w:type="dxa"/>
            <w:gridSpan w:val="2"/>
            <w:tcBorders>
              <w:top w:val="single" w:sz="4" w:space="0" w:color="auto"/>
              <w:left w:val="nil"/>
              <w:bottom w:val="single" w:sz="4" w:space="0" w:color="auto"/>
              <w:right w:val="single" w:sz="4" w:space="0" w:color="auto"/>
            </w:tcBorders>
            <w:shd w:val="clear" w:color="auto" w:fill="auto"/>
            <w:vAlign w:val="bottom"/>
            <w:hideMark/>
          </w:tcPr>
          <w:p w14:paraId="7B583D7E" w14:textId="77777777" w:rsidR="00210EF0" w:rsidRPr="00EF1EAB" w:rsidRDefault="00210EF0" w:rsidP="00210EF0">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 VT Jurisdiction</w:t>
            </w:r>
          </w:p>
        </w:tc>
      </w:tr>
      <w:tr w:rsidR="00210EF0" w:rsidRPr="00EF1EAB" w14:paraId="04D8B2C4" w14:textId="77777777" w:rsidTr="00210EF0">
        <w:trPr>
          <w:trHeight w:val="420"/>
        </w:trPr>
        <w:tc>
          <w:tcPr>
            <w:tcW w:w="2610" w:type="dxa"/>
            <w:tcBorders>
              <w:top w:val="nil"/>
              <w:left w:val="single" w:sz="4" w:space="0" w:color="auto"/>
              <w:bottom w:val="single" w:sz="4" w:space="0" w:color="auto"/>
              <w:right w:val="single" w:sz="4" w:space="0" w:color="auto"/>
            </w:tcBorders>
            <w:shd w:val="clear" w:color="auto" w:fill="DCE6F1"/>
            <w:noWrap/>
            <w:vAlign w:val="bottom"/>
            <w:hideMark/>
          </w:tcPr>
          <w:p w14:paraId="2F3944B1" w14:textId="77777777" w:rsidR="00210EF0" w:rsidRPr="00EF1EAB" w:rsidRDefault="00210EF0" w:rsidP="00210EF0">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Housing Units</w:t>
            </w:r>
          </w:p>
        </w:tc>
        <w:tc>
          <w:tcPr>
            <w:tcW w:w="1890" w:type="dxa"/>
            <w:tcBorders>
              <w:top w:val="nil"/>
              <w:left w:val="nil"/>
              <w:bottom w:val="single" w:sz="4" w:space="0" w:color="auto"/>
              <w:right w:val="single" w:sz="4" w:space="0" w:color="auto"/>
            </w:tcBorders>
            <w:shd w:val="clear" w:color="auto" w:fill="DCE6F1"/>
            <w:noWrap/>
            <w:vAlign w:val="bottom"/>
            <w:hideMark/>
          </w:tcPr>
          <w:p w14:paraId="430D0F1F" w14:textId="77777777" w:rsidR="00210EF0" w:rsidRPr="00EF1EAB" w:rsidRDefault="00210EF0" w:rsidP="00210EF0">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1800" w:type="dxa"/>
            <w:tcBorders>
              <w:top w:val="nil"/>
              <w:left w:val="nil"/>
              <w:bottom w:val="single" w:sz="4" w:space="0" w:color="auto"/>
              <w:right w:val="single" w:sz="4" w:space="0" w:color="auto"/>
            </w:tcBorders>
            <w:shd w:val="clear" w:color="auto" w:fill="DCE6F1"/>
            <w:noWrap/>
            <w:vAlign w:val="bottom"/>
            <w:hideMark/>
          </w:tcPr>
          <w:p w14:paraId="6709FA6A" w14:textId="77777777" w:rsidR="00210EF0" w:rsidRPr="00EF1EAB" w:rsidRDefault="00210EF0" w:rsidP="00210EF0">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r>
      <w:tr w:rsidR="00210EF0" w:rsidRPr="00EF1EAB" w14:paraId="1B5F31B1" w14:textId="77777777" w:rsidTr="00210EF0">
        <w:trPr>
          <w:trHeight w:val="42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084EBF28" w14:textId="77777777" w:rsidR="00210EF0" w:rsidRPr="00EF1EAB" w:rsidRDefault="00210EF0" w:rsidP="00210EF0">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Total housing units</w:t>
            </w:r>
          </w:p>
        </w:tc>
        <w:tc>
          <w:tcPr>
            <w:tcW w:w="1890" w:type="dxa"/>
            <w:tcBorders>
              <w:top w:val="nil"/>
              <w:left w:val="nil"/>
              <w:bottom w:val="single" w:sz="4" w:space="0" w:color="auto"/>
              <w:right w:val="single" w:sz="4" w:space="0" w:color="auto"/>
            </w:tcBorders>
            <w:shd w:val="clear" w:color="auto" w:fill="auto"/>
            <w:noWrap/>
            <w:vAlign w:val="bottom"/>
            <w:hideMark/>
          </w:tcPr>
          <w:p w14:paraId="50080C9D" w14:textId="77777777" w:rsidR="00210EF0" w:rsidRPr="00EF1EAB" w:rsidRDefault="00210EF0" w:rsidP="00210EF0">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16,897</w:t>
            </w:r>
          </w:p>
        </w:tc>
        <w:tc>
          <w:tcPr>
            <w:tcW w:w="1800" w:type="dxa"/>
            <w:tcBorders>
              <w:top w:val="nil"/>
              <w:left w:val="nil"/>
              <w:bottom w:val="single" w:sz="4" w:space="0" w:color="auto"/>
              <w:right w:val="single" w:sz="4" w:space="0" w:color="auto"/>
            </w:tcBorders>
            <w:shd w:val="clear" w:color="auto" w:fill="auto"/>
            <w:noWrap/>
            <w:vAlign w:val="bottom"/>
            <w:hideMark/>
          </w:tcPr>
          <w:p w14:paraId="5FD8CDE2" w14:textId="77777777" w:rsidR="00210EF0" w:rsidRPr="00EF1EAB" w:rsidRDefault="00210EF0" w:rsidP="00210EF0">
            <w:pPr>
              <w:spacing w:after="0" w:line="240" w:lineRule="auto"/>
              <w:jc w:val="center"/>
              <w:rPr>
                <w:rFonts w:ascii="Calibri" w:eastAsia="Times New Roman" w:hAnsi="Calibri" w:cs="Times New Roman"/>
                <w:color w:val="000000" w:themeColor="text1"/>
              </w:rPr>
            </w:pPr>
            <w:r w:rsidRPr="5F884969">
              <w:rPr>
                <w:rFonts w:ascii="Calibri" w:eastAsia="Times New Roman" w:hAnsi="Calibri" w:cs="Times New Roman"/>
                <w:color w:val="000000" w:themeColor="text1"/>
              </w:rPr>
              <w:t>-</w:t>
            </w:r>
          </w:p>
        </w:tc>
      </w:tr>
      <w:tr w:rsidR="00210EF0" w:rsidRPr="00EF1EAB" w14:paraId="36A4A424" w14:textId="77777777" w:rsidTr="00210EF0">
        <w:trPr>
          <w:trHeight w:val="42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2E021DEE" w14:textId="77777777" w:rsidR="00210EF0" w:rsidRPr="00EF1EAB" w:rsidRDefault="00210EF0" w:rsidP="00210EF0">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 xml:space="preserve">Public Housing  </w:t>
            </w:r>
          </w:p>
        </w:tc>
        <w:tc>
          <w:tcPr>
            <w:tcW w:w="1890" w:type="dxa"/>
            <w:tcBorders>
              <w:top w:val="nil"/>
              <w:left w:val="nil"/>
              <w:bottom w:val="single" w:sz="4" w:space="0" w:color="auto"/>
              <w:right w:val="single" w:sz="4" w:space="0" w:color="auto"/>
            </w:tcBorders>
            <w:shd w:val="clear" w:color="auto" w:fill="auto"/>
            <w:noWrap/>
            <w:vAlign w:val="bottom"/>
            <w:hideMark/>
          </w:tcPr>
          <w:p w14:paraId="22430A01" w14:textId="77777777" w:rsidR="00210EF0" w:rsidRPr="00EF1EAB" w:rsidRDefault="00210EF0" w:rsidP="00210EF0">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1800" w:type="dxa"/>
            <w:tcBorders>
              <w:top w:val="nil"/>
              <w:left w:val="nil"/>
              <w:bottom w:val="single" w:sz="4" w:space="0" w:color="auto"/>
              <w:right w:val="single" w:sz="4" w:space="0" w:color="auto"/>
            </w:tcBorders>
            <w:shd w:val="clear" w:color="auto" w:fill="auto"/>
            <w:noWrap/>
            <w:vAlign w:val="bottom"/>
            <w:hideMark/>
          </w:tcPr>
          <w:p w14:paraId="00E39A57" w14:textId="77777777" w:rsidR="00210EF0" w:rsidRPr="00EF1EAB" w:rsidRDefault="00210EF0" w:rsidP="00210EF0">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r>
      <w:tr w:rsidR="00210EF0" w:rsidRPr="00EF1EAB" w14:paraId="04B32752" w14:textId="77777777" w:rsidTr="00210EF0">
        <w:trPr>
          <w:trHeight w:val="42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539DD2E" w14:textId="77777777" w:rsidR="00210EF0" w:rsidRPr="00EF1EAB" w:rsidRDefault="00210EF0" w:rsidP="00210EF0">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Project-based Section 8</w:t>
            </w:r>
          </w:p>
        </w:tc>
        <w:tc>
          <w:tcPr>
            <w:tcW w:w="1890" w:type="dxa"/>
            <w:tcBorders>
              <w:top w:val="nil"/>
              <w:left w:val="nil"/>
              <w:bottom w:val="single" w:sz="4" w:space="0" w:color="auto"/>
              <w:right w:val="single" w:sz="4" w:space="0" w:color="auto"/>
            </w:tcBorders>
            <w:shd w:val="clear" w:color="auto" w:fill="auto"/>
            <w:noWrap/>
            <w:vAlign w:val="bottom"/>
            <w:hideMark/>
          </w:tcPr>
          <w:p w14:paraId="77E72CC9" w14:textId="77777777" w:rsidR="00210EF0" w:rsidRPr="00EF1EAB" w:rsidRDefault="00210EF0" w:rsidP="00210EF0">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617</w:t>
            </w:r>
          </w:p>
        </w:tc>
        <w:tc>
          <w:tcPr>
            <w:tcW w:w="1800" w:type="dxa"/>
            <w:tcBorders>
              <w:top w:val="nil"/>
              <w:left w:val="nil"/>
              <w:bottom w:val="single" w:sz="4" w:space="0" w:color="auto"/>
              <w:right w:val="single" w:sz="4" w:space="0" w:color="auto"/>
            </w:tcBorders>
            <w:shd w:val="clear" w:color="auto" w:fill="auto"/>
            <w:noWrap/>
            <w:vAlign w:val="bottom"/>
            <w:hideMark/>
          </w:tcPr>
          <w:p w14:paraId="7AAE1D9E" w14:textId="77777777" w:rsidR="00210EF0" w:rsidRPr="00EF1EAB" w:rsidRDefault="00210EF0" w:rsidP="00210EF0">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3.65%</w:t>
            </w:r>
          </w:p>
        </w:tc>
      </w:tr>
      <w:tr w:rsidR="00210EF0" w:rsidRPr="00EF1EAB" w14:paraId="5CFC895A" w14:textId="77777777" w:rsidTr="00210EF0">
        <w:trPr>
          <w:trHeight w:val="42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7F81E13" w14:textId="77777777" w:rsidR="00210EF0" w:rsidRPr="00EF1EAB" w:rsidRDefault="00210EF0" w:rsidP="00210EF0">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 xml:space="preserve">Other Multifamily </w:t>
            </w:r>
          </w:p>
        </w:tc>
        <w:tc>
          <w:tcPr>
            <w:tcW w:w="1890" w:type="dxa"/>
            <w:tcBorders>
              <w:top w:val="nil"/>
              <w:left w:val="nil"/>
              <w:bottom w:val="single" w:sz="4" w:space="0" w:color="auto"/>
              <w:right w:val="single" w:sz="4" w:space="0" w:color="auto"/>
            </w:tcBorders>
            <w:shd w:val="clear" w:color="auto" w:fill="auto"/>
            <w:noWrap/>
            <w:vAlign w:val="bottom"/>
            <w:hideMark/>
          </w:tcPr>
          <w:p w14:paraId="34A69BF7" w14:textId="77777777" w:rsidR="00210EF0" w:rsidRPr="00EF1EAB" w:rsidRDefault="00210EF0" w:rsidP="00210EF0">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60</w:t>
            </w:r>
          </w:p>
        </w:tc>
        <w:tc>
          <w:tcPr>
            <w:tcW w:w="1800" w:type="dxa"/>
            <w:tcBorders>
              <w:top w:val="nil"/>
              <w:left w:val="nil"/>
              <w:bottom w:val="single" w:sz="4" w:space="0" w:color="auto"/>
              <w:right w:val="single" w:sz="4" w:space="0" w:color="auto"/>
            </w:tcBorders>
            <w:shd w:val="clear" w:color="auto" w:fill="auto"/>
            <w:noWrap/>
            <w:vAlign w:val="bottom"/>
            <w:hideMark/>
          </w:tcPr>
          <w:p w14:paraId="76BA1D22" w14:textId="77777777" w:rsidR="00210EF0" w:rsidRPr="00EF1EAB" w:rsidRDefault="00210EF0" w:rsidP="00210EF0">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0.36%</w:t>
            </w:r>
          </w:p>
        </w:tc>
      </w:tr>
      <w:tr w:rsidR="00210EF0" w:rsidRPr="00EF1EAB" w14:paraId="1B649972" w14:textId="77777777" w:rsidTr="00210EF0">
        <w:trPr>
          <w:trHeight w:val="420"/>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5F2E2007" w14:textId="77777777" w:rsidR="00210EF0" w:rsidRPr="00EF1EAB" w:rsidRDefault="00210EF0" w:rsidP="00210EF0">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HCV Program</w:t>
            </w:r>
          </w:p>
        </w:tc>
        <w:tc>
          <w:tcPr>
            <w:tcW w:w="1890" w:type="dxa"/>
            <w:tcBorders>
              <w:top w:val="nil"/>
              <w:left w:val="nil"/>
              <w:bottom w:val="single" w:sz="4" w:space="0" w:color="auto"/>
              <w:right w:val="single" w:sz="4" w:space="0" w:color="auto"/>
            </w:tcBorders>
            <w:shd w:val="clear" w:color="auto" w:fill="auto"/>
            <w:noWrap/>
            <w:vAlign w:val="bottom"/>
            <w:hideMark/>
          </w:tcPr>
          <w:p w14:paraId="078FA0B0" w14:textId="77777777" w:rsidR="00210EF0" w:rsidRPr="00EF1EAB" w:rsidRDefault="00210EF0" w:rsidP="00210EF0">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1,446</w:t>
            </w:r>
          </w:p>
        </w:tc>
        <w:tc>
          <w:tcPr>
            <w:tcW w:w="1800" w:type="dxa"/>
            <w:tcBorders>
              <w:top w:val="nil"/>
              <w:left w:val="nil"/>
              <w:bottom w:val="single" w:sz="4" w:space="0" w:color="auto"/>
              <w:right w:val="single" w:sz="4" w:space="0" w:color="auto"/>
            </w:tcBorders>
            <w:shd w:val="clear" w:color="auto" w:fill="auto"/>
            <w:noWrap/>
            <w:vAlign w:val="bottom"/>
            <w:hideMark/>
          </w:tcPr>
          <w:p w14:paraId="2C1421E2" w14:textId="77777777" w:rsidR="00210EF0" w:rsidRPr="00EF1EAB" w:rsidRDefault="00210EF0" w:rsidP="00210EF0">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8.56%</w:t>
            </w:r>
          </w:p>
        </w:tc>
      </w:tr>
    </w:tbl>
    <w:p w14:paraId="084BCBBC" w14:textId="77777777" w:rsidR="00210EF0" w:rsidRDefault="00210EF0" w:rsidP="00734033">
      <w:pPr>
        <w:ind w:left="360"/>
      </w:pPr>
    </w:p>
    <w:p w14:paraId="0BC1A58E" w14:textId="77777777" w:rsidR="0011254E" w:rsidRDefault="0011254E" w:rsidP="00734033">
      <w:pPr>
        <w:ind w:left="360"/>
      </w:pPr>
    </w:p>
    <w:p w14:paraId="616EA9C6" w14:textId="77777777" w:rsidR="0011254E" w:rsidRDefault="0011254E" w:rsidP="0062492A"/>
    <w:p w14:paraId="14BFE532" w14:textId="77777777" w:rsidR="0011254E" w:rsidRPr="00734033" w:rsidRDefault="0011254E" w:rsidP="00196F6F"/>
    <w:p w14:paraId="5020C79E" w14:textId="0AD6438A" w:rsidR="002E677A" w:rsidRPr="002E677A" w:rsidRDefault="00664F27" w:rsidP="5F884969">
      <w:pPr>
        <w:spacing w:after="0"/>
        <w:rPr>
          <w:sz w:val="20"/>
          <w:szCs w:val="20"/>
        </w:rPr>
      </w:pPr>
      <w:r>
        <w:rPr>
          <w:b/>
          <w:bCs/>
          <w:i/>
          <w:iCs/>
          <w:sz w:val="20"/>
          <w:szCs w:val="20"/>
        </w:rPr>
        <w:t>Tab</w:t>
      </w:r>
      <w:r w:rsidR="000F55FC">
        <w:rPr>
          <w:b/>
          <w:bCs/>
          <w:i/>
          <w:iCs/>
          <w:sz w:val="20"/>
          <w:szCs w:val="20"/>
        </w:rPr>
        <w:t>le 22</w:t>
      </w:r>
      <w:r w:rsidR="5F884969" w:rsidRPr="5F884969">
        <w:rPr>
          <w:b/>
          <w:bCs/>
          <w:i/>
          <w:iCs/>
          <w:sz w:val="20"/>
          <w:szCs w:val="20"/>
        </w:rPr>
        <w:t>:</w:t>
      </w:r>
      <w:r w:rsidR="5F884969" w:rsidRPr="5F884969">
        <w:rPr>
          <w:sz w:val="20"/>
          <w:szCs w:val="20"/>
        </w:rPr>
        <w:t xml:space="preserve"> Publicly Supported Housing Units by Race/Ethnicity in Burlington, VT and Burlington-South Burlington Region. Source: Data Sources: Decennial Census; APSH; CHAS. </w:t>
      </w:r>
    </w:p>
    <w:tbl>
      <w:tblPr>
        <w:tblW w:w="9360" w:type="dxa"/>
        <w:tblInd w:w="-5" w:type="dxa"/>
        <w:tblLook w:val="04A0" w:firstRow="1" w:lastRow="0" w:firstColumn="1" w:lastColumn="0" w:noHBand="0" w:noVBand="1"/>
      </w:tblPr>
      <w:tblGrid>
        <w:gridCol w:w="1786"/>
        <w:gridCol w:w="947"/>
        <w:gridCol w:w="1001"/>
        <w:gridCol w:w="925"/>
        <w:gridCol w:w="1001"/>
        <w:gridCol w:w="925"/>
        <w:gridCol w:w="925"/>
        <w:gridCol w:w="925"/>
        <w:gridCol w:w="925"/>
      </w:tblGrid>
      <w:tr w:rsidR="002E677A" w:rsidRPr="003153F6" w14:paraId="79FB7974" w14:textId="77777777" w:rsidTr="5F884969">
        <w:trPr>
          <w:trHeight w:val="305"/>
        </w:trPr>
        <w:tc>
          <w:tcPr>
            <w:tcW w:w="936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9840B" w14:textId="1C9AC4F9" w:rsidR="002E677A" w:rsidRPr="003153F6" w:rsidRDefault="000F55FC" w:rsidP="5F884969">
            <w:pPr>
              <w:spacing w:after="0" w:line="240" w:lineRule="auto"/>
              <w:rPr>
                <w:rFonts w:ascii="Calibri" w:eastAsia="Times New Roman" w:hAnsi="Calibri" w:cs="Times New Roman"/>
                <w:b/>
                <w:bCs/>
                <w:color w:val="000000" w:themeColor="text1"/>
              </w:rPr>
            </w:pPr>
            <w:r>
              <w:rPr>
                <w:rFonts w:ascii="Calibri" w:eastAsia="Times New Roman" w:hAnsi="Calibri" w:cs="Times New Roman"/>
                <w:b/>
                <w:bCs/>
                <w:color w:val="000000" w:themeColor="text1"/>
              </w:rPr>
              <w:t>Table 22</w:t>
            </w:r>
            <w:r w:rsidR="00734033">
              <w:rPr>
                <w:rFonts w:ascii="Calibri" w:eastAsia="Times New Roman" w:hAnsi="Calibri" w:cs="Times New Roman"/>
                <w:b/>
                <w:bCs/>
                <w:color w:val="000000" w:themeColor="text1"/>
              </w:rPr>
              <w:t>:</w:t>
            </w:r>
            <w:r w:rsidR="5F884969" w:rsidRPr="5F884969">
              <w:rPr>
                <w:rFonts w:ascii="Calibri" w:eastAsia="Times New Roman" w:hAnsi="Calibri" w:cs="Times New Roman"/>
                <w:b/>
                <w:bCs/>
                <w:color w:val="000000" w:themeColor="text1"/>
              </w:rPr>
              <w:t xml:space="preserve"> Publicly Supported Households by Race/Ethnicity</w:t>
            </w:r>
          </w:p>
        </w:tc>
      </w:tr>
      <w:tr w:rsidR="002E677A" w:rsidRPr="003153F6" w14:paraId="23560DDC" w14:textId="77777777" w:rsidTr="5F884969">
        <w:trPr>
          <w:trHeight w:val="350"/>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F6F40B7"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7574" w:type="dxa"/>
            <w:gridSpan w:val="8"/>
            <w:tcBorders>
              <w:top w:val="single" w:sz="4" w:space="0" w:color="auto"/>
              <w:left w:val="nil"/>
              <w:bottom w:val="single" w:sz="4" w:space="0" w:color="auto"/>
              <w:right w:val="single" w:sz="4" w:space="0" w:color="auto"/>
            </w:tcBorders>
            <w:shd w:val="clear" w:color="auto" w:fill="auto"/>
            <w:vAlign w:val="bottom"/>
            <w:hideMark/>
          </w:tcPr>
          <w:p w14:paraId="2A1283C6"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Race/Ethnicity</w:t>
            </w:r>
          </w:p>
        </w:tc>
      </w:tr>
      <w:tr w:rsidR="002E677A" w:rsidRPr="003153F6" w14:paraId="57D388D2" w14:textId="77777777" w:rsidTr="5F884969">
        <w:trPr>
          <w:trHeight w:val="890"/>
        </w:trPr>
        <w:tc>
          <w:tcPr>
            <w:tcW w:w="178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75E7CFA" w14:textId="77777777" w:rsidR="002E677A" w:rsidRPr="003153F6"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 VT Jurisdiction</w:t>
            </w:r>
          </w:p>
        </w:tc>
        <w:tc>
          <w:tcPr>
            <w:tcW w:w="1948"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EED444F"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White</w:t>
            </w:r>
          </w:p>
        </w:tc>
        <w:tc>
          <w:tcPr>
            <w:tcW w:w="1926"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F625B19"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xml:space="preserve">Black </w:t>
            </w:r>
          </w:p>
        </w:tc>
        <w:tc>
          <w:tcPr>
            <w:tcW w:w="185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B4DA419"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Hispanic</w:t>
            </w:r>
          </w:p>
        </w:tc>
        <w:tc>
          <w:tcPr>
            <w:tcW w:w="185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C9D4101"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Asian or Pacific Islander</w:t>
            </w:r>
          </w:p>
        </w:tc>
      </w:tr>
      <w:tr w:rsidR="002E677A" w:rsidRPr="003153F6" w14:paraId="1CF88F7F" w14:textId="77777777" w:rsidTr="5F884969">
        <w:trPr>
          <w:trHeight w:val="420"/>
        </w:trPr>
        <w:tc>
          <w:tcPr>
            <w:tcW w:w="1786" w:type="dxa"/>
            <w:tcBorders>
              <w:top w:val="nil"/>
              <w:left w:val="single" w:sz="4" w:space="0" w:color="auto"/>
              <w:bottom w:val="single" w:sz="4" w:space="0" w:color="auto"/>
              <w:right w:val="single" w:sz="4" w:space="0" w:color="auto"/>
            </w:tcBorders>
            <w:shd w:val="clear" w:color="auto" w:fill="DCE6F1"/>
            <w:noWrap/>
            <w:vAlign w:val="bottom"/>
            <w:hideMark/>
          </w:tcPr>
          <w:p w14:paraId="6934C8BD"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Housing Type</w:t>
            </w:r>
          </w:p>
        </w:tc>
        <w:tc>
          <w:tcPr>
            <w:tcW w:w="947" w:type="dxa"/>
            <w:tcBorders>
              <w:top w:val="nil"/>
              <w:left w:val="nil"/>
              <w:bottom w:val="single" w:sz="4" w:space="0" w:color="auto"/>
              <w:right w:val="single" w:sz="4" w:space="0" w:color="auto"/>
            </w:tcBorders>
            <w:shd w:val="clear" w:color="auto" w:fill="DCE6F1"/>
            <w:noWrap/>
            <w:vAlign w:val="bottom"/>
            <w:hideMark/>
          </w:tcPr>
          <w:p w14:paraId="2905DC71"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1001" w:type="dxa"/>
            <w:tcBorders>
              <w:top w:val="nil"/>
              <w:left w:val="nil"/>
              <w:bottom w:val="single" w:sz="4" w:space="0" w:color="auto"/>
              <w:right w:val="single" w:sz="4" w:space="0" w:color="auto"/>
            </w:tcBorders>
            <w:shd w:val="clear" w:color="auto" w:fill="DCE6F1"/>
            <w:noWrap/>
            <w:vAlign w:val="bottom"/>
            <w:hideMark/>
          </w:tcPr>
          <w:p w14:paraId="60E6B676"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0DF2BDCA"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1001" w:type="dxa"/>
            <w:tcBorders>
              <w:top w:val="nil"/>
              <w:left w:val="nil"/>
              <w:bottom w:val="single" w:sz="4" w:space="0" w:color="auto"/>
              <w:right w:val="single" w:sz="4" w:space="0" w:color="auto"/>
            </w:tcBorders>
            <w:shd w:val="clear" w:color="auto" w:fill="DCE6F1"/>
            <w:noWrap/>
            <w:vAlign w:val="bottom"/>
            <w:hideMark/>
          </w:tcPr>
          <w:p w14:paraId="34679798"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052F7851"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09276397"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4724591E"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587BB5C1"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r>
      <w:tr w:rsidR="002E677A" w:rsidRPr="003153F6" w14:paraId="2869E39E"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06A5C193"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Public Housing</w:t>
            </w:r>
          </w:p>
        </w:tc>
        <w:tc>
          <w:tcPr>
            <w:tcW w:w="947" w:type="dxa"/>
            <w:tcBorders>
              <w:top w:val="nil"/>
              <w:left w:val="nil"/>
              <w:bottom w:val="single" w:sz="4" w:space="0" w:color="auto"/>
              <w:right w:val="single" w:sz="4" w:space="0" w:color="auto"/>
            </w:tcBorders>
            <w:shd w:val="clear" w:color="auto" w:fill="auto"/>
            <w:noWrap/>
            <w:vAlign w:val="bottom"/>
            <w:hideMark/>
          </w:tcPr>
          <w:p w14:paraId="1FFFCDFD"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1001" w:type="dxa"/>
            <w:tcBorders>
              <w:top w:val="nil"/>
              <w:left w:val="nil"/>
              <w:bottom w:val="single" w:sz="4" w:space="0" w:color="auto"/>
              <w:right w:val="single" w:sz="4" w:space="0" w:color="auto"/>
            </w:tcBorders>
            <w:shd w:val="clear" w:color="auto" w:fill="auto"/>
            <w:noWrap/>
            <w:vAlign w:val="bottom"/>
            <w:hideMark/>
          </w:tcPr>
          <w:p w14:paraId="338E357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925" w:type="dxa"/>
            <w:tcBorders>
              <w:top w:val="nil"/>
              <w:left w:val="nil"/>
              <w:bottom w:val="single" w:sz="4" w:space="0" w:color="auto"/>
              <w:right w:val="single" w:sz="4" w:space="0" w:color="auto"/>
            </w:tcBorders>
            <w:shd w:val="clear" w:color="auto" w:fill="auto"/>
            <w:noWrap/>
            <w:vAlign w:val="bottom"/>
            <w:hideMark/>
          </w:tcPr>
          <w:p w14:paraId="71A68FF7"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1001" w:type="dxa"/>
            <w:tcBorders>
              <w:top w:val="nil"/>
              <w:left w:val="nil"/>
              <w:bottom w:val="single" w:sz="4" w:space="0" w:color="auto"/>
              <w:right w:val="single" w:sz="4" w:space="0" w:color="auto"/>
            </w:tcBorders>
            <w:shd w:val="clear" w:color="auto" w:fill="auto"/>
            <w:noWrap/>
            <w:vAlign w:val="bottom"/>
            <w:hideMark/>
          </w:tcPr>
          <w:p w14:paraId="1DEDE03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c>
          <w:tcPr>
            <w:tcW w:w="925" w:type="dxa"/>
            <w:tcBorders>
              <w:top w:val="nil"/>
              <w:left w:val="nil"/>
              <w:bottom w:val="single" w:sz="4" w:space="0" w:color="auto"/>
              <w:right w:val="single" w:sz="4" w:space="0" w:color="auto"/>
            </w:tcBorders>
            <w:shd w:val="clear" w:color="auto" w:fill="auto"/>
            <w:noWrap/>
            <w:vAlign w:val="bottom"/>
            <w:hideMark/>
          </w:tcPr>
          <w:p w14:paraId="49C007AE"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925" w:type="dxa"/>
            <w:tcBorders>
              <w:top w:val="nil"/>
              <w:left w:val="nil"/>
              <w:bottom w:val="single" w:sz="4" w:space="0" w:color="auto"/>
              <w:right w:val="single" w:sz="4" w:space="0" w:color="auto"/>
            </w:tcBorders>
            <w:shd w:val="clear" w:color="auto" w:fill="auto"/>
            <w:noWrap/>
            <w:vAlign w:val="bottom"/>
            <w:hideMark/>
          </w:tcPr>
          <w:p w14:paraId="66F38CA7"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925" w:type="dxa"/>
            <w:tcBorders>
              <w:top w:val="nil"/>
              <w:left w:val="nil"/>
              <w:bottom w:val="single" w:sz="4" w:space="0" w:color="auto"/>
              <w:right w:val="single" w:sz="4" w:space="0" w:color="auto"/>
            </w:tcBorders>
            <w:shd w:val="clear" w:color="auto" w:fill="auto"/>
            <w:noWrap/>
            <w:vAlign w:val="bottom"/>
            <w:hideMark/>
          </w:tcPr>
          <w:p w14:paraId="2867D8D5"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925" w:type="dxa"/>
            <w:tcBorders>
              <w:top w:val="nil"/>
              <w:left w:val="nil"/>
              <w:bottom w:val="single" w:sz="4" w:space="0" w:color="auto"/>
              <w:right w:val="single" w:sz="4" w:space="0" w:color="auto"/>
            </w:tcBorders>
            <w:shd w:val="clear" w:color="auto" w:fill="auto"/>
            <w:noWrap/>
            <w:vAlign w:val="bottom"/>
            <w:hideMark/>
          </w:tcPr>
          <w:p w14:paraId="32F6280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r>
      <w:tr w:rsidR="002E677A" w:rsidRPr="003153F6" w14:paraId="31544BBA"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014DE6CA"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Project-Based Section 8</w:t>
            </w:r>
          </w:p>
        </w:tc>
        <w:tc>
          <w:tcPr>
            <w:tcW w:w="947" w:type="dxa"/>
            <w:tcBorders>
              <w:top w:val="nil"/>
              <w:left w:val="nil"/>
              <w:bottom w:val="single" w:sz="4" w:space="0" w:color="auto"/>
              <w:right w:val="single" w:sz="4" w:space="0" w:color="auto"/>
            </w:tcBorders>
            <w:shd w:val="clear" w:color="auto" w:fill="auto"/>
            <w:noWrap/>
            <w:vAlign w:val="bottom"/>
            <w:hideMark/>
          </w:tcPr>
          <w:p w14:paraId="249B8450"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471</w:t>
            </w:r>
          </w:p>
        </w:tc>
        <w:tc>
          <w:tcPr>
            <w:tcW w:w="1001" w:type="dxa"/>
            <w:tcBorders>
              <w:top w:val="nil"/>
              <w:left w:val="nil"/>
              <w:bottom w:val="single" w:sz="4" w:space="0" w:color="auto"/>
              <w:right w:val="single" w:sz="4" w:space="0" w:color="auto"/>
            </w:tcBorders>
            <w:shd w:val="clear" w:color="auto" w:fill="auto"/>
            <w:noWrap/>
            <w:vAlign w:val="bottom"/>
            <w:hideMark/>
          </w:tcPr>
          <w:p w14:paraId="7D2FBBFD"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83.22%</w:t>
            </w:r>
          </w:p>
        </w:tc>
        <w:tc>
          <w:tcPr>
            <w:tcW w:w="925" w:type="dxa"/>
            <w:tcBorders>
              <w:top w:val="nil"/>
              <w:left w:val="nil"/>
              <w:bottom w:val="single" w:sz="4" w:space="0" w:color="auto"/>
              <w:right w:val="single" w:sz="4" w:space="0" w:color="auto"/>
            </w:tcBorders>
            <w:shd w:val="clear" w:color="auto" w:fill="auto"/>
            <w:noWrap/>
            <w:vAlign w:val="bottom"/>
            <w:hideMark/>
          </w:tcPr>
          <w:p w14:paraId="2B4BD6D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49</w:t>
            </w:r>
          </w:p>
        </w:tc>
        <w:tc>
          <w:tcPr>
            <w:tcW w:w="1001" w:type="dxa"/>
            <w:tcBorders>
              <w:top w:val="nil"/>
              <w:left w:val="nil"/>
              <w:bottom w:val="single" w:sz="4" w:space="0" w:color="auto"/>
              <w:right w:val="single" w:sz="4" w:space="0" w:color="auto"/>
            </w:tcBorders>
            <w:shd w:val="clear" w:color="auto" w:fill="auto"/>
            <w:noWrap/>
            <w:vAlign w:val="bottom"/>
            <w:hideMark/>
          </w:tcPr>
          <w:p w14:paraId="177D534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8.66%</w:t>
            </w:r>
          </w:p>
        </w:tc>
        <w:tc>
          <w:tcPr>
            <w:tcW w:w="925" w:type="dxa"/>
            <w:tcBorders>
              <w:top w:val="nil"/>
              <w:left w:val="nil"/>
              <w:bottom w:val="single" w:sz="4" w:space="0" w:color="auto"/>
              <w:right w:val="single" w:sz="4" w:space="0" w:color="auto"/>
            </w:tcBorders>
            <w:shd w:val="clear" w:color="auto" w:fill="auto"/>
            <w:noWrap/>
            <w:vAlign w:val="bottom"/>
            <w:hideMark/>
          </w:tcPr>
          <w:p w14:paraId="3DF01FC9"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w:t>
            </w:r>
          </w:p>
        </w:tc>
        <w:tc>
          <w:tcPr>
            <w:tcW w:w="925" w:type="dxa"/>
            <w:tcBorders>
              <w:top w:val="nil"/>
              <w:left w:val="nil"/>
              <w:bottom w:val="single" w:sz="4" w:space="0" w:color="auto"/>
              <w:right w:val="single" w:sz="4" w:space="0" w:color="auto"/>
            </w:tcBorders>
            <w:shd w:val="clear" w:color="auto" w:fill="auto"/>
            <w:noWrap/>
            <w:vAlign w:val="bottom"/>
            <w:hideMark/>
          </w:tcPr>
          <w:p w14:paraId="400031D2"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0.88%</w:t>
            </w:r>
          </w:p>
        </w:tc>
        <w:tc>
          <w:tcPr>
            <w:tcW w:w="925" w:type="dxa"/>
            <w:tcBorders>
              <w:top w:val="nil"/>
              <w:left w:val="nil"/>
              <w:bottom w:val="single" w:sz="4" w:space="0" w:color="auto"/>
              <w:right w:val="single" w:sz="4" w:space="0" w:color="auto"/>
            </w:tcBorders>
            <w:shd w:val="clear" w:color="auto" w:fill="auto"/>
            <w:noWrap/>
            <w:vAlign w:val="bottom"/>
            <w:hideMark/>
          </w:tcPr>
          <w:p w14:paraId="628409EC"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37</w:t>
            </w:r>
          </w:p>
        </w:tc>
        <w:tc>
          <w:tcPr>
            <w:tcW w:w="925" w:type="dxa"/>
            <w:tcBorders>
              <w:top w:val="nil"/>
              <w:left w:val="nil"/>
              <w:bottom w:val="single" w:sz="4" w:space="0" w:color="auto"/>
              <w:right w:val="single" w:sz="4" w:space="0" w:color="auto"/>
            </w:tcBorders>
            <w:shd w:val="clear" w:color="auto" w:fill="auto"/>
            <w:noWrap/>
            <w:vAlign w:val="bottom"/>
            <w:hideMark/>
          </w:tcPr>
          <w:p w14:paraId="7E7D8B41"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6.54%</w:t>
            </w:r>
          </w:p>
        </w:tc>
      </w:tr>
      <w:tr w:rsidR="002E677A" w:rsidRPr="003153F6" w14:paraId="151F6BCC"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09E9F604"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Other Multifamily</w:t>
            </w:r>
          </w:p>
        </w:tc>
        <w:tc>
          <w:tcPr>
            <w:tcW w:w="947" w:type="dxa"/>
            <w:tcBorders>
              <w:top w:val="nil"/>
              <w:left w:val="nil"/>
              <w:bottom w:val="single" w:sz="4" w:space="0" w:color="auto"/>
              <w:right w:val="single" w:sz="4" w:space="0" w:color="auto"/>
            </w:tcBorders>
            <w:shd w:val="clear" w:color="auto" w:fill="auto"/>
            <w:noWrap/>
            <w:vAlign w:val="bottom"/>
            <w:hideMark/>
          </w:tcPr>
          <w:p w14:paraId="6F8FA9F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34</w:t>
            </w:r>
          </w:p>
        </w:tc>
        <w:tc>
          <w:tcPr>
            <w:tcW w:w="1001" w:type="dxa"/>
            <w:tcBorders>
              <w:top w:val="nil"/>
              <w:left w:val="nil"/>
              <w:bottom w:val="single" w:sz="4" w:space="0" w:color="auto"/>
              <w:right w:val="single" w:sz="4" w:space="0" w:color="auto"/>
            </w:tcBorders>
            <w:shd w:val="clear" w:color="auto" w:fill="auto"/>
            <w:noWrap/>
            <w:vAlign w:val="bottom"/>
            <w:hideMark/>
          </w:tcPr>
          <w:p w14:paraId="7577DFD0"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85.00%</w:t>
            </w:r>
          </w:p>
        </w:tc>
        <w:tc>
          <w:tcPr>
            <w:tcW w:w="925" w:type="dxa"/>
            <w:tcBorders>
              <w:top w:val="nil"/>
              <w:left w:val="nil"/>
              <w:bottom w:val="single" w:sz="4" w:space="0" w:color="auto"/>
              <w:right w:val="single" w:sz="4" w:space="0" w:color="auto"/>
            </w:tcBorders>
            <w:shd w:val="clear" w:color="auto" w:fill="auto"/>
            <w:noWrap/>
            <w:vAlign w:val="bottom"/>
            <w:hideMark/>
          </w:tcPr>
          <w:p w14:paraId="12D2173E"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w:t>
            </w:r>
          </w:p>
        </w:tc>
        <w:tc>
          <w:tcPr>
            <w:tcW w:w="1001" w:type="dxa"/>
            <w:tcBorders>
              <w:top w:val="nil"/>
              <w:left w:val="nil"/>
              <w:bottom w:val="single" w:sz="4" w:space="0" w:color="auto"/>
              <w:right w:val="single" w:sz="4" w:space="0" w:color="auto"/>
            </w:tcBorders>
            <w:shd w:val="clear" w:color="auto" w:fill="auto"/>
            <w:noWrap/>
            <w:vAlign w:val="bottom"/>
            <w:hideMark/>
          </w:tcPr>
          <w:p w14:paraId="20D24F8F"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2.50%</w:t>
            </w:r>
          </w:p>
        </w:tc>
        <w:tc>
          <w:tcPr>
            <w:tcW w:w="925" w:type="dxa"/>
            <w:tcBorders>
              <w:top w:val="nil"/>
              <w:left w:val="nil"/>
              <w:bottom w:val="single" w:sz="4" w:space="0" w:color="auto"/>
              <w:right w:val="single" w:sz="4" w:space="0" w:color="auto"/>
            </w:tcBorders>
            <w:shd w:val="clear" w:color="auto" w:fill="auto"/>
            <w:noWrap/>
            <w:vAlign w:val="bottom"/>
            <w:hideMark/>
          </w:tcPr>
          <w:p w14:paraId="3F42F6F8"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925" w:type="dxa"/>
            <w:tcBorders>
              <w:top w:val="nil"/>
              <w:left w:val="nil"/>
              <w:bottom w:val="single" w:sz="4" w:space="0" w:color="auto"/>
              <w:right w:val="single" w:sz="4" w:space="0" w:color="auto"/>
            </w:tcBorders>
            <w:shd w:val="clear" w:color="auto" w:fill="auto"/>
            <w:noWrap/>
            <w:vAlign w:val="bottom"/>
            <w:hideMark/>
          </w:tcPr>
          <w:p w14:paraId="07094FA7"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c>
          <w:tcPr>
            <w:tcW w:w="925" w:type="dxa"/>
            <w:tcBorders>
              <w:top w:val="nil"/>
              <w:left w:val="nil"/>
              <w:bottom w:val="single" w:sz="4" w:space="0" w:color="auto"/>
              <w:right w:val="single" w:sz="4" w:space="0" w:color="auto"/>
            </w:tcBorders>
            <w:shd w:val="clear" w:color="auto" w:fill="auto"/>
            <w:noWrap/>
            <w:vAlign w:val="bottom"/>
            <w:hideMark/>
          </w:tcPr>
          <w:p w14:paraId="0B417F0E"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w:t>
            </w:r>
          </w:p>
        </w:tc>
        <w:tc>
          <w:tcPr>
            <w:tcW w:w="925" w:type="dxa"/>
            <w:tcBorders>
              <w:top w:val="nil"/>
              <w:left w:val="nil"/>
              <w:bottom w:val="single" w:sz="4" w:space="0" w:color="auto"/>
              <w:right w:val="single" w:sz="4" w:space="0" w:color="auto"/>
            </w:tcBorders>
            <w:shd w:val="clear" w:color="auto" w:fill="auto"/>
            <w:noWrap/>
            <w:vAlign w:val="bottom"/>
            <w:hideMark/>
          </w:tcPr>
          <w:p w14:paraId="6AB3F73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2.50%</w:t>
            </w:r>
          </w:p>
        </w:tc>
      </w:tr>
      <w:tr w:rsidR="002E677A" w:rsidRPr="003153F6" w14:paraId="65BA39FC"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17725C8"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HCV Program</w:t>
            </w:r>
          </w:p>
        </w:tc>
        <w:tc>
          <w:tcPr>
            <w:tcW w:w="947" w:type="dxa"/>
            <w:tcBorders>
              <w:top w:val="nil"/>
              <w:left w:val="nil"/>
              <w:bottom w:val="single" w:sz="4" w:space="0" w:color="auto"/>
              <w:right w:val="single" w:sz="4" w:space="0" w:color="auto"/>
            </w:tcBorders>
            <w:shd w:val="clear" w:color="auto" w:fill="auto"/>
            <w:noWrap/>
            <w:vAlign w:val="bottom"/>
            <w:hideMark/>
          </w:tcPr>
          <w:p w14:paraId="02F15E19"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1,121</w:t>
            </w:r>
          </w:p>
        </w:tc>
        <w:tc>
          <w:tcPr>
            <w:tcW w:w="1001" w:type="dxa"/>
            <w:tcBorders>
              <w:top w:val="nil"/>
              <w:left w:val="nil"/>
              <w:bottom w:val="single" w:sz="4" w:space="0" w:color="auto"/>
              <w:right w:val="single" w:sz="4" w:space="0" w:color="auto"/>
            </w:tcBorders>
            <w:shd w:val="clear" w:color="auto" w:fill="auto"/>
            <w:noWrap/>
            <w:vAlign w:val="bottom"/>
            <w:hideMark/>
          </w:tcPr>
          <w:p w14:paraId="00B3A30D"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80.19%</w:t>
            </w:r>
          </w:p>
        </w:tc>
        <w:tc>
          <w:tcPr>
            <w:tcW w:w="925" w:type="dxa"/>
            <w:tcBorders>
              <w:top w:val="nil"/>
              <w:left w:val="nil"/>
              <w:bottom w:val="single" w:sz="4" w:space="0" w:color="auto"/>
              <w:right w:val="single" w:sz="4" w:space="0" w:color="auto"/>
            </w:tcBorders>
            <w:shd w:val="clear" w:color="auto" w:fill="auto"/>
            <w:noWrap/>
            <w:vAlign w:val="bottom"/>
            <w:hideMark/>
          </w:tcPr>
          <w:p w14:paraId="0682E58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164</w:t>
            </w:r>
          </w:p>
        </w:tc>
        <w:tc>
          <w:tcPr>
            <w:tcW w:w="1001" w:type="dxa"/>
            <w:tcBorders>
              <w:top w:val="nil"/>
              <w:left w:val="nil"/>
              <w:bottom w:val="single" w:sz="4" w:space="0" w:color="auto"/>
              <w:right w:val="single" w:sz="4" w:space="0" w:color="auto"/>
            </w:tcBorders>
            <w:shd w:val="clear" w:color="auto" w:fill="auto"/>
            <w:noWrap/>
            <w:vAlign w:val="bottom"/>
            <w:hideMark/>
          </w:tcPr>
          <w:p w14:paraId="66ABE7D7"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11.73%</w:t>
            </w:r>
          </w:p>
        </w:tc>
        <w:tc>
          <w:tcPr>
            <w:tcW w:w="925" w:type="dxa"/>
            <w:tcBorders>
              <w:top w:val="nil"/>
              <w:left w:val="nil"/>
              <w:bottom w:val="single" w:sz="4" w:space="0" w:color="auto"/>
              <w:right w:val="single" w:sz="4" w:space="0" w:color="auto"/>
            </w:tcBorders>
            <w:shd w:val="clear" w:color="auto" w:fill="auto"/>
            <w:noWrap/>
            <w:vAlign w:val="bottom"/>
            <w:hideMark/>
          </w:tcPr>
          <w:p w14:paraId="6BEA099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18</w:t>
            </w:r>
          </w:p>
        </w:tc>
        <w:tc>
          <w:tcPr>
            <w:tcW w:w="925" w:type="dxa"/>
            <w:tcBorders>
              <w:top w:val="nil"/>
              <w:left w:val="nil"/>
              <w:bottom w:val="single" w:sz="4" w:space="0" w:color="auto"/>
              <w:right w:val="single" w:sz="4" w:space="0" w:color="auto"/>
            </w:tcBorders>
            <w:shd w:val="clear" w:color="auto" w:fill="auto"/>
            <w:noWrap/>
            <w:vAlign w:val="bottom"/>
            <w:hideMark/>
          </w:tcPr>
          <w:p w14:paraId="0C7EB3C9"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1.29%</w:t>
            </w:r>
          </w:p>
        </w:tc>
        <w:tc>
          <w:tcPr>
            <w:tcW w:w="925" w:type="dxa"/>
            <w:tcBorders>
              <w:top w:val="nil"/>
              <w:left w:val="nil"/>
              <w:bottom w:val="single" w:sz="4" w:space="0" w:color="auto"/>
              <w:right w:val="single" w:sz="4" w:space="0" w:color="auto"/>
            </w:tcBorders>
            <w:shd w:val="clear" w:color="auto" w:fill="auto"/>
            <w:noWrap/>
            <w:vAlign w:val="bottom"/>
            <w:hideMark/>
          </w:tcPr>
          <w:p w14:paraId="73C3D5E5"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74</w:t>
            </w:r>
          </w:p>
        </w:tc>
        <w:tc>
          <w:tcPr>
            <w:tcW w:w="925" w:type="dxa"/>
            <w:tcBorders>
              <w:top w:val="nil"/>
              <w:left w:val="nil"/>
              <w:bottom w:val="single" w:sz="4" w:space="0" w:color="auto"/>
              <w:right w:val="single" w:sz="4" w:space="0" w:color="auto"/>
            </w:tcBorders>
            <w:shd w:val="clear" w:color="auto" w:fill="auto"/>
            <w:noWrap/>
            <w:vAlign w:val="bottom"/>
            <w:hideMark/>
          </w:tcPr>
          <w:p w14:paraId="3AF1B50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5.29%</w:t>
            </w:r>
          </w:p>
        </w:tc>
      </w:tr>
      <w:tr w:rsidR="002E677A" w:rsidRPr="003153F6" w14:paraId="226C5B12"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44F6917"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Total Households</w:t>
            </w:r>
          </w:p>
        </w:tc>
        <w:tc>
          <w:tcPr>
            <w:tcW w:w="947" w:type="dxa"/>
            <w:tcBorders>
              <w:top w:val="nil"/>
              <w:left w:val="nil"/>
              <w:bottom w:val="single" w:sz="4" w:space="0" w:color="auto"/>
              <w:right w:val="single" w:sz="4" w:space="0" w:color="auto"/>
            </w:tcBorders>
            <w:shd w:val="clear" w:color="auto" w:fill="auto"/>
            <w:noWrap/>
            <w:vAlign w:val="bottom"/>
            <w:hideMark/>
          </w:tcPr>
          <w:p w14:paraId="657F6A73"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14,648</w:t>
            </w:r>
          </w:p>
        </w:tc>
        <w:tc>
          <w:tcPr>
            <w:tcW w:w="1001" w:type="dxa"/>
            <w:tcBorders>
              <w:top w:val="nil"/>
              <w:left w:val="nil"/>
              <w:bottom w:val="single" w:sz="4" w:space="0" w:color="auto"/>
              <w:right w:val="single" w:sz="4" w:space="0" w:color="auto"/>
            </w:tcBorders>
            <w:shd w:val="clear" w:color="auto" w:fill="auto"/>
            <w:noWrap/>
            <w:vAlign w:val="bottom"/>
            <w:hideMark/>
          </w:tcPr>
          <w:p w14:paraId="6423A879"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89.18%</w:t>
            </w:r>
          </w:p>
        </w:tc>
        <w:tc>
          <w:tcPr>
            <w:tcW w:w="925" w:type="dxa"/>
            <w:tcBorders>
              <w:top w:val="nil"/>
              <w:left w:val="nil"/>
              <w:bottom w:val="single" w:sz="4" w:space="0" w:color="auto"/>
              <w:right w:val="single" w:sz="4" w:space="0" w:color="auto"/>
            </w:tcBorders>
            <w:shd w:val="clear" w:color="auto" w:fill="auto"/>
            <w:noWrap/>
            <w:vAlign w:val="bottom"/>
            <w:hideMark/>
          </w:tcPr>
          <w:p w14:paraId="47031CF9"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489</w:t>
            </w:r>
          </w:p>
        </w:tc>
        <w:tc>
          <w:tcPr>
            <w:tcW w:w="1001" w:type="dxa"/>
            <w:tcBorders>
              <w:top w:val="nil"/>
              <w:left w:val="nil"/>
              <w:bottom w:val="single" w:sz="4" w:space="0" w:color="auto"/>
              <w:right w:val="single" w:sz="4" w:space="0" w:color="auto"/>
            </w:tcBorders>
            <w:shd w:val="clear" w:color="auto" w:fill="auto"/>
            <w:noWrap/>
            <w:vAlign w:val="bottom"/>
            <w:hideMark/>
          </w:tcPr>
          <w:p w14:paraId="5D7B4F5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2.98%</w:t>
            </w:r>
          </w:p>
        </w:tc>
        <w:tc>
          <w:tcPr>
            <w:tcW w:w="925" w:type="dxa"/>
            <w:tcBorders>
              <w:top w:val="nil"/>
              <w:left w:val="nil"/>
              <w:bottom w:val="single" w:sz="4" w:space="0" w:color="auto"/>
              <w:right w:val="single" w:sz="4" w:space="0" w:color="auto"/>
            </w:tcBorders>
            <w:shd w:val="clear" w:color="auto" w:fill="auto"/>
            <w:noWrap/>
            <w:vAlign w:val="bottom"/>
            <w:hideMark/>
          </w:tcPr>
          <w:p w14:paraId="5E9F1F4F"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374</w:t>
            </w:r>
          </w:p>
        </w:tc>
        <w:tc>
          <w:tcPr>
            <w:tcW w:w="925" w:type="dxa"/>
            <w:tcBorders>
              <w:top w:val="nil"/>
              <w:left w:val="nil"/>
              <w:bottom w:val="single" w:sz="4" w:space="0" w:color="auto"/>
              <w:right w:val="single" w:sz="4" w:space="0" w:color="auto"/>
            </w:tcBorders>
            <w:shd w:val="clear" w:color="auto" w:fill="auto"/>
            <w:noWrap/>
            <w:vAlign w:val="bottom"/>
            <w:hideMark/>
          </w:tcPr>
          <w:p w14:paraId="1980F2B7"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2.28%</w:t>
            </w:r>
          </w:p>
        </w:tc>
        <w:tc>
          <w:tcPr>
            <w:tcW w:w="925" w:type="dxa"/>
            <w:tcBorders>
              <w:top w:val="nil"/>
              <w:left w:val="nil"/>
              <w:bottom w:val="single" w:sz="4" w:space="0" w:color="auto"/>
              <w:right w:val="single" w:sz="4" w:space="0" w:color="auto"/>
            </w:tcBorders>
            <w:shd w:val="clear" w:color="auto" w:fill="auto"/>
            <w:noWrap/>
            <w:vAlign w:val="bottom"/>
            <w:hideMark/>
          </w:tcPr>
          <w:p w14:paraId="02EC283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584</w:t>
            </w:r>
          </w:p>
        </w:tc>
        <w:tc>
          <w:tcPr>
            <w:tcW w:w="925" w:type="dxa"/>
            <w:tcBorders>
              <w:top w:val="nil"/>
              <w:left w:val="nil"/>
              <w:bottom w:val="single" w:sz="4" w:space="0" w:color="auto"/>
              <w:right w:val="single" w:sz="4" w:space="0" w:color="auto"/>
            </w:tcBorders>
            <w:shd w:val="clear" w:color="auto" w:fill="auto"/>
            <w:noWrap/>
            <w:vAlign w:val="bottom"/>
            <w:hideMark/>
          </w:tcPr>
          <w:p w14:paraId="38D0196E"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3.56%</w:t>
            </w:r>
          </w:p>
        </w:tc>
      </w:tr>
      <w:tr w:rsidR="002E677A" w:rsidRPr="003153F6" w14:paraId="31AAE295" w14:textId="77777777" w:rsidTr="5F884969">
        <w:trPr>
          <w:trHeight w:val="503"/>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31EE7E4F"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0-30% of AMI</w:t>
            </w:r>
          </w:p>
        </w:tc>
        <w:tc>
          <w:tcPr>
            <w:tcW w:w="947" w:type="dxa"/>
            <w:tcBorders>
              <w:top w:val="nil"/>
              <w:left w:val="nil"/>
              <w:bottom w:val="single" w:sz="4" w:space="0" w:color="auto"/>
              <w:right w:val="single" w:sz="4" w:space="0" w:color="auto"/>
            </w:tcBorders>
            <w:shd w:val="clear" w:color="auto" w:fill="auto"/>
            <w:noWrap/>
            <w:vAlign w:val="bottom"/>
            <w:hideMark/>
          </w:tcPr>
          <w:p w14:paraId="25705C17"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3,243</w:t>
            </w:r>
          </w:p>
        </w:tc>
        <w:tc>
          <w:tcPr>
            <w:tcW w:w="1001" w:type="dxa"/>
            <w:tcBorders>
              <w:top w:val="nil"/>
              <w:left w:val="nil"/>
              <w:bottom w:val="single" w:sz="4" w:space="0" w:color="auto"/>
              <w:right w:val="single" w:sz="4" w:space="0" w:color="auto"/>
            </w:tcBorders>
            <w:shd w:val="clear" w:color="auto" w:fill="auto"/>
            <w:noWrap/>
            <w:vAlign w:val="bottom"/>
            <w:hideMark/>
          </w:tcPr>
          <w:p w14:paraId="6289AB7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83.73%</w:t>
            </w:r>
          </w:p>
        </w:tc>
        <w:tc>
          <w:tcPr>
            <w:tcW w:w="925" w:type="dxa"/>
            <w:tcBorders>
              <w:top w:val="nil"/>
              <w:left w:val="nil"/>
              <w:bottom w:val="single" w:sz="4" w:space="0" w:color="auto"/>
              <w:right w:val="single" w:sz="4" w:space="0" w:color="auto"/>
            </w:tcBorders>
            <w:shd w:val="clear" w:color="auto" w:fill="auto"/>
            <w:noWrap/>
            <w:vAlign w:val="bottom"/>
            <w:hideMark/>
          </w:tcPr>
          <w:p w14:paraId="56837DD2"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160</w:t>
            </w:r>
          </w:p>
        </w:tc>
        <w:tc>
          <w:tcPr>
            <w:tcW w:w="1001" w:type="dxa"/>
            <w:tcBorders>
              <w:top w:val="nil"/>
              <w:left w:val="nil"/>
              <w:bottom w:val="single" w:sz="4" w:space="0" w:color="auto"/>
              <w:right w:val="single" w:sz="4" w:space="0" w:color="auto"/>
            </w:tcBorders>
            <w:shd w:val="clear" w:color="auto" w:fill="auto"/>
            <w:noWrap/>
            <w:vAlign w:val="bottom"/>
            <w:hideMark/>
          </w:tcPr>
          <w:p w14:paraId="0D7EC4B9"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4.13%</w:t>
            </w:r>
          </w:p>
        </w:tc>
        <w:tc>
          <w:tcPr>
            <w:tcW w:w="925" w:type="dxa"/>
            <w:tcBorders>
              <w:top w:val="nil"/>
              <w:left w:val="nil"/>
              <w:bottom w:val="single" w:sz="4" w:space="0" w:color="auto"/>
              <w:right w:val="single" w:sz="4" w:space="0" w:color="auto"/>
            </w:tcBorders>
            <w:shd w:val="clear" w:color="auto" w:fill="auto"/>
            <w:noWrap/>
            <w:vAlign w:val="bottom"/>
            <w:hideMark/>
          </w:tcPr>
          <w:p w14:paraId="534DA21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70</w:t>
            </w:r>
          </w:p>
        </w:tc>
        <w:tc>
          <w:tcPr>
            <w:tcW w:w="925" w:type="dxa"/>
            <w:tcBorders>
              <w:top w:val="nil"/>
              <w:left w:val="nil"/>
              <w:bottom w:val="single" w:sz="4" w:space="0" w:color="auto"/>
              <w:right w:val="single" w:sz="4" w:space="0" w:color="auto"/>
            </w:tcBorders>
            <w:shd w:val="clear" w:color="auto" w:fill="auto"/>
            <w:noWrap/>
            <w:vAlign w:val="bottom"/>
            <w:hideMark/>
          </w:tcPr>
          <w:p w14:paraId="6450C8C9"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1.81%</w:t>
            </w:r>
          </w:p>
        </w:tc>
        <w:tc>
          <w:tcPr>
            <w:tcW w:w="925" w:type="dxa"/>
            <w:tcBorders>
              <w:top w:val="nil"/>
              <w:left w:val="nil"/>
              <w:bottom w:val="single" w:sz="4" w:space="0" w:color="auto"/>
              <w:right w:val="single" w:sz="4" w:space="0" w:color="auto"/>
            </w:tcBorders>
            <w:shd w:val="clear" w:color="auto" w:fill="auto"/>
            <w:noWrap/>
            <w:vAlign w:val="bottom"/>
            <w:hideMark/>
          </w:tcPr>
          <w:p w14:paraId="0A33C53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230</w:t>
            </w:r>
          </w:p>
        </w:tc>
        <w:tc>
          <w:tcPr>
            <w:tcW w:w="925" w:type="dxa"/>
            <w:tcBorders>
              <w:top w:val="nil"/>
              <w:left w:val="nil"/>
              <w:bottom w:val="single" w:sz="4" w:space="0" w:color="auto"/>
              <w:right w:val="single" w:sz="4" w:space="0" w:color="auto"/>
            </w:tcBorders>
            <w:shd w:val="clear" w:color="auto" w:fill="auto"/>
            <w:noWrap/>
            <w:vAlign w:val="bottom"/>
            <w:hideMark/>
          </w:tcPr>
          <w:p w14:paraId="7F210ADE"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5.94%</w:t>
            </w:r>
          </w:p>
        </w:tc>
      </w:tr>
      <w:tr w:rsidR="002E677A" w:rsidRPr="003153F6" w14:paraId="2D10B2EA" w14:textId="77777777" w:rsidTr="5F884969">
        <w:trPr>
          <w:trHeight w:val="503"/>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03C33265"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0-50% of AMI</w:t>
            </w:r>
          </w:p>
        </w:tc>
        <w:tc>
          <w:tcPr>
            <w:tcW w:w="947" w:type="dxa"/>
            <w:tcBorders>
              <w:top w:val="nil"/>
              <w:left w:val="nil"/>
              <w:bottom w:val="single" w:sz="4" w:space="0" w:color="auto"/>
              <w:right w:val="single" w:sz="4" w:space="0" w:color="auto"/>
            </w:tcBorders>
            <w:shd w:val="clear" w:color="auto" w:fill="auto"/>
            <w:noWrap/>
            <w:vAlign w:val="bottom"/>
            <w:hideMark/>
          </w:tcPr>
          <w:p w14:paraId="7270EC02"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4,653</w:t>
            </w:r>
          </w:p>
        </w:tc>
        <w:tc>
          <w:tcPr>
            <w:tcW w:w="1001" w:type="dxa"/>
            <w:tcBorders>
              <w:top w:val="nil"/>
              <w:left w:val="nil"/>
              <w:bottom w:val="single" w:sz="4" w:space="0" w:color="auto"/>
              <w:right w:val="single" w:sz="4" w:space="0" w:color="auto"/>
            </w:tcBorders>
            <w:shd w:val="clear" w:color="auto" w:fill="auto"/>
            <w:noWrap/>
            <w:vAlign w:val="bottom"/>
            <w:hideMark/>
          </w:tcPr>
          <w:p w14:paraId="711B061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76.81%</w:t>
            </w:r>
          </w:p>
        </w:tc>
        <w:tc>
          <w:tcPr>
            <w:tcW w:w="925" w:type="dxa"/>
            <w:tcBorders>
              <w:top w:val="nil"/>
              <w:left w:val="nil"/>
              <w:bottom w:val="single" w:sz="4" w:space="0" w:color="auto"/>
              <w:right w:val="single" w:sz="4" w:space="0" w:color="auto"/>
            </w:tcBorders>
            <w:shd w:val="clear" w:color="auto" w:fill="auto"/>
            <w:noWrap/>
            <w:vAlign w:val="bottom"/>
            <w:hideMark/>
          </w:tcPr>
          <w:p w14:paraId="34C52920"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249</w:t>
            </w:r>
          </w:p>
        </w:tc>
        <w:tc>
          <w:tcPr>
            <w:tcW w:w="1001" w:type="dxa"/>
            <w:tcBorders>
              <w:top w:val="nil"/>
              <w:left w:val="nil"/>
              <w:bottom w:val="single" w:sz="4" w:space="0" w:color="auto"/>
              <w:right w:val="single" w:sz="4" w:space="0" w:color="auto"/>
            </w:tcBorders>
            <w:shd w:val="clear" w:color="auto" w:fill="auto"/>
            <w:noWrap/>
            <w:vAlign w:val="bottom"/>
            <w:hideMark/>
          </w:tcPr>
          <w:p w14:paraId="0AC76DD8"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4.11%</w:t>
            </w:r>
          </w:p>
        </w:tc>
        <w:tc>
          <w:tcPr>
            <w:tcW w:w="925" w:type="dxa"/>
            <w:tcBorders>
              <w:top w:val="nil"/>
              <w:left w:val="nil"/>
              <w:bottom w:val="single" w:sz="4" w:space="0" w:color="auto"/>
              <w:right w:val="single" w:sz="4" w:space="0" w:color="auto"/>
            </w:tcBorders>
            <w:shd w:val="clear" w:color="auto" w:fill="auto"/>
            <w:noWrap/>
            <w:vAlign w:val="bottom"/>
            <w:hideMark/>
          </w:tcPr>
          <w:p w14:paraId="1FCDBA4F"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190</w:t>
            </w:r>
          </w:p>
        </w:tc>
        <w:tc>
          <w:tcPr>
            <w:tcW w:w="925" w:type="dxa"/>
            <w:tcBorders>
              <w:top w:val="nil"/>
              <w:left w:val="nil"/>
              <w:bottom w:val="single" w:sz="4" w:space="0" w:color="auto"/>
              <w:right w:val="single" w:sz="4" w:space="0" w:color="auto"/>
            </w:tcBorders>
            <w:shd w:val="clear" w:color="auto" w:fill="auto"/>
            <w:noWrap/>
            <w:vAlign w:val="bottom"/>
            <w:hideMark/>
          </w:tcPr>
          <w:p w14:paraId="32711D13"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3.14%</w:t>
            </w:r>
          </w:p>
        </w:tc>
        <w:tc>
          <w:tcPr>
            <w:tcW w:w="925" w:type="dxa"/>
            <w:tcBorders>
              <w:top w:val="nil"/>
              <w:left w:val="nil"/>
              <w:bottom w:val="single" w:sz="4" w:space="0" w:color="auto"/>
              <w:right w:val="single" w:sz="4" w:space="0" w:color="auto"/>
            </w:tcBorders>
            <w:shd w:val="clear" w:color="auto" w:fill="auto"/>
            <w:noWrap/>
            <w:vAlign w:val="bottom"/>
            <w:hideMark/>
          </w:tcPr>
          <w:p w14:paraId="38753A78"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300</w:t>
            </w:r>
          </w:p>
        </w:tc>
        <w:tc>
          <w:tcPr>
            <w:tcW w:w="925" w:type="dxa"/>
            <w:tcBorders>
              <w:top w:val="nil"/>
              <w:left w:val="nil"/>
              <w:bottom w:val="single" w:sz="4" w:space="0" w:color="auto"/>
              <w:right w:val="single" w:sz="4" w:space="0" w:color="auto"/>
            </w:tcBorders>
            <w:shd w:val="clear" w:color="auto" w:fill="auto"/>
            <w:noWrap/>
            <w:vAlign w:val="bottom"/>
            <w:hideMark/>
          </w:tcPr>
          <w:p w14:paraId="0450DBE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4.95%</w:t>
            </w:r>
          </w:p>
        </w:tc>
      </w:tr>
      <w:tr w:rsidR="002E677A" w:rsidRPr="003153F6" w14:paraId="6FE68261" w14:textId="77777777" w:rsidTr="5F884969">
        <w:trPr>
          <w:trHeight w:val="503"/>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4AC82DC"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0-80% of AMI</w:t>
            </w:r>
          </w:p>
        </w:tc>
        <w:tc>
          <w:tcPr>
            <w:tcW w:w="947" w:type="dxa"/>
            <w:tcBorders>
              <w:top w:val="nil"/>
              <w:left w:val="nil"/>
              <w:bottom w:val="single" w:sz="4" w:space="0" w:color="auto"/>
              <w:right w:val="single" w:sz="4" w:space="0" w:color="auto"/>
            </w:tcBorders>
            <w:shd w:val="clear" w:color="auto" w:fill="auto"/>
            <w:noWrap/>
            <w:vAlign w:val="bottom"/>
            <w:hideMark/>
          </w:tcPr>
          <w:p w14:paraId="1925398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7,228</w:t>
            </w:r>
          </w:p>
        </w:tc>
        <w:tc>
          <w:tcPr>
            <w:tcW w:w="1001" w:type="dxa"/>
            <w:tcBorders>
              <w:top w:val="nil"/>
              <w:left w:val="nil"/>
              <w:bottom w:val="single" w:sz="4" w:space="0" w:color="auto"/>
              <w:right w:val="single" w:sz="4" w:space="0" w:color="auto"/>
            </w:tcBorders>
            <w:shd w:val="clear" w:color="auto" w:fill="auto"/>
            <w:noWrap/>
            <w:vAlign w:val="bottom"/>
            <w:hideMark/>
          </w:tcPr>
          <w:p w14:paraId="441D5AA5"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80.78%</w:t>
            </w:r>
          </w:p>
        </w:tc>
        <w:tc>
          <w:tcPr>
            <w:tcW w:w="925" w:type="dxa"/>
            <w:tcBorders>
              <w:top w:val="nil"/>
              <w:left w:val="nil"/>
              <w:bottom w:val="single" w:sz="4" w:space="0" w:color="auto"/>
              <w:right w:val="single" w:sz="4" w:space="0" w:color="auto"/>
            </w:tcBorders>
            <w:shd w:val="clear" w:color="auto" w:fill="auto"/>
            <w:noWrap/>
            <w:vAlign w:val="bottom"/>
            <w:hideMark/>
          </w:tcPr>
          <w:p w14:paraId="352B3AE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374</w:t>
            </w:r>
          </w:p>
        </w:tc>
        <w:tc>
          <w:tcPr>
            <w:tcW w:w="1001" w:type="dxa"/>
            <w:tcBorders>
              <w:top w:val="nil"/>
              <w:left w:val="nil"/>
              <w:bottom w:val="single" w:sz="4" w:space="0" w:color="auto"/>
              <w:right w:val="single" w:sz="4" w:space="0" w:color="auto"/>
            </w:tcBorders>
            <w:shd w:val="clear" w:color="auto" w:fill="auto"/>
            <w:noWrap/>
            <w:vAlign w:val="bottom"/>
            <w:hideMark/>
          </w:tcPr>
          <w:p w14:paraId="56800E1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4.18%</w:t>
            </w:r>
          </w:p>
        </w:tc>
        <w:tc>
          <w:tcPr>
            <w:tcW w:w="925" w:type="dxa"/>
            <w:tcBorders>
              <w:top w:val="nil"/>
              <w:left w:val="nil"/>
              <w:bottom w:val="single" w:sz="4" w:space="0" w:color="auto"/>
              <w:right w:val="single" w:sz="4" w:space="0" w:color="auto"/>
            </w:tcBorders>
            <w:shd w:val="clear" w:color="auto" w:fill="auto"/>
            <w:noWrap/>
            <w:vAlign w:val="bottom"/>
            <w:hideMark/>
          </w:tcPr>
          <w:p w14:paraId="09A904C3"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230</w:t>
            </w:r>
          </w:p>
        </w:tc>
        <w:tc>
          <w:tcPr>
            <w:tcW w:w="925" w:type="dxa"/>
            <w:tcBorders>
              <w:top w:val="nil"/>
              <w:left w:val="nil"/>
              <w:bottom w:val="single" w:sz="4" w:space="0" w:color="auto"/>
              <w:right w:val="single" w:sz="4" w:space="0" w:color="auto"/>
            </w:tcBorders>
            <w:shd w:val="clear" w:color="auto" w:fill="auto"/>
            <w:noWrap/>
            <w:vAlign w:val="bottom"/>
            <w:hideMark/>
          </w:tcPr>
          <w:p w14:paraId="34286B1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2.57%</w:t>
            </w:r>
          </w:p>
        </w:tc>
        <w:tc>
          <w:tcPr>
            <w:tcW w:w="925" w:type="dxa"/>
            <w:tcBorders>
              <w:top w:val="nil"/>
              <w:left w:val="nil"/>
              <w:bottom w:val="single" w:sz="4" w:space="0" w:color="auto"/>
              <w:right w:val="single" w:sz="4" w:space="0" w:color="auto"/>
            </w:tcBorders>
            <w:shd w:val="clear" w:color="auto" w:fill="auto"/>
            <w:noWrap/>
            <w:vAlign w:val="bottom"/>
            <w:hideMark/>
          </w:tcPr>
          <w:p w14:paraId="0DA1C27A"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405</w:t>
            </w:r>
          </w:p>
        </w:tc>
        <w:tc>
          <w:tcPr>
            <w:tcW w:w="925" w:type="dxa"/>
            <w:tcBorders>
              <w:top w:val="nil"/>
              <w:left w:val="nil"/>
              <w:bottom w:val="single" w:sz="4" w:space="0" w:color="auto"/>
              <w:right w:val="single" w:sz="4" w:space="0" w:color="auto"/>
            </w:tcBorders>
            <w:shd w:val="clear" w:color="auto" w:fill="auto"/>
            <w:noWrap/>
            <w:vAlign w:val="bottom"/>
            <w:hideMark/>
          </w:tcPr>
          <w:p w14:paraId="11AE89B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4.53%</w:t>
            </w:r>
          </w:p>
        </w:tc>
      </w:tr>
      <w:tr w:rsidR="002E677A" w:rsidRPr="003153F6" w14:paraId="3DD0A042" w14:textId="77777777" w:rsidTr="5F884969">
        <w:trPr>
          <w:trHeight w:val="1212"/>
        </w:trPr>
        <w:tc>
          <w:tcPr>
            <w:tcW w:w="1786"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7924ACF5" w14:textId="77777777" w:rsidR="002E677A" w:rsidRPr="003153F6"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lastRenderedPageBreak/>
              <w:t>Burlington-South Burlington, VT Region</w:t>
            </w:r>
          </w:p>
        </w:tc>
        <w:tc>
          <w:tcPr>
            <w:tcW w:w="1948"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F0C3E99"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White</w:t>
            </w:r>
          </w:p>
        </w:tc>
        <w:tc>
          <w:tcPr>
            <w:tcW w:w="1926"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3CA3657"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xml:space="preserve">Black </w:t>
            </w:r>
          </w:p>
        </w:tc>
        <w:tc>
          <w:tcPr>
            <w:tcW w:w="185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F93A1BD"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Hispanic</w:t>
            </w:r>
          </w:p>
        </w:tc>
        <w:tc>
          <w:tcPr>
            <w:tcW w:w="1850"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DB0AC59"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Asian or Pacific Islander</w:t>
            </w:r>
          </w:p>
        </w:tc>
      </w:tr>
      <w:tr w:rsidR="002E677A" w:rsidRPr="003153F6" w14:paraId="1FE364FC" w14:textId="77777777" w:rsidTr="5F884969">
        <w:trPr>
          <w:trHeight w:val="420"/>
        </w:trPr>
        <w:tc>
          <w:tcPr>
            <w:tcW w:w="1786" w:type="dxa"/>
            <w:tcBorders>
              <w:top w:val="nil"/>
              <w:left w:val="single" w:sz="4" w:space="0" w:color="auto"/>
              <w:bottom w:val="single" w:sz="4" w:space="0" w:color="auto"/>
              <w:right w:val="single" w:sz="4" w:space="0" w:color="auto"/>
            </w:tcBorders>
            <w:shd w:val="clear" w:color="auto" w:fill="DCE6F1"/>
            <w:noWrap/>
            <w:vAlign w:val="bottom"/>
            <w:hideMark/>
          </w:tcPr>
          <w:p w14:paraId="07A0DA39"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Housing Type</w:t>
            </w:r>
          </w:p>
        </w:tc>
        <w:tc>
          <w:tcPr>
            <w:tcW w:w="947" w:type="dxa"/>
            <w:tcBorders>
              <w:top w:val="nil"/>
              <w:left w:val="nil"/>
              <w:bottom w:val="single" w:sz="4" w:space="0" w:color="auto"/>
              <w:right w:val="single" w:sz="4" w:space="0" w:color="auto"/>
            </w:tcBorders>
            <w:shd w:val="clear" w:color="auto" w:fill="DCE6F1"/>
            <w:noWrap/>
            <w:vAlign w:val="bottom"/>
            <w:hideMark/>
          </w:tcPr>
          <w:p w14:paraId="40E072CE"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1001" w:type="dxa"/>
            <w:tcBorders>
              <w:top w:val="nil"/>
              <w:left w:val="nil"/>
              <w:bottom w:val="single" w:sz="4" w:space="0" w:color="auto"/>
              <w:right w:val="single" w:sz="4" w:space="0" w:color="auto"/>
            </w:tcBorders>
            <w:shd w:val="clear" w:color="auto" w:fill="DCE6F1"/>
            <w:noWrap/>
            <w:vAlign w:val="bottom"/>
            <w:hideMark/>
          </w:tcPr>
          <w:p w14:paraId="7DA12837"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2A90CEF3"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1001" w:type="dxa"/>
            <w:tcBorders>
              <w:top w:val="nil"/>
              <w:left w:val="nil"/>
              <w:bottom w:val="single" w:sz="4" w:space="0" w:color="auto"/>
              <w:right w:val="single" w:sz="4" w:space="0" w:color="auto"/>
            </w:tcBorders>
            <w:shd w:val="clear" w:color="auto" w:fill="DCE6F1"/>
            <w:noWrap/>
            <w:vAlign w:val="bottom"/>
            <w:hideMark/>
          </w:tcPr>
          <w:p w14:paraId="10601B9E"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52103FFC"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54737A3E"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6D25723D"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25" w:type="dxa"/>
            <w:tcBorders>
              <w:top w:val="nil"/>
              <w:left w:val="nil"/>
              <w:bottom w:val="single" w:sz="4" w:space="0" w:color="auto"/>
              <w:right w:val="single" w:sz="4" w:space="0" w:color="auto"/>
            </w:tcBorders>
            <w:shd w:val="clear" w:color="auto" w:fill="DCE6F1"/>
            <w:noWrap/>
            <w:vAlign w:val="bottom"/>
            <w:hideMark/>
          </w:tcPr>
          <w:p w14:paraId="509C8692" w14:textId="77777777" w:rsidR="002E677A" w:rsidRPr="003153F6"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r>
      <w:tr w:rsidR="002E677A" w:rsidRPr="003153F6" w14:paraId="6059D147"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1A5D822"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Public Housing</w:t>
            </w:r>
          </w:p>
        </w:tc>
        <w:tc>
          <w:tcPr>
            <w:tcW w:w="947" w:type="dxa"/>
            <w:tcBorders>
              <w:top w:val="nil"/>
              <w:left w:val="nil"/>
              <w:bottom w:val="single" w:sz="4" w:space="0" w:color="auto"/>
              <w:right w:val="single" w:sz="4" w:space="0" w:color="auto"/>
            </w:tcBorders>
            <w:shd w:val="clear" w:color="auto" w:fill="auto"/>
            <w:noWrap/>
            <w:vAlign w:val="bottom"/>
            <w:hideMark/>
          </w:tcPr>
          <w:p w14:paraId="02618039"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1001" w:type="dxa"/>
            <w:tcBorders>
              <w:top w:val="nil"/>
              <w:left w:val="nil"/>
              <w:bottom w:val="single" w:sz="4" w:space="0" w:color="auto"/>
              <w:right w:val="single" w:sz="4" w:space="0" w:color="auto"/>
            </w:tcBorders>
            <w:shd w:val="clear" w:color="auto" w:fill="auto"/>
            <w:noWrap/>
            <w:vAlign w:val="bottom"/>
            <w:hideMark/>
          </w:tcPr>
          <w:p w14:paraId="7180C58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925" w:type="dxa"/>
            <w:tcBorders>
              <w:top w:val="nil"/>
              <w:left w:val="nil"/>
              <w:bottom w:val="single" w:sz="4" w:space="0" w:color="auto"/>
              <w:right w:val="single" w:sz="4" w:space="0" w:color="auto"/>
            </w:tcBorders>
            <w:shd w:val="clear" w:color="auto" w:fill="auto"/>
            <w:noWrap/>
            <w:vAlign w:val="bottom"/>
            <w:hideMark/>
          </w:tcPr>
          <w:p w14:paraId="74269612"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1001" w:type="dxa"/>
            <w:tcBorders>
              <w:top w:val="nil"/>
              <w:left w:val="nil"/>
              <w:bottom w:val="single" w:sz="4" w:space="0" w:color="auto"/>
              <w:right w:val="single" w:sz="4" w:space="0" w:color="auto"/>
            </w:tcBorders>
            <w:shd w:val="clear" w:color="auto" w:fill="auto"/>
            <w:noWrap/>
            <w:vAlign w:val="bottom"/>
            <w:hideMark/>
          </w:tcPr>
          <w:p w14:paraId="07583325"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c>
          <w:tcPr>
            <w:tcW w:w="925" w:type="dxa"/>
            <w:tcBorders>
              <w:top w:val="nil"/>
              <w:left w:val="nil"/>
              <w:bottom w:val="single" w:sz="4" w:space="0" w:color="auto"/>
              <w:right w:val="single" w:sz="4" w:space="0" w:color="auto"/>
            </w:tcBorders>
            <w:shd w:val="clear" w:color="auto" w:fill="auto"/>
            <w:noWrap/>
            <w:vAlign w:val="bottom"/>
            <w:hideMark/>
          </w:tcPr>
          <w:p w14:paraId="5DAEB6A1"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925" w:type="dxa"/>
            <w:tcBorders>
              <w:top w:val="nil"/>
              <w:left w:val="nil"/>
              <w:bottom w:val="single" w:sz="4" w:space="0" w:color="auto"/>
              <w:right w:val="single" w:sz="4" w:space="0" w:color="auto"/>
            </w:tcBorders>
            <w:shd w:val="clear" w:color="auto" w:fill="auto"/>
            <w:noWrap/>
            <w:vAlign w:val="bottom"/>
            <w:hideMark/>
          </w:tcPr>
          <w:p w14:paraId="12A1346E"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925" w:type="dxa"/>
            <w:tcBorders>
              <w:top w:val="nil"/>
              <w:left w:val="nil"/>
              <w:bottom w:val="single" w:sz="4" w:space="0" w:color="auto"/>
              <w:right w:val="single" w:sz="4" w:space="0" w:color="auto"/>
            </w:tcBorders>
            <w:shd w:val="clear" w:color="auto" w:fill="auto"/>
            <w:noWrap/>
            <w:vAlign w:val="bottom"/>
            <w:hideMark/>
          </w:tcPr>
          <w:p w14:paraId="4D650FB1"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925" w:type="dxa"/>
            <w:tcBorders>
              <w:top w:val="nil"/>
              <w:left w:val="nil"/>
              <w:bottom w:val="single" w:sz="4" w:space="0" w:color="auto"/>
              <w:right w:val="single" w:sz="4" w:space="0" w:color="auto"/>
            </w:tcBorders>
            <w:shd w:val="clear" w:color="auto" w:fill="auto"/>
            <w:noWrap/>
            <w:vAlign w:val="bottom"/>
            <w:hideMark/>
          </w:tcPr>
          <w:p w14:paraId="3917C7D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r>
      <w:tr w:rsidR="002E677A" w:rsidRPr="003153F6" w14:paraId="21132376"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0BE72A6"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Project-Based Section 8</w:t>
            </w:r>
          </w:p>
        </w:tc>
        <w:tc>
          <w:tcPr>
            <w:tcW w:w="947" w:type="dxa"/>
            <w:tcBorders>
              <w:top w:val="nil"/>
              <w:left w:val="nil"/>
              <w:bottom w:val="single" w:sz="4" w:space="0" w:color="auto"/>
              <w:right w:val="single" w:sz="4" w:space="0" w:color="auto"/>
            </w:tcBorders>
            <w:shd w:val="clear" w:color="auto" w:fill="auto"/>
            <w:noWrap/>
            <w:vAlign w:val="bottom"/>
            <w:hideMark/>
          </w:tcPr>
          <w:p w14:paraId="55412CAF"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471</w:t>
            </w:r>
          </w:p>
        </w:tc>
        <w:tc>
          <w:tcPr>
            <w:tcW w:w="1001" w:type="dxa"/>
            <w:tcBorders>
              <w:top w:val="nil"/>
              <w:left w:val="nil"/>
              <w:bottom w:val="single" w:sz="4" w:space="0" w:color="auto"/>
              <w:right w:val="single" w:sz="4" w:space="0" w:color="auto"/>
            </w:tcBorders>
            <w:shd w:val="clear" w:color="auto" w:fill="auto"/>
            <w:noWrap/>
            <w:vAlign w:val="bottom"/>
            <w:hideMark/>
          </w:tcPr>
          <w:p w14:paraId="405C2272"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83.22%</w:t>
            </w:r>
          </w:p>
        </w:tc>
        <w:tc>
          <w:tcPr>
            <w:tcW w:w="925" w:type="dxa"/>
            <w:tcBorders>
              <w:top w:val="nil"/>
              <w:left w:val="nil"/>
              <w:bottom w:val="single" w:sz="4" w:space="0" w:color="auto"/>
              <w:right w:val="single" w:sz="4" w:space="0" w:color="auto"/>
            </w:tcBorders>
            <w:shd w:val="clear" w:color="auto" w:fill="auto"/>
            <w:noWrap/>
            <w:vAlign w:val="bottom"/>
            <w:hideMark/>
          </w:tcPr>
          <w:p w14:paraId="29A24655"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49</w:t>
            </w:r>
          </w:p>
        </w:tc>
        <w:tc>
          <w:tcPr>
            <w:tcW w:w="1001" w:type="dxa"/>
            <w:tcBorders>
              <w:top w:val="nil"/>
              <w:left w:val="nil"/>
              <w:bottom w:val="single" w:sz="4" w:space="0" w:color="auto"/>
              <w:right w:val="single" w:sz="4" w:space="0" w:color="auto"/>
            </w:tcBorders>
            <w:shd w:val="clear" w:color="auto" w:fill="auto"/>
            <w:noWrap/>
            <w:vAlign w:val="bottom"/>
            <w:hideMark/>
          </w:tcPr>
          <w:p w14:paraId="5170F95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8.66%</w:t>
            </w:r>
          </w:p>
        </w:tc>
        <w:tc>
          <w:tcPr>
            <w:tcW w:w="925" w:type="dxa"/>
            <w:tcBorders>
              <w:top w:val="nil"/>
              <w:left w:val="nil"/>
              <w:bottom w:val="single" w:sz="4" w:space="0" w:color="auto"/>
              <w:right w:val="single" w:sz="4" w:space="0" w:color="auto"/>
            </w:tcBorders>
            <w:shd w:val="clear" w:color="auto" w:fill="auto"/>
            <w:noWrap/>
            <w:vAlign w:val="bottom"/>
            <w:hideMark/>
          </w:tcPr>
          <w:p w14:paraId="7619EC2C"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w:t>
            </w:r>
          </w:p>
        </w:tc>
        <w:tc>
          <w:tcPr>
            <w:tcW w:w="925" w:type="dxa"/>
            <w:tcBorders>
              <w:top w:val="nil"/>
              <w:left w:val="nil"/>
              <w:bottom w:val="single" w:sz="4" w:space="0" w:color="auto"/>
              <w:right w:val="single" w:sz="4" w:space="0" w:color="auto"/>
            </w:tcBorders>
            <w:shd w:val="clear" w:color="auto" w:fill="auto"/>
            <w:noWrap/>
            <w:vAlign w:val="bottom"/>
            <w:hideMark/>
          </w:tcPr>
          <w:p w14:paraId="5B8639F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0.88%</w:t>
            </w:r>
          </w:p>
        </w:tc>
        <w:tc>
          <w:tcPr>
            <w:tcW w:w="925" w:type="dxa"/>
            <w:tcBorders>
              <w:top w:val="nil"/>
              <w:left w:val="nil"/>
              <w:bottom w:val="single" w:sz="4" w:space="0" w:color="auto"/>
              <w:right w:val="single" w:sz="4" w:space="0" w:color="auto"/>
            </w:tcBorders>
            <w:shd w:val="clear" w:color="auto" w:fill="auto"/>
            <w:noWrap/>
            <w:vAlign w:val="bottom"/>
            <w:hideMark/>
          </w:tcPr>
          <w:p w14:paraId="476A7473"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37</w:t>
            </w:r>
          </w:p>
        </w:tc>
        <w:tc>
          <w:tcPr>
            <w:tcW w:w="925" w:type="dxa"/>
            <w:tcBorders>
              <w:top w:val="nil"/>
              <w:left w:val="nil"/>
              <w:bottom w:val="single" w:sz="4" w:space="0" w:color="auto"/>
              <w:right w:val="single" w:sz="4" w:space="0" w:color="auto"/>
            </w:tcBorders>
            <w:shd w:val="clear" w:color="auto" w:fill="auto"/>
            <w:noWrap/>
            <w:vAlign w:val="bottom"/>
            <w:hideMark/>
          </w:tcPr>
          <w:p w14:paraId="5A0230B3"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6.54%</w:t>
            </w:r>
          </w:p>
        </w:tc>
      </w:tr>
      <w:tr w:rsidR="002E677A" w:rsidRPr="003153F6" w14:paraId="3307F8BA"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64436F0"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Other Multifamily</w:t>
            </w:r>
          </w:p>
        </w:tc>
        <w:tc>
          <w:tcPr>
            <w:tcW w:w="947" w:type="dxa"/>
            <w:tcBorders>
              <w:top w:val="nil"/>
              <w:left w:val="nil"/>
              <w:bottom w:val="single" w:sz="4" w:space="0" w:color="auto"/>
              <w:right w:val="single" w:sz="4" w:space="0" w:color="auto"/>
            </w:tcBorders>
            <w:shd w:val="clear" w:color="auto" w:fill="auto"/>
            <w:noWrap/>
            <w:vAlign w:val="bottom"/>
            <w:hideMark/>
          </w:tcPr>
          <w:p w14:paraId="31FC838F"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34</w:t>
            </w:r>
          </w:p>
        </w:tc>
        <w:tc>
          <w:tcPr>
            <w:tcW w:w="1001" w:type="dxa"/>
            <w:tcBorders>
              <w:top w:val="nil"/>
              <w:left w:val="nil"/>
              <w:bottom w:val="single" w:sz="4" w:space="0" w:color="auto"/>
              <w:right w:val="single" w:sz="4" w:space="0" w:color="auto"/>
            </w:tcBorders>
            <w:shd w:val="clear" w:color="auto" w:fill="auto"/>
            <w:noWrap/>
            <w:vAlign w:val="bottom"/>
            <w:hideMark/>
          </w:tcPr>
          <w:p w14:paraId="3F4FCDD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85.00%</w:t>
            </w:r>
          </w:p>
        </w:tc>
        <w:tc>
          <w:tcPr>
            <w:tcW w:w="925" w:type="dxa"/>
            <w:tcBorders>
              <w:top w:val="nil"/>
              <w:left w:val="nil"/>
              <w:bottom w:val="single" w:sz="4" w:space="0" w:color="auto"/>
              <w:right w:val="single" w:sz="4" w:space="0" w:color="auto"/>
            </w:tcBorders>
            <w:shd w:val="clear" w:color="auto" w:fill="auto"/>
            <w:noWrap/>
            <w:vAlign w:val="bottom"/>
            <w:hideMark/>
          </w:tcPr>
          <w:p w14:paraId="73991A48"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w:t>
            </w:r>
          </w:p>
        </w:tc>
        <w:tc>
          <w:tcPr>
            <w:tcW w:w="1001" w:type="dxa"/>
            <w:tcBorders>
              <w:top w:val="nil"/>
              <w:left w:val="nil"/>
              <w:bottom w:val="single" w:sz="4" w:space="0" w:color="auto"/>
              <w:right w:val="single" w:sz="4" w:space="0" w:color="auto"/>
            </w:tcBorders>
            <w:shd w:val="clear" w:color="auto" w:fill="auto"/>
            <w:noWrap/>
            <w:vAlign w:val="bottom"/>
            <w:hideMark/>
          </w:tcPr>
          <w:p w14:paraId="5392202F"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2.50%</w:t>
            </w:r>
          </w:p>
        </w:tc>
        <w:tc>
          <w:tcPr>
            <w:tcW w:w="925" w:type="dxa"/>
            <w:tcBorders>
              <w:top w:val="nil"/>
              <w:left w:val="nil"/>
              <w:bottom w:val="single" w:sz="4" w:space="0" w:color="auto"/>
              <w:right w:val="single" w:sz="4" w:space="0" w:color="auto"/>
            </w:tcBorders>
            <w:shd w:val="clear" w:color="auto" w:fill="auto"/>
            <w:noWrap/>
            <w:vAlign w:val="bottom"/>
            <w:hideMark/>
          </w:tcPr>
          <w:p w14:paraId="27E997CC"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925" w:type="dxa"/>
            <w:tcBorders>
              <w:top w:val="nil"/>
              <w:left w:val="nil"/>
              <w:bottom w:val="single" w:sz="4" w:space="0" w:color="auto"/>
              <w:right w:val="single" w:sz="4" w:space="0" w:color="auto"/>
            </w:tcBorders>
            <w:shd w:val="clear" w:color="auto" w:fill="auto"/>
            <w:noWrap/>
            <w:vAlign w:val="bottom"/>
            <w:hideMark/>
          </w:tcPr>
          <w:p w14:paraId="47713617"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c>
          <w:tcPr>
            <w:tcW w:w="925" w:type="dxa"/>
            <w:tcBorders>
              <w:top w:val="nil"/>
              <w:left w:val="nil"/>
              <w:bottom w:val="single" w:sz="4" w:space="0" w:color="auto"/>
              <w:right w:val="single" w:sz="4" w:space="0" w:color="auto"/>
            </w:tcBorders>
            <w:shd w:val="clear" w:color="auto" w:fill="auto"/>
            <w:noWrap/>
            <w:vAlign w:val="bottom"/>
            <w:hideMark/>
          </w:tcPr>
          <w:p w14:paraId="5D34E70C"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w:t>
            </w:r>
          </w:p>
        </w:tc>
        <w:tc>
          <w:tcPr>
            <w:tcW w:w="925" w:type="dxa"/>
            <w:tcBorders>
              <w:top w:val="nil"/>
              <w:left w:val="nil"/>
              <w:bottom w:val="single" w:sz="4" w:space="0" w:color="auto"/>
              <w:right w:val="single" w:sz="4" w:space="0" w:color="auto"/>
            </w:tcBorders>
            <w:shd w:val="clear" w:color="auto" w:fill="auto"/>
            <w:noWrap/>
            <w:vAlign w:val="bottom"/>
            <w:hideMark/>
          </w:tcPr>
          <w:p w14:paraId="5190974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2.50%</w:t>
            </w:r>
          </w:p>
        </w:tc>
      </w:tr>
      <w:tr w:rsidR="002E677A" w:rsidRPr="003153F6" w14:paraId="1786A9C8"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3DDB60F"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HCV Program</w:t>
            </w:r>
          </w:p>
        </w:tc>
        <w:tc>
          <w:tcPr>
            <w:tcW w:w="947" w:type="dxa"/>
            <w:tcBorders>
              <w:top w:val="nil"/>
              <w:left w:val="nil"/>
              <w:bottom w:val="single" w:sz="4" w:space="0" w:color="auto"/>
              <w:right w:val="single" w:sz="4" w:space="0" w:color="auto"/>
            </w:tcBorders>
            <w:shd w:val="clear" w:color="auto" w:fill="auto"/>
            <w:noWrap/>
            <w:vAlign w:val="bottom"/>
            <w:hideMark/>
          </w:tcPr>
          <w:p w14:paraId="7B9E4A0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2,940</w:t>
            </w:r>
          </w:p>
        </w:tc>
        <w:tc>
          <w:tcPr>
            <w:tcW w:w="1001" w:type="dxa"/>
            <w:tcBorders>
              <w:top w:val="nil"/>
              <w:left w:val="nil"/>
              <w:bottom w:val="single" w:sz="4" w:space="0" w:color="auto"/>
              <w:right w:val="single" w:sz="4" w:space="0" w:color="auto"/>
            </w:tcBorders>
            <w:shd w:val="clear" w:color="auto" w:fill="auto"/>
            <w:noWrap/>
            <w:vAlign w:val="bottom"/>
            <w:hideMark/>
          </w:tcPr>
          <w:p w14:paraId="028A833A"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85.49%</w:t>
            </w:r>
          </w:p>
        </w:tc>
        <w:tc>
          <w:tcPr>
            <w:tcW w:w="925" w:type="dxa"/>
            <w:tcBorders>
              <w:top w:val="nil"/>
              <w:left w:val="nil"/>
              <w:bottom w:val="single" w:sz="4" w:space="0" w:color="auto"/>
              <w:right w:val="single" w:sz="4" w:space="0" w:color="auto"/>
            </w:tcBorders>
            <w:shd w:val="clear" w:color="auto" w:fill="auto"/>
            <w:noWrap/>
            <w:vAlign w:val="bottom"/>
            <w:hideMark/>
          </w:tcPr>
          <w:p w14:paraId="16D900A5"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279</w:t>
            </w:r>
          </w:p>
        </w:tc>
        <w:tc>
          <w:tcPr>
            <w:tcW w:w="1001" w:type="dxa"/>
            <w:tcBorders>
              <w:top w:val="nil"/>
              <w:left w:val="nil"/>
              <w:bottom w:val="single" w:sz="4" w:space="0" w:color="auto"/>
              <w:right w:val="single" w:sz="4" w:space="0" w:color="auto"/>
            </w:tcBorders>
            <w:shd w:val="clear" w:color="auto" w:fill="auto"/>
            <w:noWrap/>
            <w:vAlign w:val="bottom"/>
            <w:hideMark/>
          </w:tcPr>
          <w:p w14:paraId="1DFA72BE"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8.11%</w:t>
            </w:r>
          </w:p>
        </w:tc>
        <w:tc>
          <w:tcPr>
            <w:tcW w:w="925" w:type="dxa"/>
            <w:tcBorders>
              <w:top w:val="nil"/>
              <w:left w:val="nil"/>
              <w:bottom w:val="single" w:sz="4" w:space="0" w:color="auto"/>
              <w:right w:val="single" w:sz="4" w:space="0" w:color="auto"/>
            </w:tcBorders>
            <w:shd w:val="clear" w:color="auto" w:fill="auto"/>
            <w:noWrap/>
            <w:vAlign w:val="bottom"/>
            <w:hideMark/>
          </w:tcPr>
          <w:p w14:paraId="2C10A15E"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45</w:t>
            </w:r>
          </w:p>
        </w:tc>
        <w:tc>
          <w:tcPr>
            <w:tcW w:w="925" w:type="dxa"/>
            <w:tcBorders>
              <w:top w:val="nil"/>
              <w:left w:val="nil"/>
              <w:bottom w:val="single" w:sz="4" w:space="0" w:color="auto"/>
              <w:right w:val="single" w:sz="4" w:space="0" w:color="auto"/>
            </w:tcBorders>
            <w:shd w:val="clear" w:color="auto" w:fill="auto"/>
            <w:noWrap/>
            <w:vAlign w:val="bottom"/>
            <w:hideMark/>
          </w:tcPr>
          <w:p w14:paraId="150B4B6C"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1.31%</w:t>
            </w:r>
          </w:p>
        </w:tc>
        <w:tc>
          <w:tcPr>
            <w:tcW w:w="925" w:type="dxa"/>
            <w:tcBorders>
              <w:top w:val="nil"/>
              <w:left w:val="nil"/>
              <w:bottom w:val="single" w:sz="4" w:space="0" w:color="auto"/>
              <w:right w:val="single" w:sz="4" w:space="0" w:color="auto"/>
            </w:tcBorders>
            <w:shd w:val="clear" w:color="auto" w:fill="auto"/>
            <w:noWrap/>
            <w:vAlign w:val="bottom"/>
            <w:hideMark/>
          </w:tcPr>
          <w:p w14:paraId="6D59318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111</w:t>
            </w:r>
          </w:p>
        </w:tc>
        <w:tc>
          <w:tcPr>
            <w:tcW w:w="925" w:type="dxa"/>
            <w:tcBorders>
              <w:top w:val="nil"/>
              <w:left w:val="nil"/>
              <w:bottom w:val="single" w:sz="4" w:space="0" w:color="auto"/>
              <w:right w:val="single" w:sz="4" w:space="0" w:color="auto"/>
            </w:tcBorders>
            <w:shd w:val="clear" w:color="auto" w:fill="auto"/>
            <w:noWrap/>
            <w:vAlign w:val="bottom"/>
            <w:hideMark/>
          </w:tcPr>
          <w:p w14:paraId="11CD9981"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3.23%</w:t>
            </w:r>
          </w:p>
        </w:tc>
      </w:tr>
      <w:tr w:rsidR="002E677A" w:rsidRPr="003153F6" w14:paraId="55736FBE" w14:textId="77777777" w:rsidTr="5F884969">
        <w:trPr>
          <w:trHeight w:val="518"/>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242C0ED0"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Total Households</w:t>
            </w:r>
          </w:p>
        </w:tc>
        <w:tc>
          <w:tcPr>
            <w:tcW w:w="947" w:type="dxa"/>
            <w:tcBorders>
              <w:top w:val="nil"/>
              <w:left w:val="nil"/>
              <w:bottom w:val="single" w:sz="4" w:space="0" w:color="auto"/>
              <w:right w:val="single" w:sz="4" w:space="0" w:color="auto"/>
            </w:tcBorders>
            <w:shd w:val="clear" w:color="auto" w:fill="auto"/>
            <w:noWrap/>
            <w:vAlign w:val="bottom"/>
            <w:hideMark/>
          </w:tcPr>
          <w:p w14:paraId="4940FB08"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79,387</w:t>
            </w:r>
          </w:p>
        </w:tc>
        <w:tc>
          <w:tcPr>
            <w:tcW w:w="1001" w:type="dxa"/>
            <w:tcBorders>
              <w:top w:val="nil"/>
              <w:left w:val="nil"/>
              <w:bottom w:val="single" w:sz="4" w:space="0" w:color="auto"/>
              <w:right w:val="single" w:sz="4" w:space="0" w:color="auto"/>
            </w:tcBorders>
            <w:shd w:val="clear" w:color="auto" w:fill="auto"/>
            <w:noWrap/>
            <w:vAlign w:val="bottom"/>
            <w:hideMark/>
          </w:tcPr>
          <w:p w14:paraId="5CEB47F5"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94.26%</w:t>
            </w:r>
          </w:p>
        </w:tc>
        <w:tc>
          <w:tcPr>
            <w:tcW w:w="925" w:type="dxa"/>
            <w:tcBorders>
              <w:top w:val="nil"/>
              <w:left w:val="nil"/>
              <w:bottom w:val="single" w:sz="4" w:space="0" w:color="auto"/>
              <w:right w:val="single" w:sz="4" w:space="0" w:color="auto"/>
            </w:tcBorders>
            <w:shd w:val="clear" w:color="auto" w:fill="auto"/>
            <w:noWrap/>
            <w:vAlign w:val="bottom"/>
            <w:hideMark/>
          </w:tcPr>
          <w:p w14:paraId="49346AFA"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1,032</w:t>
            </w:r>
          </w:p>
        </w:tc>
        <w:tc>
          <w:tcPr>
            <w:tcW w:w="1001" w:type="dxa"/>
            <w:tcBorders>
              <w:top w:val="nil"/>
              <w:left w:val="nil"/>
              <w:bottom w:val="single" w:sz="4" w:space="0" w:color="auto"/>
              <w:right w:val="single" w:sz="4" w:space="0" w:color="auto"/>
            </w:tcBorders>
            <w:shd w:val="clear" w:color="auto" w:fill="auto"/>
            <w:noWrap/>
            <w:vAlign w:val="bottom"/>
            <w:hideMark/>
          </w:tcPr>
          <w:p w14:paraId="7AF8E503"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1.23%</w:t>
            </w:r>
          </w:p>
        </w:tc>
        <w:tc>
          <w:tcPr>
            <w:tcW w:w="925" w:type="dxa"/>
            <w:tcBorders>
              <w:top w:val="nil"/>
              <w:left w:val="nil"/>
              <w:bottom w:val="single" w:sz="4" w:space="0" w:color="auto"/>
              <w:right w:val="single" w:sz="4" w:space="0" w:color="auto"/>
            </w:tcBorders>
            <w:shd w:val="clear" w:color="auto" w:fill="auto"/>
            <w:noWrap/>
            <w:vAlign w:val="bottom"/>
            <w:hideMark/>
          </w:tcPr>
          <w:p w14:paraId="3976AF62"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999</w:t>
            </w:r>
          </w:p>
        </w:tc>
        <w:tc>
          <w:tcPr>
            <w:tcW w:w="925" w:type="dxa"/>
            <w:tcBorders>
              <w:top w:val="nil"/>
              <w:left w:val="nil"/>
              <w:bottom w:val="single" w:sz="4" w:space="0" w:color="auto"/>
              <w:right w:val="single" w:sz="4" w:space="0" w:color="auto"/>
            </w:tcBorders>
            <w:shd w:val="clear" w:color="auto" w:fill="auto"/>
            <w:noWrap/>
            <w:vAlign w:val="bottom"/>
            <w:hideMark/>
          </w:tcPr>
          <w:p w14:paraId="19330FD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1.19%</w:t>
            </w:r>
          </w:p>
        </w:tc>
        <w:tc>
          <w:tcPr>
            <w:tcW w:w="925" w:type="dxa"/>
            <w:tcBorders>
              <w:top w:val="nil"/>
              <w:left w:val="nil"/>
              <w:bottom w:val="single" w:sz="4" w:space="0" w:color="auto"/>
              <w:right w:val="single" w:sz="4" w:space="0" w:color="auto"/>
            </w:tcBorders>
            <w:shd w:val="clear" w:color="auto" w:fill="auto"/>
            <w:noWrap/>
            <w:vAlign w:val="bottom"/>
            <w:hideMark/>
          </w:tcPr>
          <w:p w14:paraId="56F40273"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1,338</w:t>
            </w:r>
          </w:p>
        </w:tc>
        <w:tc>
          <w:tcPr>
            <w:tcW w:w="925" w:type="dxa"/>
            <w:tcBorders>
              <w:top w:val="nil"/>
              <w:left w:val="nil"/>
              <w:bottom w:val="single" w:sz="4" w:space="0" w:color="auto"/>
              <w:right w:val="single" w:sz="4" w:space="0" w:color="auto"/>
            </w:tcBorders>
            <w:shd w:val="clear" w:color="auto" w:fill="auto"/>
            <w:noWrap/>
            <w:vAlign w:val="bottom"/>
            <w:hideMark/>
          </w:tcPr>
          <w:p w14:paraId="6A0ED0F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1.59%</w:t>
            </w:r>
          </w:p>
        </w:tc>
      </w:tr>
      <w:tr w:rsidR="002E677A" w:rsidRPr="003153F6" w14:paraId="6188FF99" w14:textId="77777777" w:rsidTr="5F884969">
        <w:trPr>
          <w:trHeight w:val="503"/>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4892A7F6"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0-30% of AMI</w:t>
            </w:r>
          </w:p>
        </w:tc>
        <w:tc>
          <w:tcPr>
            <w:tcW w:w="947" w:type="dxa"/>
            <w:tcBorders>
              <w:top w:val="nil"/>
              <w:left w:val="nil"/>
              <w:bottom w:val="single" w:sz="4" w:space="0" w:color="auto"/>
              <w:right w:val="single" w:sz="4" w:space="0" w:color="auto"/>
            </w:tcBorders>
            <w:shd w:val="clear" w:color="auto" w:fill="auto"/>
            <w:noWrap/>
            <w:vAlign w:val="bottom"/>
            <w:hideMark/>
          </w:tcPr>
          <w:p w14:paraId="3D425D5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9,247</w:t>
            </w:r>
          </w:p>
        </w:tc>
        <w:tc>
          <w:tcPr>
            <w:tcW w:w="1001" w:type="dxa"/>
            <w:tcBorders>
              <w:top w:val="nil"/>
              <w:left w:val="nil"/>
              <w:bottom w:val="single" w:sz="4" w:space="0" w:color="auto"/>
              <w:right w:val="single" w:sz="4" w:space="0" w:color="auto"/>
            </w:tcBorders>
            <w:shd w:val="clear" w:color="auto" w:fill="auto"/>
            <w:noWrap/>
            <w:vAlign w:val="bottom"/>
            <w:hideMark/>
          </w:tcPr>
          <w:p w14:paraId="36038555"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89.40%</w:t>
            </w:r>
          </w:p>
        </w:tc>
        <w:tc>
          <w:tcPr>
            <w:tcW w:w="925" w:type="dxa"/>
            <w:tcBorders>
              <w:top w:val="nil"/>
              <w:left w:val="nil"/>
              <w:bottom w:val="single" w:sz="4" w:space="0" w:color="auto"/>
              <w:right w:val="single" w:sz="4" w:space="0" w:color="auto"/>
            </w:tcBorders>
            <w:shd w:val="clear" w:color="auto" w:fill="auto"/>
            <w:noWrap/>
            <w:vAlign w:val="bottom"/>
            <w:hideMark/>
          </w:tcPr>
          <w:p w14:paraId="401EE698"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245</w:t>
            </w:r>
          </w:p>
        </w:tc>
        <w:tc>
          <w:tcPr>
            <w:tcW w:w="1001" w:type="dxa"/>
            <w:tcBorders>
              <w:top w:val="nil"/>
              <w:left w:val="nil"/>
              <w:bottom w:val="single" w:sz="4" w:space="0" w:color="auto"/>
              <w:right w:val="single" w:sz="4" w:space="0" w:color="auto"/>
            </w:tcBorders>
            <w:shd w:val="clear" w:color="auto" w:fill="auto"/>
            <w:noWrap/>
            <w:vAlign w:val="bottom"/>
            <w:hideMark/>
          </w:tcPr>
          <w:p w14:paraId="7C81317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2.37%</w:t>
            </w:r>
          </w:p>
        </w:tc>
        <w:tc>
          <w:tcPr>
            <w:tcW w:w="925" w:type="dxa"/>
            <w:tcBorders>
              <w:top w:val="nil"/>
              <w:left w:val="nil"/>
              <w:bottom w:val="single" w:sz="4" w:space="0" w:color="auto"/>
              <w:right w:val="single" w:sz="4" w:space="0" w:color="auto"/>
            </w:tcBorders>
            <w:shd w:val="clear" w:color="auto" w:fill="auto"/>
            <w:noWrap/>
            <w:vAlign w:val="bottom"/>
            <w:hideMark/>
          </w:tcPr>
          <w:p w14:paraId="03531FFD"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152</w:t>
            </w:r>
          </w:p>
        </w:tc>
        <w:tc>
          <w:tcPr>
            <w:tcW w:w="925" w:type="dxa"/>
            <w:tcBorders>
              <w:top w:val="nil"/>
              <w:left w:val="nil"/>
              <w:bottom w:val="single" w:sz="4" w:space="0" w:color="auto"/>
              <w:right w:val="single" w:sz="4" w:space="0" w:color="auto"/>
            </w:tcBorders>
            <w:shd w:val="clear" w:color="auto" w:fill="auto"/>
            <w:noWrap/>
            <w:vAlign w:val="bottom"/>
            <w:hideMark/>
          </w:tcPr>
          <w:p w14:paraId="26FECF4E"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1.47%</w:t>
            </w:r>
          </w:p>
        </w:tc>
        <w:tc>
          <w:tcPr>
            <w:tcW w:w="925" w:type="dxa"/>
            <w:tcBorders>
              <w:top w:val="nil"/>
              <w:left w:val="nil"/>
              <w:bottom w:val="single" w:sz="4" w:space="0" w:color="auto"/>
              <w:right w:val="single" w:sz="4" w:space="0" w:color="auto"/>
            </w:tcBorders>
            <w:shd w:val="clear" w:color="auto" w:fill="auto"/>
            <w:noWrap/>
            <w:vAlign w:val="bottom"/>
            <w:hideMark/>
          </w:tcPr>
          <w:p w14:paraId="1863A521"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335</w:t>
            </w:r>
          </w:p>
        </w:tc>
        <w:tc>
          <w:tcPr>
            <w:tcW w:w="925" w:type="dxa"/>
            <w:tcBorders>
              <w:top w:val="nil"/>
              <w:left w:val="nil"/>
              <w:bottom w:val="single" w:sz="4" w:space="0" w:color="auto"/>
              <w:right w:val="single" w:sz="4" w:space="0" w:color="auto"/>
            </w:tcBorders>
            <w:shd w:val="clear" w:color="auto" w:fill="auto"/>
            <w:noWrap/>
            <w:vAlign w:val="bottom"/>
            <w:hideMark/>
          </w:tcPr>
          <w:p w14:paraId="41C29989"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3.24%</w:t>
            </w:r>
          </w:p>
        </w:tc>
      </w:tr>
      <w:tr w:rsidR="002E677A" w:rsidRPr="003153F6" w14:paraId="30983D8F" w14:textId="77777777" w:rsidTr="5F884969">
        <w:trPr>
          <w:trHeight w:val="503"/>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FC280D3"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0-50% of AMI</w:t>
            </w:r>
          </w:p>
        </w:tc>
        <w:tc>
          <w:tcPr>
            <w:tcW w:w="947" w:type="dxa"/>
            <w:tcBorders>
              <w:top w:val="nil"/>
              <w:left w:val="nil"/>
              <w:bottom w:val="single" w:sz="4" w:space="0" w:color="auto"/>
              <w:right w:val="single" w:sz="4" w:space="0" w:color="auto"/>
            </w:tcBorders>
            <w:shd w:val="clear" w:color="auto" w:fill="auto"/>
            <w:noWrap/>
            <w:vAlign w:val="bottom"/>
            <w:hideMark/>
          </w:tcPr>
          <w:p w14:paraId="43D4FC3D"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14,022</w:t>
            </w:r>
          </w:p>
        </w:tc>
        <w:tc>
          <w:tcPr>
            <w:tcW w:w="1001" w:type="dxa"/>
            <w:tcBorders>
              <w:top w:val="nil"/>
              <w:left w:val="nil"/>
              <w:bottom w:val="single" w:sz="4" w:space="0" w:color="auto"/>
              <w:right w:val="single" w:sz="4" w:space="0" w:color="auto"/>
            </w:tcBorders>
            <w:shd w:val="clear" w:color="auto" w:fill="auto"/>
            <w:noWrap/>
            <w:vAlign w:val="bottom"/>
            <w:hideMark/>
          </w:tcPr>
          <w:p w14:paraId="5CDD84FA"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74.83%</w:t>
            </w:r>
          </w:p>
        </w:tc>
        <w:tc>
          <w:tcPr>
            <w:tcW w:w="925" w:type="dxa"/>
            <w:tcBorders>
              <w:top w:val="nil"/>
              <w:left w:val="nil"/>
              <w:bottom w:val="single" w:sz="4" w:space="0" w:color="auto"/>
              <w:right w:val="single" w:sz="4" w:space="0" w:color="auto"/>
            </w:tcBorders>
            <w:shd w:val="clear" w:color="auto" w:fill="auto"/>
            <w:noWrap/>
            <w:vAlign w:val="bottom"/>
            <w:hideMark/>
          </w:tcPr>
          <w:p w14:paraId="39435C5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404</w:t>
            </w:r>
          </w:p>
        </w:tc>
        <w:tc>
          <w:tcPr>
            <w:tcW w:w="1001" w:type="dxa"/>
            <w:tcBorders>
              <w:top w:val="nil"/>
              <w:left w:val="nil"/>
              <w:bottom w:val="single" w:sz="4" w:space="0" w:color="auto"/>
              <w:right w:val="single" w:sz="4" w:space="0" w:color="auto"/>
            </w:tcBorders>
            <w:shd w:val="clear" w:color="auto" w:fill="auto"/>
            <w:noWrap/>
            <w:vAlign w:val="bottom"/>
            <w:hideMark/>
          </w:tcPr>
          <w:p w14:paraId="683A3033"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2.16%</w:t>
            </w:r>
          </w:p>
        </w:tc>
        <w:tc>
          <w:tcPr>
            <w:tcW w:w="925" w:type="dxa"/>
            <w:tcBorders>
              <w:top w:val="nil"/>
              <w:left w:val="nil"/>
              <w:bottom w:val="single" w:sz="4" w:space="0" w:color="auto"/>
              <w:right w:val="single" w:sz="4" w:space="0" w:color="auto"/>
            </w:tcBorders>
            <w:shd w:val="clear" w:color="auto" w:fill="auto"/>
            <w:noWrap/>
            <w:vAlign w:val="bottom"/>
            <w:hideMark/>
          </w:tcPr>
          <w:p w14:paraId="1B57F004"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302</w:t>
            </w:r>
          </w:p>
        </w:tc>
        <w:tc>
          <w:tcPr>
            <w:tcW w:w="925" w:type="dxa"/>
            <w:tcBorders>
              <w:top w:val="nil"/>
              <w:left w:val="nil"/>
              <w:bottom w:val="single" w:sz="4" w:space="0" w:color="auto"/>
              <w:right w:val="single" w:sz="4" w:space="0" w:color="auto"/>
            </w:tcBorders>
            <w:shd w:val="clear" w:color="auto" w:fill="auto"/>
            <w:noWrap/>
            <w:vAlign w:val="bottom"/>
            <w:hideMark/>
          </w:tcPr>
          <w:p w14:paraId="179F9AFA"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1.61%</w:t>
            </w:r>
          </w:p>
        </w:tc>
        <w:tc>
          <w:tcPr>
            <w:tcW w:w="925" w:type="dxa"/>
            <w:tcBorders>
              <w:top w:val="nil"/>
              <w:left w:val="nil"/>
              <w:bottom w:val="single" w:sz="4" w:space="0" w:color="auto"/>
              <w:right w:val="single" w:sz="4" w:space="0" w:color="auto"/>
            </w:tcBorders>
            <w:shd w:val="clear" w:color="auto" w:fill="auto"/>
            <w:noWrap/>
            <w:vAlign w:val="bottom"/>
            <w:hideMark/>
          </w:tcPr>
          <w:p w14:paraId="61093445"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580</w:t>
            </w:r>
          </w:p>
        </w:tc>
        <w:tc>
          <w:tcPr>
            <w:tcW w:w="925" w:type="dxa"/>
            <w:tcBorders>
              <w:top w:val="nil"/>
              <w:left w:val="nil"/>
              <w:bottom w:val="single" w:sz="4" w:space="0" w:color="auto"/>
              <w:right w:val="single" w:sz="4" w:space="0" w:color="auto"/>
            </w:tcBorders>
            <w:shd w:val="clear" w:color="auto" w:fill="auto"/>
            <w:noWrap/>
            <w:vAlign w:val="bottom"/>
            <w:hideMark/>
          </w:tcPr>
          <w:p w14:paraId="392737E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3.10%</w:t>
            </w:r>
          </w:p>
        </w:tc>
      </w:tr>
      <w:tr w:rsidR="002E677A" w:rsidRPr="003153F6" w14:paraId="6145EB07" w14:textId="77777777" w:rsidTr="5F884969">
        <w:trPr>
          <w:trHeight w:val="503"/>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B7E69F8" w14:textId="77777777" w:rsidR="002E677A" w:rsidRPr="003153F6"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0-80% of AMI</w:t>
            </w:r>
          </w:p>
        </w:tc>
        <w:tc>
          <w:tcPr>
            <w:tcW w:w="947" w:type="dxa"/>
            <w:tcBorders>
              <w:top w:val="nil"/>
              <w:left w:val="nil"/>
              <w:bottom w:val="single" w:sz="4" w:space="0" w:color="auto"/>
              <w:right w:val="single" w:sz="4" w:space="0" w:color="auto"/>
            </w:tcBorders>
            <w:shd w:val="clear" w:color="auto" w:fill="auto"/>
            <w:noWrap/>
            <w:vAlign w:val="bottom"/>
            <w:hideMark/>
          </w:tcPr>
          <w:p w14:paraId="1BB432D3"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26,942</w:t>
            </w:r>
          </w:p>
        </w:tc>
        <w:tc>
          <w:tcPr>
            <w:tcW w:w="1001" w:type="dxa"/>
            <w:tcBorders>
              <w:top w:val="nil"/>
              <w:left w:val="nil"/>
              <w:bottom w:val="single" w:sz="4" w:space="0" w:color="auto"/>
              <w:right w:val="single" w:sz="4" w:space="0" w:color="auto"/>
            </w:tcBorders>
            <w:shd w:val="clear" w:color="auto" w:fill="auto"/>
            <w:noWrap/>
            <w:vAlign w:val="bottom"/>
            <w:hideMark/>
          </w:tcPr>
          <w:p w14:paraId="6B0E996C"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82.90%</w:t>
            </w:r>
          </w:p>
        </w:tc>
        <w:tc>
          <w:tcPr>
            <w:tcW w:w="925" w:type="dxa"/>
            <w:tcBorders>
              <w:top w:val="nil"/>
              <w:left w:val="nil"/>
              <w:bottom w:val="single" w:sz="4" w:space="0" w:color="auto"/>
              <w:right w:val="single" w:sz="4" w:space="0" w:color="auto"/>
            </w:tcBorders>
            <w:shd w:val="clear" w:color="auto" w:fill="auto"/>
            <w:noWrap/>
            <w:vAlign w:val="bottom"/>
            <w:hideMark/>
          </w:tcPr>
          <w:p w14:paraId="2A20BD18"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564</w:t>
            </w:r>
          </w:p>
        </w:tc>
        <w:tc>
          <w:tcPr>
            <w:tcW w:w="1001" w:type="dxa"/>
            <w:tcBorders>
              <w:top w:val="nil"/>
              <w:left w:val="nil"/>
              <w:bottom w:val="single" w:sz="4" w:space="0" w:color="auto"/>
              <w:right w:val="single" w:sz="4" w:space="0" w:color="auto"/>
            </w:tcBorders>
            <w:shd w:val="clear" w:color="auto" w:fill="auto"/>
            <w:noWrap/>
            <w:vAlign w:val="bottom"/>
            <w:hideMark/>
          </w:tcPr>
          <w:p w14:paraId="45031B1C"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1.74%</w:t>
            </w:r>
          </w:p>
        </w:tc>
        <w:tc>
          <w:tcPr>
            <w:tcW w:w="925" w:type="dxa"/>
            <w:tcBorders>
              <w:top w:val="nil"/>
              <w:left w:val="nil"/>
              <w:bottom w:val="single" w:sz="4" w:space="0" w:color="auto"/>
              <w:right w:val="single" w:sz="4" w:space="0" w:color="auto"/>
            </w:tcBorders>
            <w:shd w:val="clear" w:color="auto" w:fill="auto"/>
            <w:noWrap/>
            <w:vAlign w:val="bottom"/>
            <w:hideMark/>
          </w:tcPr>
          <w:p w14:paraId="2333CF66"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500</w:t>
            </w:r>
          </w:p>
        </w:tc>
        <w:tc>
          <w:tcPr>
            <w:tcW w:w="925" w:type="dxa"/>
            <w:tcBorders>
              <w:top w:val="nil"/>
              <w:left w:val="nil"/>
              <w:bottom w:val="single" w:sz="4" w:space="0" w:color="auto"/>
              <w:right w:val="single" w:sz="4" w:space="0" w:color="auto"/>
            </w:tcBorders>
            <w:shd w:val="clear" w:color="auto" w:fill="auto"/>
            <w:noWrap/>
            <w:vAlign w:val="bottom"/>
            <w:hideMark/>
          </w:tcPr>
          <w:p w14:paraId="15A847CF"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1.54%</w:t>
            </w:r>
          </w:p>
        </w:tc>
        <w:tc>
          <w:tcPr>
            <w:tcW w:w="925" w:type="dxa"/>
            <w:tcBorders>
              <w:top w:val="nil"/>
              <w:left w:val="nil"/>
              <w:bottom w:val="single" w:sz="4" w:space="0" w:color="auto"/>
              <w:right w:val="single" w:sz="4" w:space="0" w:color="auto"/>
            </w:tcBorders>
            <w:shd w:val="clear" w:color="auto" w:fill="auto"/>
            <w:noWrap/>
            <w:vAlign w:val="bottom"/>
            <w:hideMark/>
          </w:tcPr>
          <w:p w14:paraId="73D79C2C"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794</w:t>
            </w:r>
          </w:p>
        </w:tc>
        <w:tc>
          <w:tcPr>
            <w:tcW w:w="925" w:type="dxa"/>
            <w:tcBorders>
              <w:top w:val="nil"/>
              <w:left w:val="nil"/>
              <w:bottom w:val="single" w:sz="4" w:space="0" w:color="auto"/>
              <w:right w:val="single" w:sz="4" w:space="0" w:color="auto"/>
            </w:tcBorders>
            <w:shd w:val="clear" w:color="auto" w:fill="auto"/>
            <w:noWrap/>
            <w:vAlign w:val="bottom"/>
            <w:hideMark/>
          </w:tcPr>
          <w:p w14:paraId="318F4B3B" w14:textId="77777777" w:rsidR="002E677A" w:rsidRPr="003153F6"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2.44%</w:t>
            </w:r>
          </w:p>
        </w:tc>
      </w:tr>
    </w:tbl>
    <w:p w14:paraId="43313BBC" w14:textId="6E73FA45" w:rsidR="003D04D6" w:rsidRPr="0011254E" w:rsidRDefault="5F884969" w:rsidP="002C6999">
      <w:pPr>
        <w:spacing w:after="240" w:line="240" w:lineRule="auto"/>
        <w:rPr>
          <w:b/>
          <w:bCs/>
          <w:i/>
        </w:rPr>
      </w:pPr>
      <w:r w:rsidRPr="0011254E">
        <w:rPr>
          <w:b/>
          <w:bCs/>
          <w:i/>
        </w:rPr>
        <w:t>Compare the racial/ethnic demographics of each program category of publicly supported housing for the jurisdiction to the demographics of the same program category in the region.</w:t>
      </w:r>
    </w:p>
    <w:p w14:paraId="075E6B77" w14:textId="7E7EC828" w:rsidR="00F235E1" w:rsidRPr="0011254E" w:rsidRDefault="00803D6A" w:rsidP="003418CC">
      <w:pPr>
        <w:spacing w:after="240" w:line="240" w:lineRule="auto"/>
        <w:rPr>
          <w:bCs/>
          <w:iCs/>
        </w:rPr>
      </w:pPr>
      <w:r w:rsidRPr="004F06F5">
        <w:rPr>
          <w:bCs/>
          <w:iCs/>
        </w:rPr>
        <w:t xml:space="preserve">In comparing the racial demographics </w:t>
      </w:r>
      <w:r w:rsidR="004F06F5" w:rsidRPr="004F06F5">
        <w:rPr>
          <w:bCs/>
          <w:iCs/>
        </w:rPr>
        <w:t>of housing authority residents versus that of t</w:t>
      </w:r>
      <w:r w:rsidR="00D7679C">
        <w:rPr>
          <w:bCs/>
          <w:iCs/>
        </w:rPr>
        <w:t>he general population, there exists a higher percentage of non-White populations in both managed properties as well as voucher holders as comp</w:t>
      </w:r>
      <w:r w:rsidR="00297A4C">
        <w:rPr>
          <w:bCs/>
          <w:iCs/>
        </w:rPr>
        <w:t>ared to the general population in both the Jurisdiction and the Region.</w:t>
      </w:r>
    </w:p>
    <w:p w14:paraId="1E159D72" w14:textId="3488BFFC" w:rsidR="00F235E1" w:rsidRPr="00734033" w:rsidRDefault="00F235E1" w:rsidP="00F235E1">
      <w:pPr>
        <w:spacing w:after="0" w:line="240" w:lineRule="auto"/>
        <w:ind w:left="360"/>
        <w:outlineLvl w:val="0"/>
        <w:rPr>
          <w:sz w:val="20"/>
          <w:szCs w:val="20"/>
        </w:rPr>
      </w:pPr>
      <w:r>
        <w:rPr>
          <w:b/>
          <w:i/>
          <w:sz w:val="20"/>
          <w:szCs w:val="20"/>
        </w:rPr>
        <w:t>Table</w:t>
      </w:r>
      <w:r w:rsidR="00D5289B">
        <w:rPr>
          <w:b/>
          <w:i/>
          <w:sz w:val="20"/>
          <w:szCs w:val="20"/>
        </w:rPr>
        <w:t xml:space="preserve"> </w:t>
      </w:r>
      <w:proofErr w:type="gramStart"/>
      <w:r w:rsidR="00D5289B">
        <w:rPr>
          <w:b/>
          <w:i/>
          <w:sz w:val="20"/>
          <w:szCs w:val="20"/>
        </w:rPr>
        <w:t>23</w:t>
      </w:r>
      <w:r>
        <w:rPr>
          <w:b/>
          <w:i/>
          <w:sz w:val="20"/>
          <w:szCs w:val="20"/>
        </w:rPr>
        <w:t xml:space="preserve"> </w:t>
      </w:r>
      <w:r w:rsidRPr="00734033">
        <w:rPr>
          <w:b/>
          <w:i/>
          <w:sz w:val="20"/>
          <w:szCs w:val="20"/>
        </w:rPr>
        <w:t>:</w:t>
      </w:r>
      <w:proofErr w:type="gramEnd"/>
      <w:r w:rsidRPr="00734033">
        <w:rPr>
          <w:b/>
          <w:sz w:val="20"/>
          <w:szCs w:val="20"/>
        </w:rPr>
        <w:t xml:space="preserve"> </w:t>
      </w:r>
      <w:r w:rsidRPr="00F235E1">
        <w:rPr>
          <w:sz w:val="20"/>
          <w:szCs w:val="20"/>
        </w:rPr>
        <w:t>Demographics of Publicly Supported Housing Developments, by Program Category</w:t>
      </w:r>
      <w:r w:rsidR="00227669">
        <w:rPr>
          <w:sz w:val="20"/>
          <w:szCs w:val="20"/>
        </w:rPr>
        <w:t xml:space="preserve"> in Burlingto</w:t>
      </w:r>
      <w:r>
        <w:rPr>
          <w:sz w:val="20"/>
          <w:szCs w:val="20"/>
        </w:rPr>
        <w:t>n, VT. Source: ASPH.</w:t>
      </w:r>
    </w:p>
    <w:tbl>
      <w:tblPr>
        <w:tblW w:w="10362" w:type="dxa"/>
        <w:tblLook w:val="04A0" w:firstRow="1" w:lastRow="0" w:firstColumn="1" w:lastColumn="0" w:noHBand="0" w:noVBand="1"/>
      </w:tblPr>
      <w:tblGrid>
        <w:gridCol w:w="2065"/>
        <w:gridCol w:w="796"/>
        <w:gridCol w:w="1019"/>
        <w:gridCol w:w="933"/>
        <w:gridCol w:w="1039"/>
        <w:gridCol w:w="938"/>
        <w:gridCol w:w="1324"/>
        <w:gridCol w:w="962"/>
        <w:gridCol w:w="1286"/>
      </w:tblGrid>
      <w:tr w:rsidR="00F235E1" w:rsidRPr="00F235E1" w14:paraId="33DC5750" w14:textId="77777777" w:rsidTr="00F235E1">
        <w:trPr>
          <w:trHeight w:val="420"/>
        </w:trPr>
        <w:tc>
          <w:tcPr>
            <w:tcW w:w="10362" w:type="dxa"/>
            <w:gridSpan w:val="9"/>
            <w:tcBorders>
              <w:top w:val="single" w:sz="4" w:space="0" w:color="auto"/>
              <w:left w:val="single" w:sz="4" w:space="0" w:color="auto"/>
              <w:bottom w:val="single" w:sz="4" w:space="0" w:color="auto"/>
              <w:right w:val="single" w:sz="4" w:space="0" w:color="auto"/>
            </w:tcBorders>
            <w:shd w:val="clear" w:color="auto" w:fill="auto"/>
            <w:hideMark/>
          </w:tcPr>
          <w:p w14:paraId="3A5D99A6"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Project-Based Section 8</w:t>
            </w:r>
          </w:p>
        </w:tc>
      </w:tr>
      <w:tr w:rsidR="00F235E1" w:rsidRPr="00F235E1" w14:paraId="6DD31801" w14:textId="77777777" w:rsidTr="00F235E1">
        <w:trPr>
          <w:trHeight w:val="420"/>
        </w:trPr>
        <w:tc>
          <w:tcPr>
            <w:tcW w:w="10362" w:type="dxa"/>
            <w:gridSpan w:val="9"/>
            <w:tcBorders>
              <w:top w:val="single" w:sz="4" w:space="0" w:color="auto"/>
              <w:left w:val="single" w:sz="4" w:space="0" w:color="auto"/>
              <w:bottom w:val="single" w:sz="4" w:space="0" w:color="auto"/>
              <w:right w:val="single" w:sz="4" w:space="0" w:color="auto"/>
            </w:tcBorders>
            <w:shd w:val="clear" w:color="auto" w:fill="auto"/>
            <w:hideMark/>
          </w:tcPr>
          <w:p w14:paraId="270E6205"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(Burlington, VT CDBG) Jurisdiction</w:t>
            </w:r>
          </w:p>
        </w:tc>
      </w:tr>
      <w:tr w:rsidR="00F235E1" w:rsidRPr="00F235E1" w14:paraId="3D658D46" w14:textId="77777777" w:rsidTr="00F235E1">
        <w:trPr>
          <w:trHeight w:val="820"/>
        </w:trPr>
        <w:tc>
          <w:tcPr>
            <w:tcW w:w="2065" w:type="dxa"/>
            <w:tcBorders>
              <w:top w:val="nil"/>
              <w:left w:val="single" w:sz="4" w:space="0" w:color="auto"/>
              <w:bottom w:val="single" w:sz="4" w:space="0" w:color="auto"/>
              <w:right w:val="single" w:sz="4" w:space="0" w:color="auto"/>
            </w:tcBorders>
            <w:shd w:val="clear" w:color="000000" w:fill="DCE6F1"/>
            <w:hideMark/>
          </w:tcPr>
          <w:p w14:paraId="564CD56C"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Development Name</w:t>
            </w:r>
          </w:p>
        </w:tc>
        <w:tc>
          <w:tcPr>
            <w:tcW w:w="796" w:type="dxa"/>
            <w:tcBorders>
              <w:top w:val="nil"/>
              <w:left w:val="nil"/>
              <w:bottom w:val="single" w:sz="4" w:space="0" w:color="auto"/>
              <w:right w:val="single" w:sz="4" w:space="0" w:color="auto"/>
            </w:tcBorders>
            <w:shd w:val="clear" w:color="000000" w:fill="DCE6F1"/>
            <w:hideMark/>
          </w:tcPr>
          <w:p w14:paraId="5CA48233"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PHA Code</w:t>
            </w:r>
          </w:p>
        </w:tc>
        <w:tc>
          <w:tcPr>
            <w:tcW w:w="1019" w:type="dxa"/>
            <w:tcBorders>
              <w:top w:val="nil"/>
              <w:left w:val="nil"/>
              <w:bottom w:val="single" w:sz="4" w:space="0" w:color="auto"/>
              <w:right w:val="single" w:sz="4" w:space="0" w:color="auto"/>
            </w:tcBorders>
            <w:shd w:val="clear" w:color="000000" w:fill="DCE6F1"/>
            <w:hideMark/>
          </w:tcPr>
          <w:p w14:paraId="2E23C2EF"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PHA Name</w:t>
            </w:r>
          </w:p>
        </w:tc>
        <w:tc>
          <w:tcPr>
            <w:tcW w:w="933" w:type="dxa"/>
            <w:tcBorders>
              <w:top w:val="nil"/>
              <w:left w:val="nil"/>
              <w:bottom w:val="single" w:sz="4" w:space="0" w:color="auto"/>
              <w:right w:val="single" w:sz="4" w:space="0" w:color="auto"/>
            </w:tcBorders>
            <w:shd w:val="clear" w:color="000000" w:fill="DCE6F1"/>
            <w:hideMark/>
          </w:tcPr>
          <w:p w14:paraId="2CFA0D96"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 Units</w:t>
            </w:r>
          </w:p>
        </w:tc>
        <w:tc>
          <w:tcPr>
            <w:tcW w:w="1039" w:type="dxa"/>
            <w:tcBorders>
              <w:top w:val="nil"/>
              <w:left w:val="nil"/>
              <w:bottom w:val="single" w:sz="4" w:space="0" w:color="auto"/>
              <w:right w:val="single" w:sz="4" w:space="0" w:color="auto"/>
            </w:tcBorders>
            <w:shd w:val="clear" w:color="000000" w:fill="DCE6F1"/>
            <w:hideMark/>
          </w:tcPr>
          <w:p w14:paraId="0FE80744"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White</w:t>
            </w:r>
          </w:p>
        </w:tc>
        <w:tc>
          <w:tcPr>
            <w:tcW w:w="938" w:type="dxa"/>
            <w:tcBorders>
              <w:top w:val="nil"/>
              <w:left w:val="nil"/>
              <w:bottom w:val="single" w:sz="4" w:space="0" w:color="auto"/>
              <w:right w:val="single" w:sz="4" w:space="0" w:color="auto"/>
            </w:tcBorders>
            <w:shd w:val="clear" w:color="000000" w:fill="DCE6F1"/>
            <w:hideMark/>
          </w:tcPr>
          <w:p w14:paraId="536B7206"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Black</w:t>
            </w:r>
          </w:p>
        </w:tc>
        <w:tc>
          <w:tcPr>
            <w:tcW w:w="1324" w:type="dxa"/>
            <w:tcBorders>
              <w:top w:val="nil"/>
              <w:left w:val="nil"/>
              <w:bottom w:val="single" w:sz="4" w:space="0" w:color="auto"/>
              <w:right w:val="single" w:sz="4" w:space="0" w:color="auto"/>
            </w:tcBorders>
            <w:shd w:val="clear" w:color="000000" w:fill="DCE6F1"/>
            <w:hideMark/>
          </w:tcPr>
          <w:p w14:paraId="5C024478"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Hispanic</w:t>
            </w:r>
          </w:p>
        </w:tc>
        <w:tc>
          <w:tcPr>
            <w:tcW w:w="962" w:type="dxa"/>
            <w:tcBorders>
              <w:top w:val="nil"/>
              <w:left w:val="nil"/>
              <w:bottom w:val="single" w:sz="4" w:space="0" w:color="auto"/>
              <w:right w:val="single" w:sz="4" w:space="0" w:color="auto"/>
            </w:tcBorders>
            <w:shd w:val="clear" w:color="000000" w:fill="DCE6F1"/>
            <w:hideMark/>
          </w:tcPr>
          <w:p w14:paraId="5E0985D6"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Asian</w:t>
            </w:r>
          </w:p>
        </w:tc>
        <w:tc>
          <w:tcPr>
            <w:tcW w:w="1286" w:type="dxa"/>
            <w:tcBorders>
              <w:top w:val="nil"/>
              <w:left w:val="nil"/>
              <w:bottom w:val="single" w:sz="4" w:space="0" w:color="auto"/>
              <w:right w:val="single" w:sz="4" w:space="0" w:color="auto"/>
            </w:tcBorders>
            <w:shd w:val="clear" w:color="000000" w:fill="DCE6F1"/>
            <w:hideMark/>
          </w:tcPr>
          <w:p w14:paraId="2E603F35"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Households with Children</w:t>
            </w:r>
          </w:p>
        </w:tc>
      </w:tr>
      <w:tr w:rsidR="00F235E1" w:rsidRPr="00F235E1" w14:paraId="5FDA64B9"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7BE99908"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Lake Champlain Apartments</w:t>
            </w:r>
          </w:p>
        </w:tc>
        <w:tc>
          <w:tcPr>
            <w:tcW w:w="796" w:type="dxa"/>
            <w:tcBorders>
              <w:top w:val="nil"/>
              <w:left w:val="nil"/>
              <w:bottom w:val="single" w:sz="4" w:space="0" w:color="auto"/>
              <w:right w:val="single" w:sz="4" w:space="0" w:color="auto"/>
            </w:tcBorders>
            <w:shd w:val="clear" w:color="auto" w:fill="auto"/>
            <w:noWrap/>
            <w:hideMark/>
          </w:tcPr>
          <w:p w14:paraId="4BA0C99B"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72632954"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61357C8A"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43</w:t>
            </w:r>
          </w:p>
        </w:tc>
        <w:tc>
          <w:tcPr>
            <w:tcW w:w="1039" w:type="dxa"/>
            <w:tcBorders>
              <w:top w:val="nil"/>
              <w:left w:val="nil"/>
              <w:bottom w:val="single" w:sz="4" w:space="0" w:color="auto"/>
              <w:right w:val="single" w:sz="4" w:space="0" w:color="auto"/>
            </w:tcBorders>
            <w:shd w:val="clear" w:color="auto" w:fill="auto"/>
            <w:noWrap/>
            <w:hideMark/>
          </w:tcPr>
          <w:p w14:paraId="5BF7B23E"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57%</w:t>
            </w:r>
          </w:p>
        </w:tc>
        <w:tc>
          <w:tcPr>
            <w:tcW w:w="938" w:type="dxa"/>
            <w:tcBorders>
              <w:top w:val="nil"/>
              <w:left w:val="nil"/>
              <w:bottom w:val="single" w:sz="4" w:space="0" w:color="auto"/>
              <w:right w:val="single" w:sz="4" w:space="0" w:color="auto"/>
            </w:tcBorders>
            <w:shd w:val="clear" w:color="auto" w:fill="auto"/>
            <w:noWrap/>
            <w:hideMark/>
          </w:tcPr>
          <w:p w14:paraId="487DD4E2"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17%</w:t>
            </w:r>
          </w:p>
        </w:tc>
        <w:tc>
          <w:tcPr>
            <w:tcW w:w="1324" w:type="dxa"/>
            <w:tcBorders>
              <w:top w:val="nil"/>
              <w:left w:val="nil"/>
              <w:bottom w:val="single" w:sz="4" w:space="0" w:color="auto"/>
              <w:right w:val="single" w:sz="4" w:space="0" w:color="auto"/>
            </w:tcBorders>
            <w:shd w:val="clear" w:color="auto" w:fill="auto"/>
            <w:noWrap/>
            <w:hideMark/>
          </w:tcPr>
          <w:p w14:paraId="1E5CAC35"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w:t>
            </w:r>
          </w:p>
        </w:tc>
        <w:tc>
          <w:tcPr>
            <w:tcW w:w="962" w:type="dxa"/>
            <w:tcBorders>
              <w:top w:val="nil"/>
              <w:left w:val="nil"/>
              <w:bottom w:val="single" w:sz="4" w:space="0" w:color="auto"/>
              <w:right w:val="single" w:sz="4" w:space="0" w:color="auto"/>
            </w:tcBorders>
            <w:shd w:val="clear" w:color="auto" w:fill="auto"/>
            <w:noWrap/>
            <w:hideMark/>
          </w:tcPr>
          <w:p w14:paraId="64473961"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24%</w:t>
            </w:r>
          </w:p>
        </w:tc>
        <w:tc>
          <w:tcPr>
            <w:tcW w:w="1286" w:type="dxa"/>
            <w:tcBorders>
              <w:top w:val="nil"/>
              <w:left w:val="nil"/>
              <w:bottom w:val="single" w:sz="4" w:space="0" w:color="auto"/>
              <w:right w:val="single" w:sz="4" w:space="0" w:color="auto"/>
            </w:tcBorders>
            <w:shd w:val="clear" w:color="auto" w:fill="auto"/>
            <w:noWrap/>
            <w:hideMark/>
          </w:tcPr>
          <w:p w14:paraId="1B712D0F"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64%</w:t>
            </w:r>
          </w:p>
        </w:tc>
      </w:tr>
      <w:tr w:rsidR="00F235E1" w:rsidRPr="00F235E1" w14:paraId="18FB5299"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585709F6"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Peterson Place Apartments</w:t>
            </w:r>
          </w:p>
        </w:tc>
        <w:tc>
          <w:tcPr>
            <w:tcW w:w="796" w:type="dxa"/>
            <w:tcBorders>
              <w:top w:val="nil"/>
              <w:left w:val="nil"/>
              <w:bottom w:val="single" w:sz="4" w:space="0" w:color="auto"/>
              <w:right w:val="single" w:sz="4" w:space="0" w:color="auto"/>
            </w:tcBorders>
            <w:shd w:val="clear" w:color="auto" w:fill="auto"/>
            <w:noWrap/>
            <w:hideMark/>
          </w:tcPr>
          <w:p w14:paraId="1E260CC5"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34C49259"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742F1D52"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13</w:t>
            </w:r>
          </w:p>
        </w:tc>
        <w:tc>
          <w:tcPr>
            <w:tcW w:w="1039" w:type="dxa"/>
            <w:tcBorders>
              <w:top w:val="nil"/>
              <w:left w:val="nil"/>
              <w:bottom w:val="single" w:sz="4" w:space="0" w:color="auto"/>
              <w:right w:val="single" w:sz="4" w:space="0" w:color="auto"/>
            </w:tcBorders>
            <w:shd w:val="clear" w:color="auto" w:fill="auto"/>
            <w:noWrap/>
            <w:hideMark/>
          </w:tcPr>
          <w:p w14:paraId="4E84CD72"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58%</w:t>
            </w:r>
          </w:p>
        </w:tc>
        <w:tc>
          <w:tcPr>
            <w:tcW w:w="938" w:type="dxa"/>
            <w:tcBorders>
              <w:top w:val="nil"/>
              <w:left w:val="nil"/>
              <w:bottom w:val="single" w:sz="4" w:space="0" w:color="auto"/>
              <w:right w:val="single" w:sz="4" w:space="0" w:color="auto"/>
            </w:tcBorders>
            <w:shd w:val="clear" w:color="auto" w:fill="auto"/>
            <w:noWrap/>
            <w:hideMark/>
          </w:tcPr>
          <w:p w14:paraId="57CA7597"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33%</w:t>
            </w:r>
          </w:p>
        </w:tc>
        <w:tc>
          <w:tcPr>
            <w:tcW w:w="1324" w:type="dxa"/>
            <w:tcBorders>
              <w:top w:val="nil"/>
              <w:left w:val="nil"/>
              <w:bottom w:val="single" w:sz="4" w:space="0" w:color="auto"/>
              <w:right w:val="single" w:sz="4" w:space="0" w:color="auto"/>
            </w:tcBorders>
            <w:shd w:val="clear" w:color="auto" w:fill="auto"/>
            <w:noWrap/>
            <w:hideMark/>
          </w:tcPr>
          <w:p w14:paraId="0D0E0045"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0%</w:t>
            </w:r>
          </w:p>
        </w:tc>
        <w:tc>
          <w:tcPr>
            <w:tcW w:w="962" w:type="dxa"/>
            <w:tcBorders>
              <w:top w:val="nil"/>
              <w:left w:val="nil"/>
              <w:bottom w:val="single" w:sz="4" w:space="0" w:color="auto"/>
              <w:right w:val="single" w:sz="4" w:space="0" w:color="auto"/>
            </w:tcBorders>
            <w:shd w:val="clear" w:color="auto" w:fill="auto"/>
            <w:noWrap/>
            <w:hideMark/>
          </w:tcPr>
          <w:p w14:paraId="6D2D0572"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8%</w:t>
            </w:r>
          </w:p>
        </w:tc>
        <w:tc>
          <w:tcPr>
            <w:tcW w:w="1286" w:type="dxa"/>
            <w:tcBorders>
              <w:top w:val="nil"/>
              <w:left w:val="nil"/>
              <w:bottom w:val="single" w:sz="4" w:space="0" w:color="auto"/>
              <w:right w:val="single" w:sz="4" w:space="0" w:color="auto"/>
            </w:tcBorders>
            <w:shd w:val="clear" w:color="auto" w:fill="auto"/>
            <w:noWrap/>
            <w:hideMark/>
          </w:tcPr>
          <w:p w14:paraId="7336D0F6"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75%</w:t>
            </w:r>
          </w:p>
        </w:tc>
      </w:tr>
      <w:tr w:rsidR="00F235E1" w:rsidRPr="00F235E1" w14:paraId="4B3ACDD4"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7C9C7A57" w14:textId="77777777" w:rsidR="00F235E1" w:rsidRPr="00F235E1" w:rsidRDefault="00F235E1" w:rsidP="00F235E1">
            <w:pPr>
              <w:spacing w:after="0" w:line="240" w:lineRule="auto"/>
              <w:rPr>
                <w:rFonts w:ascii="Calibri" w:eastAsia="Times New Roman" w:hAnsi="Calibri" w:cs="Times New Roman"/>
                <w:color w:val="000000"/>
                <w:lang w:eastAsia="en-US"/>
              </w:rPr>
            </w:pPr>
            <w:proofErr w:type="spellStart"/>
            <w:r w:rsidRPr="00F235E1">
              <w:rPr>
                <w:rFonts w:ascii="Calibri" w:eastAsia="Times New Roman" w:hAnsi="Calibri" w:cs="Times New Roman"/>
                <w:color w:val="000000"/>
                <w:lang w:eastAsia="en-US"/>
              </w:rPr>
              <w:t>Mckenzie</w:t>
            </w:r>
            <w:proofErr w:type="spellEnd"/>
            <w:r w:rsidRPr="00F235E1">
              <w:rPr>
                <w:rFonts w:ascii="Calibri" w:eastAsia="Times New Roman" w:hAnsi="Calibri" w:cs="Times New Roman"/>
                <w:color w:val="000000"/>
                <w:lang w:eastAsia="en-US"/>
              </w:rPr>
              <w:t xml:space="preserve"> House</w:t>
            </w:r>
          </w:p>
        </w:tc>
        <w:tc>
          <w:tcPr>
            <w:tcW w:w="796" w:type="dxa"/>
            <w:tcBorders>
              <w:top w:val="nil"/>
              <w:left w:val="nil"/>
              <w:bottom w:val="single" w:sz="4" w:space="0" w:color="auto"/>
              <w:right w:val="single" w:sz="4" w:space="0" w:color="auto"/>
            </w:tcBorders>
            <w:shd w:val="clear" w:color="auto" w:fill="auto"/>
            <w:noWrap/>
            <w:hideMark/>
          </w:tcPr>
          <w:p w14:paraId="1A0E55BE"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32FC107F"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0B11B401"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41</w:t>
            </w:r>
          </w:p>
        </w:tc>
        <w:tc>
          <w:tcPr>
            <w:tcW w:w="1039" w:type="dxa"/>
            <w:tcBorders>
              <w:top w:val="nil"/>
              <w:left w:val="nil"/>
              <w:bottom w:val="single" w:sz="4" w:space="0" w:color="auto"/>
              <w:right w:val="single" w:sz="4" w:space="0" w:color="auto"/>
            </w:tcBorders>
            <w:shd w:val="clear" w:color="auto" w:fill="auto"/>
            <w:noWrap/>
            <w:hideMark/>
          </w:tcPr>
          <w:p w14:paraId="41333200"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93%</w:t>
            </w:r>
          </w:p>
        </w:tc>
        <w:tc>
          <w:tcPr>
            <w:tcW w:w="938" w:type="dxa"/>
            <w:tcBorders>
              <w:top w:val="nil"/>
              <w:left w:val="nil"/>
              <w:bottom w:val="single" w:sz="4" w:space="0" w:color="auto"/>
              <w:right w:val="single" w:sz="4" w:space="0" w:color="auto"/>
            </w:tcBorders>
            <w:shd w:val="clear" w:color="auto" w:fill="auto"/>
            <w:noWrap/>
            <w:hideMark/>
          </w:tcPr>
          <w:p w14:paraId="64120735"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5%</w:t>
            </w:r>
          </w:p>
        </w:tc>
        <w:tc>
          <w:tcPr>
            <w:tcW w:w="1324" w:type="dxa"/>
            <w:tcBorders>
              <w:top w:val="nil"/>
              <w:left w:val="nil"/>
              <w:bottom w:val="single" w:sz="4" w:space="0" w:color="auto"/>
              <w:right w:val="single" w:sz="4" w:space="0" w:color="auto"/>
            </w:tcBorders>
            <w:shd w:val="clear" w:color="auto" w:fill="auto"/>
            <w:noWrap/>
            <w:hideMark/>
          </w:tcPr>
          <w:p w14:paraId="22AB7AF6"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0%</w:t>
            </w:r>
          </w:p>
        </w:tc>
        <w:tc>
          <w:tcPr>
            <w:tcW w:w="962" w:type="dxa"/>
            <w:tcBorders>
              <w:top w:val="nil"/>
              <w:left w:val="nil"/>
              <w:bottom w:val="single" w:sz="4" w:space="0" w:color="auto"/>
              <w:right w:val="single" w:sz="4" w:space="0" w:color="auto"/>
            </w:tcBorders>
            <w:shd w:val="clear" w:color="auto" w:fill="auto"/>
            <w:noWrap/>
            <w:hideMark/>
          </w:tcPr>
          <w:p w14:paraId="2798E8C4"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w:t>
            </w:r>
          </w:p>
        </w:tc>
        <w:tc>
          <w:tcPr>
            <w:tcW w:w="1286" w:type="dxa"/>
            <w:tcBorders>
              <w:top w:val="nil"/>
              <w:left w:val="nil"/>
              <w:bottom w:val="single" w:sz="4" w:space="0" w:color="auto"/>
              <w:right w:val="single" w:sz="4" w:space="0" w:color="auto"/>
            </w:tcBorders>
            <w:shd w:val="clear" w:color="auto" w:fill="auto"/>
            <w:noWrap/>
            <w:hideMark/>
          </w:tcPr>
          <w:p w14:paraId="30265FED"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4%</w:t>
            </w:r>
          </w:p>
        </w:tc>
      </w:tr>
      <w:tr w:rsidR="00F235E1" w:rsidRPr="00F235E1" w14:paraId="34405530"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29F729D7"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Wharf Lane</w:t>
            </w:r>
          </w:p>
        </w:tc>
        <w:tc>
          <w:tcPr>
            <w:tcW w:w="796" w:type="dxa"/>
            <w:tcBorders>
              <w:top w:val="nil"/>
              <w:left w:val="nil"/>
              <w:bottom w:val="single" w:sz="4" w:space="0" w:color="auto"/>
              <w:right w:val="single" w:sz="4" w:space="0" w:color="auto"/>
            </w:tcBorders>
            <w:shd w:val="clear" w:color="auto" w:fill="auto"/>
            <w:noWrap/>
            <w:hideMark/>
          </w:tcPr>
          <w:p w14:paraId="0A0CDF32"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2ADB3C95"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37AFFB8B"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37</w:t>
            </w:r>
          </w:p>
        </w:tc>
        <w:tc>
          <w:tcPr>
            <w:tcW w:w="1039" w:type="dxa"/>
            <w:tcBorders>
              <w:top w:val="nil"/>
              <w:left w:val="nil"/>
              <w:bottom w:val="single" w:sz="4" w:space="0" w:color="auto"/>
              <w:right w:val="single" w:sz="4" w:space="0" w:color="auto"/>
            </w:tcBorders>
            <w:shd w:val="clear" w:color="auto" w:fill="auto"/>
            <w:noWrap/>
            <w:hideMark/>
          </w:tcPr>
          <w:p w14:paraId="7551CE0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68%</w:t>
            </w:r>
          </w:p>
        </w:tc>
        <w:tc>
          <w:tcPr>
            <w:tcW w:w="938" w:type="dxa"/>
            <w:tcBorders>
              <w:top w:val="nil"/>
              <w:left w:val="nil"/>
              <w:bottom w:val="single" w:sz="4" w:space="0" w:color="auto"/>
              <w:right w:val="single" w:sz="4" w:space="0" w:color="auto"/>
            </w:tcBorders>
            <w:shd w:val="clear" w:color="auto" w:fill="auto"/>
            <w:noWrap/>
            <w:hideMark/>
          </w:tcPr>
          <w:p w14:paraId="5E5A984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14%</w:t>
            </w:r>
          </w:p>
        </w:tc>
        <w:tc>
          <w:tcPr>
            <w:tcW w:w="1324" w:type="dxa"/>
            <w:tcBorders>
              <w:top w:val="nil"/>
              <w:left w:val="nil"/>
              <w:bottom w:val="single" w:sz="4" w:space="0" w:color="auto"/>
              <w:right w:val="single" w:sz="4" w:space="0" w:color="auto"/>
            </w:tcBorders>
            <w:shd w:val="clear" w:color="auto" w:fill="auto"/>
            <w:noWrap/>
            <w:hideMark/>
          </w:tcPr>
          <w:p w14:paraId="549171DA"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5%</w:t>
            </w:r>
          </w:p>
        </w:tc>
        <w:tc>
          <w:tcPr>
            <w:tcW w:w="962" w:type="dxa"/>
            <w:tcBorders>
              <w:top w:val="nil"/>
              <w:left w:val="nil"/>
              <w:bottom w:val="single" w:sz="4" w:space="0" w:color="auto"/>
              <w:right w:val="single" w:sz="4" w:space="0" w:color="auto"/>
            </w:tcBorders>
            <w:shd w:val="clear" w:color="auto" w:fill="auto"/>
            <w:noWrap/>
            <w:hideMark/>
          </w:tcPr>
          <w:p w14:paraId="6AC994A8"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8%</w:t>
            </w:r>
          </w:p>
        </w:tc>
        <w:tc>
          <w:tcPr>
            <w:tcW w:w="1286" w:type="dxa"/>
            <w:tcBorders>
              <w:top w:val="nil"/>
              <w:left w:val="nil"/>
              <w:bottom w:val="single" w:sz="4" w:space="0" w:color="auto"/>
              <w:right w:val="single" w:sz="4" w:space="0" w:color="auto"/>
            </w:tcBorders>
            <w:shd w:val="clear" w:color="auto" w:fill="auto"/>
            <w:noWrap/>
            <w:hideMark/>
          </w:tcPr>
          <w:p w14:paraId="5258D06A"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11%</w:t>
            </w:r>
          </w:p>
        </w:tc>
      </w:tr>
      <w:tr w:rsidR="00F235E1" w:rsidRPr="00F235E1" w14:paraId="58FE2891"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2310F4BF"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Bobbin Mill Apartments</w:t>
            </w:r>
          </w:p>
        </w:tc>
        <w:tc>
          <w:tcPr>
            <w:tcW w:w="796" w:type="dxa"/>
            <w:tcBorders>
              <w:top w:val="nil"/>
              <w:left w:val="nil"/>
              <w:bottom w:val="single" w:sz="4" w:space="0" w:color="auto"/>
              <w:right w:val="single" w:sz="4" w:space="0" w:color="auto"/>
            </w:tcBorders>
            <w:shd w:val="clear" w:color="auto" w:fill="auto"/>
            <w:noWrap/>
            <w:hideMark/>
          </w:tcPr>
          <w:p w14:paraId="5C8A02D9"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359C3944"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454DB7E6"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51</w:t>
            </w:r>
          </w:p>
        </w:tc>
        <w:tc>
          <w:tcPr>
            <w:tcW w:w="1039" w:type="dxa"/>
            <w:tcBorders>
              <w:top w:val="nil"/>
              <w:left w:val="nil"/>
              <w:bottom w:val="single" w:sz="4" w:space="0" w:color="auto"/>
              <w:right w:val="single" w:sz="4" w:space="0" w:color="auto"/>
            </w:tcBorders>
            <w:shd w:val="clear" w:color="auto" w:fill="auto"/>
            <w:noWrap/>
            <w:hideMark/>
          </w:tcPr>
          <w:p w14:paraId="5194D65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57%</w:t>
            </w:r>
          </w:p>
        </w:tc>
        <w:tc>
          <w:tcPr>
            <w:tcW w:w="938" w:type="dxa"/>
            <w:tcBorders>
              <w:top w:val="nil"/>
              <w:left w:val="nil"/>
              <w:bottom w:val="single" w:sz="4" w:space="0" w:color="auto"/>
              <w:right w:val="single" w:sz="4" w:space="0" w:color="auto"/>
            </w:tcBorders>
            <w:shd w:val="clear" w:color="auto" w:fill="auto"/>
            <w:noWrap/>
            <w:hideMark/>
          </w:tcPr>
          <w:p w14:paraId="55F05F29"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18%</w:t>
            </w:r>
          </w:p>
        </w:tc>
        <w:tc>
          <w:tcPr>
            <w:tcW w:w="1324" w:type="dxa"/>
            <w:tcBorders>
              <w:top w:val="nil"/>
              <w:left w:val="nil"/>
              <w:bottom w:val="single" w:sz="4" w:space="0" w:color="auto"/>
              <w:right w:val="single" w:sz="4" w:space="0" w:color="auto"/>
            </w:tcBorders>
            <w:shd w:val="clear" w:color="auto" w:fill="auto"/>
            <w:noWrap/>
            <w:hideMark/>
          </w:tcPr>
          <w:p w14:paraId="017F9CA3"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w:t>
            </w:r>
          </w:p>
        </w:tc>
        <w:tc>
          <w:tcPr>
            <w:tcW w:w="962" w:type="dxa"/>
            <w:tcBorders>
              <w:top w:val="nil"/>
              <w:left w:val="nil"/>
              <w:bottom w:val="single" w:sz="4" w:space="0" w:color="auto"/>
              <w:right w:val="single" w:sz="4" w:space="0" w:color="auto"/>
            </w:tcBorders>
            <w:shd w:val="clear" w:color="auto" w:fill="auto"/>
            <w:noWrap/>
            <w:hideMark/>
          </w:tcPr>
          <w:p w14:paraId="17A8CC8B"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20%</w:t>
            </w:r>
          </w:p>
        </w:tc>
        <w:tc>
          <w:tcPr>
            <w:tcW w:w="1286" w:type="dxa"/>
            <w:tcBorders>
              <w:top w:val="nil"/>
              <w:left w:val="nil"/>
              <w:bottom w:val="single" w:sz="4" w:space="0" w:color="auto"/>
              <w:right w:val="single" w:sz="4" w:space="0" w:color="auto"/>
            </w:tcBorders>
            <w:shd w:val="clear" w:color="auto" w:fill="auto"/>
            <w:noWrap/>
            <w:hideMark/>
          </w:tcPr>
          <w:p w14:paraId="41BBB43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41%</w:t>
            </w:r>
          </w:p>
        </w:tc>
      </w:tr>
      <w:tr w:rsidR="00F235E1" w:rsidRPr="00F235E1" w14:paraId="76AF63DD"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29671ED7"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Duggan Row Apartments</w:t>
            </w:r>
          </w:p>
        </w:tc>
        <w:tc>
          <w:tcPr>
            <w:tcW w:w="796" w:type="dxa"/>
            <w:tcBorders>
              <w:top w:val="nil"/>
              <w:left w:val="nil"/>
              <w:bottom w:val="single" w:sz="4" w:space="0" w:color="auto"/>
              <w:right w:val="single" w:sz="4" w:space="0" w:color="auto"/>
            </w:tcBorders>
            <w:shd w:val="clear" w:color="auto" w:fill="auto"/>
            <w:noWrap/>
            <w:hideMark/>
          </w:tcPr>
          <w:p w14:paraId="7416E19D"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2CDA3720"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4A81A077"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16</w:t>
            </w:r>
          </w:p>
        </w:tc>
        <w:tc>
          <w:tcPr>
            <w:tcW w:w="1039" w:type="dxa"/>
            <w:tcBorders>
              <w:top w:val="nil"/>
              <w:left w:val="nil"/>
              <w:bottom w:val="single" w:sz="4" w:space="0" w:color="auto"/>
              <w:right w:val="single" w:sz="4" w:space="0" w:color="auto"/>
            </w:tcBorders>
            <w:shd w:val="clear" w:color="auto" w:fill="auto"/>
            <w:noWrap/>
            <w:hideMark/>
          </w:tcPr>
          <w:p w14:paraId="69F5C6E6"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36%</w:t>
            </w:r>
          </w:p>
        </w:tc>
        <w:tc>
          <w:tcPr>
            <w:tcW w:w="938" w:type="dxa"/>
            <w:tcBorders>
              <w:top w:val="nil"/>
              <w:left w:val="nil"/>
              <w:bottom w:val="single" w:sz="4" w:space="0" w:color="auto"/>
              <w:right w:val="single" w:sz="4" w:space="0" w:color="auto"/>
            </w:tcBorders>
            <w:shd w:val="clear" w:color="auto" w:fill="auto"/>
            <w:noWrap/>
            <w:hideMark/>
          </w:tcPr>
          <w:p w14:paraId="14DC654F"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36%</w:t>
            </w:r>
          </w:p>
        </w:tc>
        <w:tc>
          <w:tcPr>
            <w:tcW w:w="1324" w:type="dxa"/>
            <w:tcBorders>
              <w:top w:val="nil"/>
              <w:left w:val="nil"/>
              <w:bottom w:val="single" w:sz="4" w:space="0" w:color="auto"/>
              <w:right w:val="single" w:sz="4" w:space="0" w:color="auto"/>
            </w:tcBorders>
            <w:shd w:val="clear" w:color="auto" w:fill="auto"/>
            <w:noWrap/>
            <w:hideMark/>
          </w:tcPr>
          <w:p w14:paraId="662755E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0%</w:t>
            </w:r>
          </w:p>
        </w:tc>
        <w:tc>
          <w:tcPr>
            <w:tcW w:w="962" w:type="dxa"/>
            <w:tcBorders>
              <w:top w:val="nil"/>
              <w:left w:val="nil"/>
              <w:bottom w:val="single" w:sz="4" w:space="0" w:color="auto"/>
              <w:right w:val="single" w:sz="4" w:space="0" w:color="auto"/>
            </w:tcBorders>
            <w:shd w:val="clear" w:color="auto" w:fill="auto"/>
            <w:noWrap/>
            <w:hideMark/>
          </w:tcPr>
          <w:p w14:paraId="0E1830DB"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29%</w:t>
            </w:r>
          </w:p>
        </w:tc>
        <w:tc>
          <w:tcPr>
            <w:tcW w:w="1286" w:type="dxa"/>
            <w:tcBorders>
              <w:top w:val="nil"/>
              <w:left w:val="nil"/>
              <w:bottom w:val="single" w:sz="4" w:space="0" w:color="auto"/>
              <w:right w:val="single" w:sz="4" w:space="0" w:color="auto"/>
            </w:tcBorders>
            <w:shd w:val="clear" w:color="auto" w:fill="auto"/>
            <w:noWrap/>
            <w:hideMark/>
          </w:tcPr>
          <w:p w14:paraId="5116E72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64%</w:t>
            </w:r>
          </w:p>
        </w:tc>
      </w:tr>
      <w:tr w:rsidR="00F235E1" w:rsidRPr="00F235E1" w14:paraId="56D234D4"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4197102B"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lastRenderedPageBreak/>
              <w:t>South Square Associates</w:t>
            </w:r>
          </w:p>
        </w:tc>
        <w:tc>
          <w:tcPr>
            <w:tcW w:w="796" w:type="dxa"/>
            <w:tcBorders>
              <w:top w:val="nil"/>
              <w:left w:val="nil"/>
              <w:bottom w:val="single" w:sz="4" w:space="0" w:color="auto"/>
              <w:right w:val="single" w:sz="4" w:space="0" w:color="auto"/>
            </w:tcBorders>
            <w:shd w:val="clear" w:color="auto" w:fill="auto"/>
            <w:noWrap/>
            <w:hideMark/>
          </w:tcPr>
          <w:p w14:paraId="5B541743"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440D56C8"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4EC710A5"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64</w:t>
            </w:r>
          </w:p>
        </w:tc>
        <w:tc>
          <w:tcPr>
            <w:tcW w:w="1039" w:type="dxa"/>
            <w:tcBorders>
              <w:top w:val="nil"/>
              <w:left w:val="nil"/>
              <w:bottom w:val="single" w:sz="4" w:space="0" w:color="auto"/>
              <w:right w:val="single" w:sz="4" w:space="0" w:color="auto"/>
            </w:tcBorders>
            <w:shd w:val="clear" w:color="auto" w:fill="auto"/>
            <w:noWrap/>
            <w:hideMark/>
          </w:tcPr>
          <w:p w14:paraId="45D6698D"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87%</w:t>
            </w:r>
          </w:p>
        </w:tc>
        <w:tc>
          <w:tcPr>
            <w:tcW w:w="938" w:type="dxa"/>
            <w:tcBorders>
              <w:top w:val="nil"/>
              <w:left w:val="nil"/>
              <w:bottom w:val="single" w:sz="4" w:space="0" w:color="auto"/>
              <w:right w:val="single" w:sz="4" w:space="0" w:color="auto"/>
            </w:tcBorders>
            <w:shd w:val="clear" w:color="auto" w:fill="auto"/>
            <w:noWrap/>
            <w:hideMark/>
          </w:tcPr>
          <w:p w14:paraId="4D9C175F"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6%</w:t>
            </w:r>
          </w:p>
        </w:tc>
        <w:tc>
          <w:tcPr>
            <w:tcW w:w="1324" w:type="dxa"/>
            <w:tcBorders>
              <w:top w:val="nil"/>
              <w:left w:val="nil"/>
              <w:bottom w:val="single" w:sz="4" w:space="0" w:color="auto"/>
              <w:right w:val="single" w:sz="4" w:space="0" w:color="auto"/>
            </w:tcBorders>
            <w:shd w:val="clear" w:color="auto" w:fill="auto"/>
            <w:noWrap/>
            <w:hideMark/>
          </w:tcPr>
          <w:p w14:paraId="7839667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0%</w:t>
            </w:r>
          </w:p>
        </w:tc>
        <w:tc>
          <w:tcPr>
            <w:tcW w:w="962" w:type="dxa"/>
            <w:tcBorders>
              <w:top w:val="nil"/>
              <w:left w:val="nil"/>
              <w:bottom w:val="single" w:sz="4" w:space="0" w:color="auto"/>
              <w:right w:val="single" w:sz="4" w:space="0" w:color="auto"/>
            </w:tcBorders>
            <w:shd w:val="clear" w:color="auto" w:fill="auto"/>
            <w:noWrap/>
            <w:hideMark/>
          </w:tcPr>
          <w:p w14:paraId="4D1D8E1E"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5%</w:t>
            </w:r>
          </w:p>
        </w:tc>
        <w:tc>
          <w:tcPr>
            <w:tcW w:w="1286" w:type="dxa"/>
            <w:tcBorders>
              <w:top w:val="nil"/>
              <w:left w:val="nil"/>
              <w:bottom w:val="single" w:sz="4" w:space="0" w:color="auto"/>
              <w:right w:val="single" w:sz="4" w:space="0" w:color="auto"/>
            </w:tcBorders>
            <w:shd w:val="clear" w:color="auto" w:fill="auto"/>
            <w:noWrap/>
            <w:hideMark/>
          </w:tcPr>
          <w:p w14:paraId="01E20479"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r>
      <w:tr w:rsidR="00F235E1" w:rsidRPr="00F235E1" w14:paraId="260B0DD0"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59417C90"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South St Paul Townhouses</w:t>
            </w:r>
          </w:p>
        </w:tc>
        <w:tc>
          <w:tcPr>
            <w:tcW w:w="796" w:type="dxa"/>
            <w:tcBorders>
              <w:top w:val="nil"/>
              <w:left w:val="nil"/>
              <w:bottom w:val="single" w:sz="4" w:space="0" w:color="auto"/>
              <w:right w:val="single" w:sz="4" w:space="0" w:color="auto"/>
            </w:tcBorders>
            <w:shd w:val="clear" w:color="auto" w:fill="auto"/>
            <w:noWrap/>
            <w:hideMark/>
          </w:tcPr>
          <w:p w14:paraId="40547F19"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049CB34F"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0A978D48"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22</w:t>
            </w:r>
          </w:p>
        </w:tc>
        <w:tc>
          <w:tcPr>
            <w:tcW w:w="1039" w:type="dxa"/>
            <w:tcBorders>
              <w:top w:val="nil"/>
              <w:left w:val="nil"/>
              <w:bottom w:val="single" w:sz="4" w:space="0" w:color="auto"/>
              <w:right w:val="single" w:sz="4" w:space="0" w:color="auto"/>
            </w:tcBorders>
            <w:shd w:val="clear" w:color="auto" w:fill="auto"/>
            <w:noWrap/>
            <w:hideMark/>
          </w:tcPr>
          <w:p w14:paraId="7313C3BE"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65%</w:t>
            </w:r>
          </w:p>
        </w:tc>
        <w:tc>
          <w:tcPr>
            <w:tcW w:w="938" w:type="dxa"/>
            <w:tcBorders>
              <w:top w:val="nil"/>
              <w:left w:val="nil"/>
              <w:bottom w:val="single" w:sz="4" w:space="0" w:color="auto"/>
              <w:right w:val="single" w:sz="4" w:space="0" w:color="auto"/>
            </w:tcBorders>
            <w:shd w:val="clear" w:color="auto" w:fill="auto"/>
            <w:noWrap/>
            <w:hideMark/>
          </w:tcPr>
          <w:p w14:paraId="58493FE4"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15%</w:t>
            </w:r>
          </w:p>
        </w:tc>
        <w:tc>
          <w:tcPr>
            <w:tcW w:w="1324" w:type="dxa"/>
            <w:tcBorders>
              <w:top w:val="nil"/>
              <w:left w:val="nil"/>
              <w:bottom w:val="single" w:sz="4" w:space="0" w:color="auto"/>
              <w:right w:val="single" w:sz="4" w:space="0" w:color="auto"/>
            </w:tcBorders>
            <w:shd w:val="clear" w:color="auto" w:fill="auto"/>
            <w:noWrap/>
            <w:hideMark/>
          </w:tcPr>
          <w:p w14:paraId="0D24EF03"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0%</w:t>
            </w:r>
          </w:p>
        </w:tc>
        <w:tc>
          <w:tcPr>
            <w:tcW w:w="962" w:type="dxa"/>
            <w:tcBorders>
              <w:top w:val="nil"/>
              <w:left w:val="nil"/>
              <w:bottom w:val="single" w:sz="4" w:space="0" w:color="auto"/>
              <w:right w:val="single" w:sz="4" w:space="0" w:color="auto"/>
            </w:tcBorders>
            <w:shd w:val="clear" w:color="auto" w:fill="auto"/>
            <w:noWrap/>
            <w:hideMark/>
          </w:tcPr>
          <w:p w14:paraId="5CF2101E"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15%</w:t>
            </w:r>
          </w:p>
        </w:tc>
        <w:tc>
          <w:tcPr>
            <w:tcW w:w="1286" w:type="dxa"/>
            <w:tcBorders>
              <w:top w:val="nil"/>
              <w:left w:val="nil"/>
              <w:bottom w:val="single" w:sz="4" w:space="0" w:color="auto"/>
              <w:right w:val="single" w:sz="4" w:space="0" w:color="auto"/>
            </w:tcBorders>
            <w:shd w:val="clear" w:color="auto" w:fill="auto"/>
            <w:noWrap/>
            <w:hideMark/>
          </w:tcPr>
          <w:p w14:paraId="4D613A6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75%</w:t>
            </w:r>
          </w:p>
        </w:tc>
      </w:tr>
      <w:tr w:rsidR="00F235E1" w:rsidRPr="00F235E1" w14:paraId="0FABE48C"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111DB078"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 xml:space="preserve">Howard Center For Human </w:t>
            </w:r>
            <w:proofErr w:type="spellStart"/>
            <w:r w:rsidRPr="00F235E1">
              <w:rPr>
                <w:rFonts w:ascii="Calibri" w:eastAsia="Times New Roman" w:hAnsi="Calibri" w:cs="Times New Roman"/>
                <w:color w:val="000000"/>
                <w:lang w:eastAsia="en-US"/>
              </w:rPr>
              <w:t>Srvs</w:t>
            </w:r>
            <w:proofErr w:type="spellEnd"/>
            <w:r w:rsidRPr="00F235E1">
              <w:rPr>
                <w:rFonts w:ascii="Calibri" w:eastAsia="Times New Roman" w:hAnsi="Calibri" w:cs="Times New Roman"/>
                <w:color w:val="000000"/>
                <w:lang w:eastAsia="en-US"/>
              </w:rPr>
              <w:t>.</w:t>
            </w:r>
          </w:p>
        </w:tc>
        <w:tc>
          <w:tcPr>
            <w:tcW w:w="796" w:type="dxa"/>
            <w:tcBorders>
              <w:top w:val="nil"/>
              <w:left w:val="nil"/>
              <w:bottom w:val="single" w:sz="4" w:space="0" w:color="auto"/>
              <w:right w:val="single" w:sz="4" w:space="0" w:color="auto"/>
            </w:tcBorders>
            <w:shd w:val="clear" w:color="auto" w:fill="auto"/>
            <w:noWrap/>
            <w:hideMark/>
          </w:tcPr>
          <w:p w14:paraId="3B079F25"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2E712715"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45F525E6"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7</w:t>
            </w:r>
          </w:p>
        </w:tc>
        <w:tc>
          <w:tcPr>
            <w:tcW w:w="1039" w:type="dxa"/>
            <w:tcBorders>
              <w:top w:val="nil"/>
              <w:left w:val="nil"/>
              <w:bottom w:val="single" w:sz="4" w:space="0" w:color="auto"/>
              <w:right w:val="single" w:sz="4" w:space="0" w:color="auto"/>
            </w:tcBorders>
            <w:shd w:val="clear" w:color="auto" w:fill="auto"/>
            <w:noWrap/>
            <w:hideMark/>
          </w:tcPr>
          <w:p w14:paraId="68BBB727"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8" w:type="dxa"/>
            <w:tcBorders>
              <w:top w:val="nil"/>
              <w:left w:val="nil"/>
              <w:bottom w:val="single" w:sz="4" w:space="0" w:color="auto"/>
              <w:right w:val="single" w:sz="4" w:space="0" w:color="auto"/>
            </w:tcBorders>
            <w:shd w:val="clear" w:color="auto" w:fill="auto"/>
            <w:noWrap/>
            <w:hideMark/>
          </w:tcPr>
          <w:p w14:paraId="046E41C4"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324" w:type="dxa"/>
            <w:tcBorders>
              <w:top w:val="nil"/>
              <w:left w:val="nil"/>
              <w:bottom w:val="single" w:sz="4" w:space="0" w:color="auto"/>
              <w:right w:val="single" w:sz="4" w:space="0" w:color="auto"/>
            </w:tcBorders>
            <w:shd w:val="clear" w:color="auto" w:fill="auto"/>
            <w:noWrap/>
            <w:hideMark/>
          </w:tcPr>
          <w:p w14:paraId="14DDB394"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62" w:type="dxa"/>
            <w:tcBorders>
              <w:top w:val="nil"/>
              <w:left w:val="nil"/>
              <w:bottom w:val="single" w:sz="4" w:space="0" w:color="auto"/>
              <w:right w:val="single" w:sz="4" w:space="0" w:color="auto"/>
            </w:tcBorders>
            <w:shd w:val="clear" w:color="auto" w:fill="auto"/>
            <w:noWrap/>
            <w:hideMark/>
          </w:tcPr>
          <w:p w14:paraId="183EF129"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286" w:type="dxa"/>
            <w:tcBorders>
              <w:top w:val="nil"/>
              <w:left w:val="nil"/>
              <w:bottom w:val="single" w:sz="4" w:space="0" w:color="auto"/>
              <w:right w:val="single" w:sz="4" w:space="0" w:color="auto"/>
            </w:tcBorders>
            <w:shd w:val="clear" w:color="auto" w:fill="auto"/>
            <w:noWrap/>
            <w:hideMark/>
          </w:tcPr>
          <w:p w14:paraId="41B674CE"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r>
      <w:tr w:rsidR="00F235E1" w:rsidRPr="00F235E1" w14:paraId="39016946"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506B7CF1"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Three Cathedral Square</w:t>
            </w:r>
          </w:p>
        </w:tc>
        <w:tc>
          <w:tcPr>
            <w:tcW w:w="796" w:type="dxa"/>
            <w:tcBorders>
              <w:top w:val="nil"/>
              <w:left w:val="nil"/>
              <w:bottom w:val="single" w:sz="4" w:space="0" w:color="auto"/>
              <w:right w:val="single" w:sz="4" w:space="0" w:color="auto"/>
            </w:tcBorders>
            <w:shd w:val="clear" w:color="auto" w:fill="auto"/>
            <w:noWrap/>
            <w:hideMark/>
          </w:tcPr>
          <w:p w14:paraId="46A4F83A"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41D39845"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6D8568AE"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100</w:t>
            </w:r>
          </w:p>
        </w:tc>
        <w:tc>
          <w:tcPr>
            <w:tcW w:w="1039" w:type="dxa"/>
            <w:tcBorders>
              <w:top w:val="nil"/>
              <w:left w:val="nil"/>
              <w:bottom w:val="single" w:sz="4" w:space="0" w:color="auto"/>
              <w:right w:val="single" w:sz="4" w:space="0" w:color="auto"/>
            </w:tcBorders>
            <w:shd w:val="clear" w:color="auto" w:fill="auto"/>
            <w:noWrap/>
            <w:hideMark/>
          </w:tcPr>
          <w:p w14:paraId="320DBE58"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92%</w:t>
            </w:r>
          </w:p>
        </w:tc>
        <w:tc>
          <w:tcPr>
            <w:tcW w:w="938" w:type="dxa"/>
            <w:tcBorders>
              <w:top w:val="nil"/>
              <w:left w:val="nil"/>
              <w:bottom w:val="single" w:sz="4" w:space="0" w:color="auto"/>
              <w:right w:val="single" w:sz="4" w:space="0" w:color="auto"/>
            </w:tcBorders>
            <w:shd w:val="clear" w:color="auto" w:fill="auto"/>
            <w:noWrap/>
            <w:hideMark/>
          </w:tcPr>
          <w:p w14:paraId="544BF56F"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3%</w:t>
            </w:r>
          </w:p>
        </w:tc>
        <w:tc>
          <w:tcPr>
            <w:tcW w:w="1324" w:type="dxa"/>
            <w:tcBorders>
              <w:top w:val="nil"/>
              <w:left w:val="nil"/>
              <w:bottom w:val="single" w:sz="4" w:space="0" w:color="auto"/>
              <w:right w:val="single" w:sz="4" w:space="0" w:color="auto"/>
            </w:tcBorders>
            <w:shd w:val="clear" w:color="auto" w:fill="auto"/>
            <w:noWrap/>
            <w:hideMark/>
          </w:tcPr>
          <w:p w14:paraId="01137766"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3%</w:t>
            </w:r>
          </w:p>
        </w:tc>
        <w:tc>
          <w:tcPr>
            <w:tcW w:w="962" w:type="dxa"/>
            <w:tcBorders>
              <w:top w:val="nil"/>
              <w:left w:val="nil"/>
              <w:bottom w:val="single" w:sz="4" w:space="0" w:color="auto"/>
              <w:right w:val="single" w:sz="4" w:space="0" w:color="auto"/>
            </w:tcBorders>
            <w:shd w:val="clear" w:color="auto" w:fill="auto"/>
            <w:noWrap/>
            <w:hideMark/>
          </w:tcPr>
          <w:p w14:paraId="62D82FE3"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w:t>
            </w:r>
          </w:p>
        </w:tc>
        <w:tc>
          <w:tcPr>
            <w:tcW w:w="1286" w:type="dxa"/>
            <w:tcBorders>
              <w:top w:val="nil"/>
              <w:left w:val="nil"/>
              <w:bottom w:val="single" w:sz="4" w:space="0" w:color="auto"/>
              <w:right w:val="single" w:sz="4" w:space="0" w:color="auto"/>
            </w:tcBorders>
            <w:shd w:val="clear" w:color="auto" w:fill="auto"/>
            <w:noWrap/>
            <w:hideMark/>
          </w:tcPr>
          <w:p w14:paraId="1AB1FB46"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r>
      <w:tr w:rsidR="00F235E1" w:rsidRPr="00F235E1" w14:paraId="7A0F4EC2"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063068CB"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Fern Hill</w:t>
            </w:r>
          </w:p>
        </w:tc>
        <w:tc>
          <w:tcPr>
            <w:tcW w:w="796" w:type="dxa"/>
            <w:tcBorders>
              <w:top w:val="nil"/>
              <w:left w:val="nil"/>
              <w:bottom w:val="single" w:sz="4" w:space="0" w:color="auto"/>
              <w:right w:val="single" w:sz="4" w:space="0" w:color="auto"/>
            </w:tcBorders>
            <w:shd w:val="clear" w:color="auto" w:fill="auto"/>
            <w:noWrap/>
            <w:hideMark/>
          </w:tcPr>
          <w:p w14:paraId="0A30D65E"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0E9C847B"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25931C3B"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60</w:t>
            </w:r>
          </w:p>
        </w:tc>
        <w:tc>
          <w:tcPr>
            <w:tcW w:w="1039" w:type="dxa"/>
            <w:tcBorders>
              <w:top w:val="nil"/>
              <w:left w:val="nil"/>
              <w:bottom w:val="single" w:sz="4" w:space="0" w:color="auto"/>
              <w:right w:val="single" w:sz="4" w:space="0" w:color="auto"/>
            </w:tcBorders>
            <w:shd w:val="clear" w:color="auto" w:fill="auto"/>
            <w:noWrap/>
            <w:hideMark/>
          </w:tcPr>
          <w:p w14:paraId="17AECA18"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93%</w:t>
            </w:r>
          </w:p>
        </w:tc>
        <w:tc>
          <w:tcPr>
            <w:tcW w:w="938" w:type="dxa"/>
            <w:tcBorders>
              <w:top w:val="nil"/>
              <w:left w:val="nil"/>
              <w:bottom w:val="single" w:sz="4" w:space="0" w:color="auto"/>
              <w:right w:val="single" w:sz="4" w:space="0" w:color="auto"/>
            </w:tcBorders>
            <w:shd w:val="clear" w:color="auto" w:fill="auto"/>
            <w:noWrap/>
            <w:hideMark/>
          </w:tcPr>
          <w:p w14:paraId="278BB936"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3%</w:t>
            </w:r>
          </w:p>
        </w:tc>
        <w:tc>
          <w:tcPr>
            <w:tcW w:w="1324" w:type="dxa"/>
            <w:tcBorders>
              <w:top w:val="nil"/>
              <w:left w:val="nil"/>
              <w:bottom w:val="single" w:sz="4" w:space="0" w:color="auto"/>
              <w:right w:val="single" w:sz="4" w:space="0" w:color="auto"/>
            </w:tcBorders>
            <w:shd w:val="clear" w:color="auto" w:fill="auto"/>
            <w:noWrap/>
            <w:hideMark/>
          </w:tcPr>
          <w:p w14:paraId="364D12D3"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w:t>
            </w:r>
          </w:p>
        </w:tc>
        <w:tc>
          <w:tcPr>
            <w:tcW w:w="962" w:type="dxa"/>
            <w:tcBorders>
              <w:top w:val="nil"/>
              <w:left w:val="nil"/>
              <w:bottom w:val="single" w:sz="4" w:space="0" w:color="auto"/>
              <w:right w:val="single" w:sz="4" w:space="0" w:color="auto"/>
            </w:tcBorders>
            <w:shd w:val="clear" w:color="auto" w:fill="auto"/>
            <w:noWrap/>
            <w:hideMark/>
          </w:tcPr>
          <w:p w14:paraId="45D80A0F"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w:t>
            </w:r>
          </w:p>
        </w:tc>
        <w:tc>
          <w:tcPr>
            <w:tcW w:w="1286" w:type="dxa"/>
            <w:tcBorders>
              <w:top w:val="nil"/>
              <w:left w:val="nil"/>
              <w:bottom w:val="single" w:sz="4" w:space="0" w:color="auto"/>
              <w:right w:val="single" w:sz="4" w:space="0" w:color="auto"/>
            </w:tcBorders>
            <w:shd w:val="clear" w:color="auto" w:fill="auto"/>
            <w:noWrap/>
            <w:hideMark/>
          </w:tcPr>
          <w:p w14:paraId="0C06C063"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r>
      <w:tr w:rsidR="00F235E1" w:rsidRPr="00F235E1" w14:paraId="495150CB"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384D5C8B"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Northgate Section 8</w:t>
            </w:r>
          </w:p>
        </w:tc>
        <w:tc>
          <w:tcPr>
            <w:tcW w:w="796" w:type="dxa"/>
            <w:tcBorders>
              <w:top w:val="nil"/>
              <w:left w:val="nil"/>
              <w:bottom w:val="single" w:sz="4" w:space="0" w:color="auto"/>
              <w:right w:val="single" w:sz="4" w:space="0" w:color="auto"/>
            </w:tcBorders>
            <w:shd w:val="clear" w:color="auto" w:fill="auto"/>
            <w:noWrap/>
            <w:hideMark/>
          </w:tcPr>
          <w:p w14:paraId="0AE401E9"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682A1112"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30DDE00B"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163</w:t>
            </w:r>
          </w:p>
        </w:tc>
        <w:tc>
          <w:tcPr>
            <w:tcW w:w="1039" w:type="dxa"/>
            <w:tcBorders>
              <w:top w:val="nil"/>
              <w:left w:val="nil"/>
              <w:bottom w:val="single" w:sz="4" w:space="0" w:color="auto"/>
              <w:right w:val="single" w:sz="4" w:space="0" w:color="auto"/>
            </w:tcBorders>
            <w:shd w:val="clear" w:color="auto" w:fill="auto"/>
            <w:noWrap/>
            <w:hideMark/>
          </w:tcPr>
          <w:p w14:paraId="4AE8CD2D"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88%</w:t>
            </w:r>
          </w:p>
        </w:tc>
        <w:tc>
          <w:tcPr>
            <w:tcW w:w="938" w:type="dxa"/>
            <w:tcBorders>
              <w:top w:val="nil"/>
              <w:left w:val="nil"/>
              <w:bottom w:val="single" w:sz="4" w:space="0" w:color="auto"/>
              <w:right w:val="single" w:sz="4" w:space="0" w:color="auto"/>
            </w:tcBorders>
            <w:shd w:val="clear" w:color="auto" w:fill="auto"/>
            <w:noWrap/>
            <w:hideMark/>
          </w:tcPr>
          <w:p w14:paraId="6014269D"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7%</w:t>
            </w:r>
          </w:p>
        </w:tc>
        <w:tc>
          <w:tcPr>
            <w:tcW w:w="1324" w:type="dxa"/>
            <w:tcBorders>
              <w:top w:val="nil"/>
              <w:left w:val="nil"/>
              <w:bottom w:val="single" w:sz="4" w:space="0" w:color="auto"/>
              <w:right w:val="single" w:sz="4" w:space="0" w:color="auto"/>
            </w:tcBorders>
            <w:shd w:val="clear" w:color="auto" w:fill="auto"/>
            <w:noWrap/>
            <w:hideMark/>
          </w:tcPr>
          <w:p w14:paraId="001A4B20"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w:t>
            </w:r>
          </w:p>
        </w:tc>
        <w:tc>
          <w:tcPr>
            <w:tcW w:w="962" w:type="dxa"/>
            <w:tcBorders>
              <w:top w:val="nil"/>
              <w:left w:val="nil"/>
              <w:bottom w:val="single" w:sz="4" w:space="0" w:color="auto"/>
              <w:right w:val="single" w:sz="4" w:space="0" w:color="auto"/>
            </w:tcBorders>
            <w:shd w:val="clear" w:color="auto" w:fill="auto"/>
            <w:noWrap/>
            <w:hideMark/>
          </w:tcPr>
          <w:p w14:paraId="0BC0C84B"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3%</w:t>
            </w:r>
          </w:p>
        </w:tc>
        <w:tc>
          <w:tcPr>
            <w:tcW w:w="1286" w:type="dxa"/>
            <w:tcBorders>
              <w:top w:val="nil"/>
              <w:left w:val="nil"/>
              <w:bottom w:val="single" w:sz="4" w:space="0" w:color="auto"/>
              <w:right w:val="single" w:sz="4" w:space="0" w:color="auto"/>
            </w:tcBorders>
            <w:shd w:val="clear" w:color="auto" w:fill="auto"/>
            <w:noWrap/>
            <w:hideMark/>
          </w:tcPr>
          <w:p w14:paraId="7DD0AB87"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45%</w:t>
            </w:r>
          </w:p>
        </w:tc>
      </w:tr>
      <w:tr w:rsidR="00F235E1" w:rsidRPr="00F235E1" w14:paraId="0DE3B22B" w14:textId="77777777" w:rsidTr="00F235E1">
        <w:trPr>
          <w:trHeight w:val="420"/>
        </w:trPr>
        <w:tc>
          <w:tcPr>
            <w:tcW w:w="10362" w:type="dxa"/>
            <w:gridSpan w:val="9"/>
            <w:tcBorders>
              <w:top w:val="single" w:sz="4" w:space="0" w:color="auto"/>
              <w:left w:val="single" w:sz="4" w:space="0" w:color="auto"/>
              <w:bottom w:val="single" w:sz="4" w:space="0" w:color="auto"/>
              <w:right w:val="single" w:sz="4" w:space="0" w:color="auto"/>
            </w:tcBorders>
            <w:shd w:val="clear" w:color="auto" w:fill="auto"/>
            <w:hideMark/>
          </w:tcPr>
          <w:p w14:paraId="6172D85F"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Other HUD Multifamily Assisted Housing</w:t>
            </w:r>
          </w:p>
        </w:tc>
      </w:tr>
      <w:tr w:rsidR="00F235E1" w:rsidRPr="00F235E1" w14:paraId="1C377B47" w14:textId="77777777" w:rsidTr="00F235E1">
        <w:trPr>
          <w:trHeight w:val="420"/>
        </w:trPr>
        <w:tc>
          <w:tcPr>
            <w:tcW w:w="10362" w:type="dxa"/>
            <w:gridSpan w:val="9"/>
            <w:tcBorders>
              <w:top w:val="single" w:sz="4" w:space="0" w:color="auto"/>
              <w:left w:val="single" w:sz="4" w:space="0" w:color="auto"/>
              <w:bottom w:val="single" w:sz="4" w:space="0" w:color="auto"/>
              <w:right w:val="single" w:sz="4" w:space="0" w:color="auto"/>
            </w:tcBorders>
            <w:shd w:val="clear" w:color="auto" w:fill="auto"/>
            <w:hideMark/>
          </w:tcPr>
          <w:p w14:paraId="028D7913"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086A7864"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7799476E"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4E563326"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5BF50E99"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633DDC98"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5744AB54"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006D95E1"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071B7C7C"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448346D0"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7B406D84"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71B66247" w14:textId="77777777" w:rsidR="00D5289B" w:rsidRDefault="00D5289B" w:rsidP="00F235E1">
            <w:pPr>
              <w:spacing w:after="0" w:line="240" w:lineRule="auto"/>
              <w:jc w:val="center"/>
              <w:rPr>
                <w:rFonts w:ascii="Calibri" w:eastAsia="Times New Roman" w:hAnsi="Calibri" w:cs="Times New Roman"/>
                <w:b/>
                <w:bCs/>
                <w:color w:val="000000"/>
                <w:lang w:eastAsia="en-US"/>
              </w:rPr>
            </w:pPr>
          </w:p>
          <w:p w14:paraId="7336E68C" w14:textId="77777777" w:rsidR="00F235E1" w:rsidRPr="00F235E1" w:rsidRDefault="00F235E1" w:rsidP="00D5289B">
            <w:pPr>
              <w:spacing w:after="0" w:line="240" w:lineRule="auto"/>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(Burlington, VT CDBG) Jurisdiction</w:t>
            </w:r>
          </w:p>
        </w:tc>
      </w:tr>
      <w:tr w:rsidR="00F235E1" w:rsidRPr="00F235E1" w14:paraId="78EB6D0E" w14:textId="77777777" w:rsidTr="00F235E1">
        <w:trPr>
          <w:trHeight w:val="820"/>
        </w:trPr>
        <w:tc>
          <w:tcPr>
            <w:tcW w:w="2065" w:type="dxa"/>
            <w:tcBorders>
              <w:top w:val="nil"/>
              <w:left w:val="single" w:sz="4" w:space="0" w:color="auto"/>
              <w:bottom w:val="single" w:sz="4" w:space="0" w:color="auto"/>
              <w:right w:val="single" w:sz="4" w:space="0" w:color="auto"/>
            </w:tcBorders>
            <w:shd w:val="clear" w:color="000000" w:fill="DCE6F1"/>
            <w:hideMark/>
          </w:tcPr>
          <w:p w14:paraId="1781145C"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Development Name</w:t>
            </w:r>
          </w:p>
        </w:tc>
        <w:tc>
          <w:tcPr>
            <w:tcW w:w="796" w:type="dxa"/>
            <w:tcBorders>
              <w:top w:val="nil"/>
              <w:left w:val="nil"/>
              <w:bottom w:val="single" w:sz="4" w:space="0" w:color="auto"/>
              <w:right w:val="single" w:sz="4" w:space="0" w:color="auto"/>
            </w:tcBorders>
            <w:shd w:val="clear" w:color="000000" w:fill="DCE6F1"/>
            <w:hideMark/>
          </w:tcPr>
          <w:p w14:paraId="4DF6BE6D"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PHA Code</w:t>
            </w:r>
          </w:p>
        </w:tc>
        <w:tc>
          <w:tcPr>
            <w:tcW w:w="1019" w:type="dxa"/>
            <w:tcBorders>
              <w:top w:val="nil"/>
              <w:left w:val="nil"/>
              <w:bottom w:val="single" w:sz="4" w:space="0" w:color="auto"/>
              <w:right w:val="single" w:sz="4" w:space="0" w:color="auto"/>
            </w:tcBorders>
            <w:shd w:val="clear" w:color="000000" w:fill="DCE6F1"/>
            <w:hideMark/>
          </w:tcPr>
          <w:p w14:paraId="0DF42D7F"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PHA Name</w:t>
            </w:r>
          </w:p>
        </w:tc>
        <w:tc>
          <w:tcPr>
            <w:tcW w:w="933" w:type="dxa"/>
            <w:tcBorders>
              <w:top w:val="nil"/>
              <w:left w:val="nil"/>
              <w:bottom w:val="single" w:sz="4" w:space="0" w:color="auto"/>
              <w:right w:val="single" w:sz="4" w:space="0" w:color="auto"/>
            </w:tcBorders>
            <w:shd w:val="clear" w:color="000000" w:fill="DCE6F1"/>
            <w:hideMark/>
          </w:tcPr>
          <w:p w14:paraId="6B822911"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 Units</w:t>
            </w:r>
          </w:p>
        </w:tc>
        <w:tc>
          <w:tcPr>
            <w:tcW w:w="1039" w:type="dxa"/>
            <w:tcBorders>
              <w:top w:val="nil"/>
              <w:left w:val="nil"/>
              <w:bottom w:val="single" w:sz="4" w:space="0" w:color="auto"/>
              <w:right w:val="single" w:sz="4" w:space="0" w:color="auto"/>
            </w:tcBorders>
            <w:shd w:val="clear" w:color="000000" w:fill="DCE6F1"/>
            <w:hideMark/>
          </w:tcPr>
          <w:p w14:paraId="7B6E5966"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White</w:t>
            </w:r>
          </w:p>
        </w:tc>
        <w:tc>
          <w:tcPr>
            <w:tcW w:w="938" w:type="dxa"/>
            <w:tcBorders>
              <w:top w:val="nil"/>
              <w:left w:val="nil"/>
              <w:bottom w:val="single" w:sz="4" w:space="0" w:color="auto"/>
              <w:right w:val="single" w:sz="4" w:space="0" w:color="auto"/>
            </w:tcBorders>
            <w:shd w:val="clear" w:color="000000" w:fill="DCE6F1"/>
            <w:hideMark/>
          </w:tcPr>
          <w:p w14:paraId="5368915E"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Black</w:t>
            </w:r>
          </w:p>
        </w:tc>
        <w:tc>
          <w:tcPr>
            <w:tcW w:w="1324" w:type="dxa"/>
            <w:tcBorders>
              <w:top w:val="nil"/>
              <w:left w:val="nil"/>
              <w:bottom w:val="single" w:sz="4" w:space="0" w:color="auto"/>
              <w:right w:val="single" w:sz="4" w:space="0" w:color="auto"/>
            </w:tcBorders>
            <w:shd w:val="clear" w:color="000000" w:fill="DCE6F1"/>
            <w:hideMark/>
          </w:tcPr>
          <w:p w14:paraId="6D9DB1F7"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Hispanic</w:t>
            </w:r>
          </w:p>
        </w:tc>
        <w:tc>
          <w:tcPr>
            <w:tcW w:w="962" w:type="dxa"/>
            <w:tcBorders>
              <w:top w:val="nil"/>
              <w:left w:val="nil"/>
              <w:bottom w:val="single" w:sz="4" w:space="0" w:color="auto"/>
              <w:right w:val="single" w:sz="4" w:space="0" w:color="auto"/>
            </w:tcBorders>
            <w:shd w:val="clear" w:color="000000" w:fill="DCE6F1"/>
            <w:hideMark/>
          </w:tcPr>
          <w:p w14:paraId="55C1435F"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Asian</w:t>
            </w:r>
          </w:p>
        </w:tc>
        <w:tc>
          <w:tcPr>
            <w:tcW w:w="1286" w:type="dxa"/>
            <w:tcBorders>
              <w:top w:val="nil"/>
              <w:left w:val="nil"/>
              <w:bottom w:val="single" w:sz="4" w:space="0" w:color="auto"/>
              <w:right w:val="single" w:sz="4" w:space="0" w:color="auto"/>
            </w:tcBorders>
            <w:shd w:val="clear" w:color="000000" w:fill="DCE6F1"/>
            <w:hideMark/>
          </w:tcPr>
          <w:p w14:paraId="72426A0D" w14:textId="77777777" w:rsidR="00F235E1" w:rsidRPr="00F235E1" w:rsidRDefault="00F235E1" w:rsidP="00F235E1">
            <w:pPr>
              <w:spacing w:after="0" w:line="240" w:lineRule="auto"/>
              <w:jc w:val="center"/>
              <w:rPr>
                <w:rFonts w:ascii="Calibri" w:eastAsia="Times New Roman" w:hAnsi="Calibri" w:cs="Times New Roman"/>
                <w:b/>
                <w:bCs/>
                <w:color w:val="000000"/>
                <w:lang w:eastAsia="en-US"/>
              </w:rPr>
            </w:pPr>
            <w:r w:rsidRPr="00F235E1">
              <w:rPr>
                <w:rFonts w:ascii="Calibri" w:eastAsia="Times New Roman" w:hAnsi="Calibri" w:cs="Times New Roman"/>
                <w:b/>
                <w:bCs/>
                <w:color w:val="000000"/>
                <w:lang w:eastAsia="en-US"/>
              </w:rPr>
              <w:t>Households with Children</w:t>
            </w:r>
          </w:p>
        </w:tc>
      </w:tr>
      <w:tr w:rsidR="00F235E1" w:rsidRPr="00F235E1" w14:paraId="63FFE112"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7AC3A77F"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Monroe Place Corporation</w:t>
            </w:r>
          </w:p>
        </w:tc>
        <w:tc>
          <w:tcPr>
            <w:tcW w:w="796" w:type="dxa"/>
            <w:tcBorders>
              <w:top w:val="nil"/>
              <w:left w:val="nil"/>
              <w:bottom w:val="single" w:sz="4" w:space="0" w:color="auto"/>
              <w:right w:val="single" w:sz="4" w:space="0" w:color="auto"/>
            </w:tcBorders>
            <w:shd w:val="clear" w:color="auto" w:fill="auto"/>
            <w:noWrap/>
            <w:hideMark/>
          </w:tcPr>
          <w:p w14:paraId="3EFDA541"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23B97AAB"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1DA3B39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15</w:t>
            </w:r>
          </w:p>
        </w:tc>
        <w:tc>
          <w:tcPr>
            <w:tcW w:w="1039" w:type="dxa"/>
            <w:tcBorders>
              <w:top w:val="nil"/>
              <w:left w:val="nil"/>
              <w:bottom w:val="single" w:sz="4" w:space="0" w:color="auto"/>
              <w:right w:val="single" w:sz="4" w:space="0" w:color="auto"/>
            </w:tcBorders>
            <w:shd w:val="clear" w:color="auto" w:fill="auto"/>
            <w:noWrap/>
            <w:hideMark/>
          </w:tcPr>
          <w:p w14:paraId="2C2E3812"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73%</w:t>
            </w:r>
          </w:p>
        </w:tc>
        <w:tc>
          <w:tcPr>
            <w:tcW w:w="938" w:type="dxa"/>
            <w:tcBorders>
              <w:top w:val="nil"/>
              <w:left w:val="nil"/>
              <w:bottom w:val="single" w:sz="4" w:space="0" w:color="auto"/>
              <w:right w:val="single" w:sz="4" w:space="0" w:color="auto"/>
            </w:tcBorders>
            <w:shd w:val="clear" w:color="auto" w:fill="auto"/>
            <w:noWrap/>
            <w:hideMark/>
          </w:tcPr>
          <w:p w14:paraId="0429E090"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7%</w:t>
            </w:r>
          </w:p>
        </w:tc>
        <w:tc>
          <w:tcPr>
            <w:tcW w:w="1324" w:type="dxa"/>
            <w:tcBorders>
              <w:top w:val="nil"/>
              <w:left w:val="nil"/>
              <w:bottom w:val="single" w:sz="4" w:space="0" w:color="auto"/>
              <w:right w:val="single" w:sz="4" w:space="0" w:color="auto"/>
            </w:tcBorders>
            <w:shd w:val="clear" w:color="auto" w:fill="auto"/>
            <w:noWrap/>
            <w:hideMark/>
          </w:tcPr>
          <w:p w14:paraId="55989581"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0%</w:t>
            </w:r>
          </w:p>
        </w:tc>
        <w:tc>
          <w:tcPr>
            <w:tcW w:w="962" w:type="dxa"/>
            <w:tcBorders>
              <w:top w:val="nil"/>
              <w:left w:val="nil"/>
              <w:bottom w:val="single" w:sz="4" w:space="0" w:color="auto"/>
              <w:right w:val="single" w:sz="4" w:space="0" w:color="auto"/>
            </w:tcBorders>
            <w:shd w:val="clear" w:color="auto" w:fill="auto"/>
            <w:noWrap/>
            <w:hideMark/>
          </w:tcPr>
          <w:p w14:paraId="59AC619C"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7%</w:t>
            </w:r>
          </w:p>
        </w:tc>
        <w:tc>
          <w:tcPr>
            <w:tcW w:w="1286" w:type="dxa"/>
            <w:tcBorders>
              <w:top w:val="nil"/>
              <w:left w:val="nil"/>
              <w:bottom w:val="single" w:sz="4" w:space="0" w:color="auto"/>
              <w:right w:val="single" w:sz="4" w:space="0" w:color="auto"/>
            </w:tcBorders>
            <w:shd w:val="clear" w:color="auto" w:fill="auto"/>
            <w:noWrap/>
            <w:hideMark/>
          </w:tcPr>
          <w:p w14:paraId="45297F27"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r>
      <w:tr w:rsidR="00F235E1" w:rsidRPr="00F235E1" w14:paraId="3483F28A"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6A6A4A93" w14:textId="77777777" w:rsidR="00F235E1" w:rsidRPr="00F235E1" w:rsidRDefault="00F235E1" w:rsidP="00F235E1">
            <w:pPr>
              <w:spacing w:after="0" w:line="240" w:lineRule="auto"/>
              <w:rPr>
                <w:rFonts w:ascii="Calibri" w:eastAsia="Times New Roman" w:hAnsi="Calibri" w:cs="Times New Roman"/>
                <w:color w:val="000000"/>
                <w:lang w:eastAsia="en-US"/>
              </w:rPr>
            </w:pPr>
            <w:proofErr w:type="spellStart"/>
            <w:r w:rsidRPr="00F235E1">
              <w:rPr>
                <w:rFonts w:ascii="Calibri" w:eastAsia="Times New Roman" w:hAnsi="Calibri" w:cs="Times New Roman"/>
                <w:color w:val="000000"/>
                <w:lang w:eastAsia="en-US"/>
              </w:rPr>
              <w:t>Arroway</w:t>
            </w:r>
            <w:proofErr w:type="spellEnd"/>
            <w:r w:rsidRPr="00F235E1">
              <w:rPr>
                <w:rFonts w:ascii="Calibri" w:eastAsia="Times New Roman" w:hAnsi="Calibri" w:cs="Times New Roman"/>
                <w:color w:val="000000"/>
                <w:lang w:eastAsia="en-US"/>
              </w:rPr>
              <w:t xml:space="preserve"> Group Home</w:t>
            </w:r>
          </w:p>
        </w:tc>
        <w:tc>
          <w:tcPr>
            <w:tcW w:w="796" w:type="dxa"/>
            <w:tcBorders>
              <w:top w:val="nil"/>
              <w:left w:val="nil"/>
              <w:bottom w:val="single" w:sz="4" w:space="0" w:color="auto"/>
              <w:right w:val="single" w:sz="4" w:space="0" w:color="auto"/>
            </w:tcBorders>
            <w:shd w:val="clear" w:color="auto" w:fill="auto"/>
            <w:noWrap/>
            <w:hideMark/>
          </w:tcPr>
          <w:p w14:paraId="0ABBDDD8"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643A6548"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2F4C75BE"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7</w:t>
            </w:r>
          </w:p>
        </w:tc>
        <w:tc>
          <w:tcPr>
            <w:tcW w:w="1039" w:type="dxa"/>
            <w:tcBorders>
              <w:top w:val="nil"/>
              <w:left w:val="nil"/>
              <w:bottom w:val="single" w:sz="4" w:space="0" w:color="auto"/>
              <w:right w:val="single" w:sz="4" w:space="0" w:color="auto"/>
            </w:tcBorders>
            <w:shd w:val="clear" w:color="auto" w:fill="auto"/>
            <w:noWrap/>
            <w:hideMark/>
          </w:tcPr>
          <w:p w14:paraId="234DB3CC"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8" w:type="dxa"/>
            <w:tcBorders>
              <w:top w:val="nil"/>
              <w:left w:val="nil"/>
              <w:bottom w:val="single" w:sz="4" w:space="0" w:color="auto"/>
              <w:right w:val="single" w:sz="4" w:space="0" w:color="auto"/>
            </w:tcBorders>
            <w:shd w:val="clear" w:color="auto" w:fill="auto"/>
            <w:noWrap/>
            <w:hideMark/>
          </w:tcPr>
          <w:p w14:paraId="76F74E4E"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324" w:type="dxa"/>
            <w:tcBorders>
              <w:top w:val="nil"/>
              <w:left w:val="nil"/>
              <w:bottom w:val="single" w:sz="4" w:space="0" w:color="auto"/>
              <w:right w:val="single" w:sz="4" w:space="0" w:color="auto"/>
            </w:tcBorders>
            <w:shd w:val="clear" w:color="auto" w:fill="auto"/>
            <w:noWrap/>
            <w:hideMark/>
          </w:tcPr>
          <w:p w14:paraId="08840531"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62" w:type="dxa"/>
            <w:tcBorders>
              <w:top w:val="nil"/>
              <w:left w:val="nil"/>
              <w:bottom w:val="single" w:sz="4" w:space="0" w:color="auto"/>
              <w:right w:val="single" w:sz="4" w:space="0" w:color="auto"/>
            </w:tcBorders>
            <w:shd w:val="clear" w:color="auto" w:fill="auto"/>
            <w:noWrap/>
            <w:hideMark/>
          </w:tcPr>
          <w:p w14:paraId="4BC7F035"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286" w:type="dxa"/>
            <w:tcBorders>
              <w:top w:val="nil"/>
              <w:left w:val="nil"/>
              <w:bottom w:val="single" w:sz="4" w:space="0" w:color="auto"/>
              <w:right w:val="single" w:sz="4" w:space="0" w:color="auto"/>
            </w:tcBorders>
            <w:shd w:val="clear" w:color="auto" w:fill="auto"/>
            <w:noWrap/>
            <w:hideMark/>
          </w:tcPr>
          <w:p w14:paraId="5056FF10"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r>
      <w:tr w:rsidR="00F235E1" w:rsidRPr="00F235E1" w14:paraId="018D7BCA"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44FC56EC"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Pennington Group</w:t>
            </w:r>
          </w:p>
        </w:tc>
        <w:tc>
          <w:tcPr>
            <w:tcW w:w="796" w:type="dxa"/>
            <w:tcBorders>
              <w:top w:val="nil"/>
              <w:left w:val="nil"/>
              <w:bottom w:val="single" w:sz="4" w:space="0" w:color="auto"/>
              <w:right w:val="single" w:sz="4" w:space="0" w:color="auto"/>
            </w:tcBorders>
            <w:shd w:val="clear" w:color="auto" w:fill="auto"/>
            <w:noWrap/>
            <w:hideMark/>
          </w:tcPr>
          <w:p w14:paraId="1F9F7DD1"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44AA8BD9"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5DC3E443"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5</w:t>
            </w:r>
          </w:p>
        </w:tc>
        <w:tc>
          <w:tcPr>
            <w:tcW w:w="1039" w:type="dxa"/>
            <w:tcBorders>
              <w:top w:val="nil"/>
              <w:left w:val="nil"/>
              <w:bottom w:val="single" w:sz="4" w:space="0" w:color="auto"/>
              <w:right w:val="single" w:sz="4" w:space="0" w:color="auto"/>
            </w:tcBorders>
            <w:shd w:val="clear" w:color="auto" w:fill="auto"/>
            <w:noWrap/>
            <w:hideMark/>
          </w:tcPr>
          <w:p w14:paraId="3F18D5C7"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8" w:type="dxa"/>
            <w:tcBorders>
              <w:top w:val="nil"/>
              <w:left w:val="nil"/>
              <w:bottom w:val="single" w:sz="4" w:space="0" w:color="auto"/>
              <w:right w:val="single" w:sz="4" w:space="0" w:color="auto"/>
            </w:tcBorders>
            <w:shd w:val="clear" w:color="auto" w:fill="auto"/>
            <w:noWrap/>
            <w:hideMark/>
          </w:tcPr>
          <w:p w14:paraId="36CDFB4D"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324" w:type="dxa"/>
            <w:tcBorders>
              <w:top w:val="nil"/>
              <w:left w:val="nil"/>
              <w:bottom w:val="single" w:sz="4" w:space="0" w:color="auto"/>
              <w:right w:val="single" w:sz="4" w:space="0" w:color="auto"/>
            </w:tcBorders>
            <w:shd w:val="clear" w:color="auto" w:fill="auto"/>
            <w:noWrap/>
            <w:hideMark/>
          </w:tcPr>
          <w:p w14:paraId="172E81CE"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62" w:type="dxa"/>
            <w:tcBorders>
              <w:top w:val="nil"/>
              <w:left w:val="nil"/>
              <w:bottom w:val="single" w:sz="4" w:space="0" w:color="auto"/>
              <w:right w:val="single" w:sz="4" w:space="0" w:color="auto"/>
            </w:tcBorders>
            <w:shd w:val="clear" w:color="auto" w:fill="auto"/>
            <w:noWrap/>
            <w:hideMark/>
          </w:tcPr>
          <w:p w14:paraId="6E368497"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286" w:type="dxa"/>
            <w:tcBorders>
              <w:top w:val="nil"/>
              <w:left w:val="nil"/>
              <w:bottom w:val="single" w:sz="4" w:space="0" w:color="auto"/>
              <w:right w:val="single" w:sz="4" w:space="0" w:color="auto"/>
            </w:tcBorders>
            <w:shd w:val="clear" w:color="auto" w:fill="auto"/>
            <w:noWrap/>
            <w:hideMark/>
          </w:tcPr>
          <w:p w14:paraId="3C897D02"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r>
      <w:tr w:rsidR="00F235E1" w:rsidRPr="00F235E1" w14:paraId="5B7F960C"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2BD2A17E"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 xml:space="preserve">South End Community </w:t>
            </w:r>
            <w:proofErr w:type="spellStart"/>
            <w:r w:rsidRPr="00F235E1">
              <w:rPr>
                <w:rFonts w:ascii="Calibri" w:eastAsia="Times New Roman" w:hAnsi="Calibri" w:cs="Times New Roman"/>
                <w:color w:val="000000"/>
                <w:lang w:eastAsia="en-US"/>
              </w:rPr>
              <w:t>Hsg</w:t>
            </w:r>
            <w:proofErr w:type="spellEnd"/>
            <w:r w:rsidRPr="00F235E1">
              <w:rPr>
                <w:rFonts w:ascii="Calibri" w:eastAsia="Times New Roman" w:hAnsi="Calibri" w:cs="Times New Roman"/>
                <w:color w:val="000000"/>
                <w:lang w:eastAsia="en-US"/>
              </w:rPr>
              <w:t xml:space="preserve"> Corp.</w:t>
            </w:r>
          </w:p>
        </w:tc>
        <w:tc>
          <w:tcPr>
            <w:tcW w:w="796" w:type="dxa"/>
            <w:tcBorders>
              <w:top w:val="nil"/>
              <w:left w:val="nil"/>
              <w:bottom w:val="single" w:sz="4" w:space="0" w:color="auto"/>
              <w:right w:val="single" w:sz="4" w:space="0" w:color="auto"/>
            </w:tcBorders>
            <w:shd w:val="clear" w:color="auto" w:fill="auto"/>
            <w:noWrap/>
            <w:hideMark/>
          </w:tcPr>
          <w:p w14:paraId="4A8A1F96"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2FEAA768"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5824FDC6"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5</w:t>
            </w:r>
          </w:p>
        </w:tc>
        <w:tc>
          <w:tcPr>
            <w:tcW w:w="1039" w:type="dxa"/>
            <w:tcBorders>
              <w:top w:val="nil"/>
              <w:left w:val="nil"/>
              <w:bottom w:val="single" w:sz="4" w:space="0" w:color="auto"/>
              <w:right w:val="single" w:sz="4" w:space="0" w:color="auto"/>
            </w:tcBorders>
            <w:shd w:val="clear" w:color="auto" w:fill="auto"/>
            <w:noWrap/>
            <w:hideMark/>
          </w:tcPr>
          <w:p w14:paraId="1E28693A"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8" w:type="dxa"/>
            <w:tcBorders>
              <w:top w:val="nil"/>
              <w:left w:val="nil"/>
              <w:bottom w:val="single" w:sz="4" w:space="0" w:color="auto"/>
              <w:right w:val="single" w:sz="4" w:space="0" w:color="auto"/>
            </w:tcBorders>
            <w:shd w:val="clear" w:color="auto" w:fill="auto"/>
            <w:noWrap/>
            <w:hideMark/>
          </w:tcPr>
          <w:p w14:paraId="0F5996D0"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324" w:type="dxa"/>
            <w:tcBorders>
              <w:top w:val="nil"/>
              <w:left w:val="nil"/>
              <w:bottom w:val="single" w:sz="4" w:space="0" w:color="auto"/>
              <w:right w:val="single" w:sz="4" w:space="0" w:color="auto"/>
            </w:tcBorders>
            <w:shd w:val="clear" w:color="auto" w:fill="auto"/>
            <w:noWrap/>
            <w:hideMark/>
          </w:tcPr>
          <w:p w14:paraId="7AFB5AA3"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62" w:type="dxa"/>
            <w:tcBorders>
              <w:top w:val="nil"/>
              <w:left w:val="nil"/>
              <w:bottom w:val="single" w:sz="4" w:space="0" w:color="auto"/>
              <w:right w:val="single" w:sz="4" w:space="0" w:color="auto"/>
            </w:tcBorders>
            <w:shd w:val="clear" w:color="auto" w:fill="auto"/>
            <w:noWrap/>
            <w:hideMark/>
          </w:tcPr>
          <w:p w14:paraId="17D11E72"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286" w:type="dxa"/>
            <w:tcBorders>
              <w:top w:val="nil"/>
              <w:left w:val="nil"/>
              <w:bottom w:val="single" w:sz="4" w:space="0" w:color="auto"/>
              <w:right w:val="single" w:sz="4" w:space="0" w:color="auto"/>
            </w:tcBorders>
            <w:shd w:val="clear" w:color="auto" w:fill="auto"/>
            <w:noWrap/>
            <w:hideMark/>
          </w:tcPr>
          <w:p w14:paraId="4C89BF60"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r>
      <w:tr w:rsidR="00F235E1" w:rsidRPr="00F235E1" w14:paraId="6D5EA81A" w14:textId="77777777" w:rsidTr="00F235E1">
        <w:trPr>
          <w:trHeight w:val="300"/>
        </w:trPr>
        <w:tc>
          <w:tcPr>
            <w:tcW w:w="2065" w:type="dxa"/>
            <w:tcBorders>
              <w:top w:val="nil"/>
              <w:left w:val="single" w:sz="4" w:space="0" w:color="auto"/>
              <w:bottom w:val="single" w:sz="4" w:space="0" w:color="auto"/>
              <w:right w:val="single" w:sz="4" w:space="0" w:color="auto"/>
            </w:tcBorders>
            <w:shd w:val="clear" w:color="auto" w:fill="auto"/>
            <w:noWrap/>
            <w:hideMark/>
          </w:tcPr>
          <w:p w14:paraId="48AC31D6" w14:textId="77777777" w:rsidR="00F235E1" w:rsidRPr="00F235E1" w:rsidRDefault="00F235E1" w:rsidP="00F235E1">
            <w:pPr>
              <w:spacing w:after="0" w:line="240" w:lineRule="auto"/>
              <w:rPr>
                <w:rFonts w:ascii="Calibri" w:eastAsia="Times New Roman" w:hAnsi="Calibri" w:cs="Times New Roman"/>
                <w:color w:val="000000"/>
                <w:lang w:eastAsia="en-US"/>
              </w:rPr>
            </w:pPr>
            <w:proofErr w:type="spellStart"/>
            <w:r w:rsidRPr="00F235E1">
              <w:rPr>
                <w:rFonts w:ascii="Calibri" w:eastAsia="Times New Roman" w:hAnsi="Calibri" w:cs="Times New Roman"/>
                <w:color w:val="000000"/>
                <w:lang w:eastAsia="en-US"/>
              </w:rPr>
              <w:t>Tsh</w:t>
            </w:r>
            <w:proofErr w:type="spellEnd"/>
            <w:r w:rsidRPr="00F235E1">
              <w:rPr>
                <w:rFonts w:ascii="Calibri" w:eastAsia="Times New Roman" w:hAnsi="Calibri" w:cs="Times New Roman"/>
                <w:color w:val="000000"/>
                <w:lang w:eastAsia="en-US"/>
              </w:rPr>
              <w:t xml:space="preserve"> Ii</w:t>
            </w:r>
          </w:p>
        </w:tc>
        <w:tc>
          <w:tcPr>
            <w:tcW w:w="796" w:type="dxa"/>
            <w:tcBorders>
              <w:top w:val="nil"/>
              <w:left w:val="nil"/>
              <w:bottom w:val="single" w:sz="4" w:space="0" w:color="auto"/>
              <w:right w:val="single" w:sz="4" w:space="0" w:color="auto"/>
            </w:tcBorders>
            <w:shd w:val="clear" w:color="auto" w:fill="auto"/>
            <w:noWrap/>
            <w:hideMark/>
          </w:tcPr>
          <w:p w14:paraId="1100B2AA"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019" w:type="dxa"/>
            <w:tcBorders>
              <w:top w:val="nil"/>
              <w:left w:val="nil"/>
              <w:bottom w:val="single" w:sz="4" w:space="0" w:color="auto"/>
              <w:right w:val="single" w:sz="4" w:space="0" w:color="auto"/>
            </w:tcBorders>
            <w:shd w:val="clear" w:color="auto" w:fill="auto"/>
            <w:noWrap/>
            <w:hideMark/>
          </w:tcPr>
          <w:p w14:paraId="62D2E804"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933" w:type="dxa"/>
            <w:tcBorders>
              <w:top w:val="nil"/>
              <w:left w:val="nil"/>
              <w:bottom w:val="single" w:sz="4" w:space="0" w:color="auto"/>
              <w:right w:val="single" w:sz="4" w:space="0" w:color="auto"/>
            </w:tcBorders>
            <w:shd w:val="clear" w:color="auto" w:fill="auto"/>
            <w:noWrap/>
            <w:hideMark/>
          </w:tcPr>
          <w:p w14:paraId="501BCD80"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28</w:t>
            </w:r>
          </w:p>
        </w:tc>
        <w:tc>
          <w:tcPr>
            <w:tcW w:w="1039" w:type="dxa"/>
            <w:tcBorders>
              <w:top w:val="nil"/>
              <w:left w:val="nil"/>
              <w:bottom w:val="single" w:sz="4" w:space="0" w:color="auto"/>
              <w:right w:val="single" w:sz="4" w:space="0" w:color="auto"/>
            </w:tcBorders>
            <w:shd w:val="clear" w:color="auto" w:fill="auto"/>
            <w:noWrap/>
            <w:hideMark/>
          </w:tcPr>
          <w:p w14:paraId="55A77E7E"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89%</w:t>
            </w:r>
          </w:p>
        </w:tc>
        <w:tc>
          <w:tcPr>
            <w:tcW w:w="938" w:type="dxa"/>
            <w:tcBorders>
              <w:top w:val="nil"/>
              <w:left w:val="nil"/>
              <w:bottom w:val="single" w:sz="4" w:space="0" w:color="auto"/>
              <w:right w:val="single" w:sz="4" w:space="0" w:color="auto"/>
            </w:tcBorders>
            <w:shd w:val="clear" w:color="auto" w:fill="auto"/>
            <w:noWrap/>
            <w:hideMark/>
          </w:tcPr>
          <w:p w14:paraId="15AC7D32"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324" w:type="dxa"/>
            <w:tcBorders>
              <w:top w:val="nil"/>
              <w:left w:val="nil"/>
              <w:bottom w:val="single" w:sz="4" w:space="0" w:color="auto"/>
              <w:right w:val="single" w:sz="4" w:space="0" w:color="auto"/>
            </w:tcBorders>
            <w:shd w:val="clear" w:color="auto" w:fill="auto"/>
            <w:noWrap/>
            <w:hideMark/>
          </w:tcPr>
          <w:p w14:paraId="154B9D57" w14:textId="77777777" w:rsidR="00F235E1" w:rsidRPr="00F235E1" w:rsidRDefault="00F235E1" w:rsidP="00F235E1">
            <w:pPr>
              <w:spacing w:after="0" w:line="240" w:lineRule="auto"/>
              <w:jc w:val="right"/>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0%</w:t>
            </w:r>
          </w:p>
        </w:tc>
        <w:tc>
          <w:tcPr>
            <w:tcW w:w="962" w:type="dxa"/>
            <w:tcBorders>
              <w:top w:val="nil"/>
              <w:left w:val="nil"/>
              <w:bottom w:val="single" w:sz="4" w:space="0" w:color="auto"/>
              <w:right w:val="single" w:sz="4" w:space="0" w:color="auto"/>
            </w:tcBorders>
            <w:shd w:val="clear" w:color="auto" w:fill="auto"/>
            <w:noWrap/>
            <w:hideMark/>
          </w:tcPr>
          <w:p w14:paraId="10DFD299"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c>
          <w:tcPr>
            <w:tcW w:w="1286" w:type="dxa"/>
            <w:tcBorders>
              <w:top w:val="nil"/>
              <w:left w:val="nil"/>
              <w:bottom w:val="single" w:sz="4" w:space="0" w:color="auto"/>
              <w:right w:val="single" w:sz="4" w:space="0" w:color="auto"/>
            </w:tcBorders>
            <w:shd w:val="clear" w:color="auto" w:fill="auto"/>
            <w:noWrap/>
            <w:hideMark/>
          </w:tcPr>
          <w:p w14:paraId="759EEFB3" w14:textId="77777777" w:rsidR="00F235E1" w:rsidRPr="00F235E1" w:rsidRDefault="00F235E1" w:rsidP="00F235E1">
            <w:pPr>
              <w:spacing w:after="0" w:line="240" w:lineRule="auto"/>
              <w:rPr>
                <w:rFonts w:ascii="Calibri" w:eastAsia="Times New Roman" w:hAnsi="Calibri" w:cs="Times New Roman"/>
                <w:color w:val="000000"/>
                <w:lang w:eastAsia="en-US"/>
              </w:rPr>
            </w:pPr>
            <w:r w:rsidRPr="00F235E1">
              <w:rPr>
                <w:rFonts w:ascii="Calibri" w:eastAsia="Times New Roman" w:hAnsi="Calibri" w:cs="Times New Roman"/>
                <w:color w:val="000000"/>
                <w:lang w:eastAsia="en-US"/>
              </w:rPr>
              <w:t>N/a</w:t>
            </w:r>
          </w:p>
        </w:tc>
      </w:tr>
    </w:tbl>
    <w:p w14:paraId="526C3E00" w14:textId="77777777" w:rsidR="00CF5549" w:rsidRPr="004D1A4A" w:rsidRDefault="00CF5549" w:rsidP="00CF5549">
      <w:pPr>
        <w:spacing w:after="240" w:line="240" w:lineRule="auto"/>
        <w:ind w:left="360"/>
        <w:rPr>
          <w:b/>
          <w:bCs/>
          <w:color w:val="FF0000"/>
        </w:rPr>
      </w:pPr>
    </w:p>
    <w:p w14:paraId="2F27B07C" w14:textId="72551C3A" w:rsidR="003D04D6" w:rsidRPr="0011254E" w:rsidRDefault="5F884969" w:rsidP="003D04D6">
      <w:pPr>
        <w:spacing w:after="240" w:line="240" w:lineRule="auto"/>
        <w:ind w:left="360"/>
        <w:rPr>
          <w:b/>
          <w:bCs/>
          <w:i/>
        </w:rPr>
      </w:pPr>
      <w:r w:rsidRPr="0011254E">
        <w:rPr>
          <w:b/>
          <w:bCs/>
          <w:i/>
        </w:rPr>
        <w:t>Compare the demographics, in terms of protected class, of residents of each program category of publicly supported housing (public housing, project-based Section 8, Other Multifamily Assisted developments, and HCV) to the population in general, and persons who meet the income eligibility requirements for the relevant program category of publicly supported housing in the jurisdiction and region.  Include in the comparison, a description of whether there is a higher or lower proportion of groups based on protected class.</w:t>
      </w:r>
    </w:p>
    <w:p w14:paraId="0119C7E7" w14:textId="03A89326" w:rsidR="003418CC" w:rsidRDefault="003D04D6" w:rsidP="00EC4BFD">
      <w:pPr>
        <w:ind w:left="360"/>
      </w:pPr>
      <w:r>
        <w:lastRenderedPageBreak/>
        <w:t>Half of BHA residents living in</w:t>
      </w:r>
      <w:r w:rsidR="00DB5202">
        <w:t xml:space="preserve"> BHA-</w:t>
      </w:r>
      <w:r>
        <w:t>owned or managed properties have a disability compared to almost 60% of voucher holders. In addition, 201 elderly BHA residents</w:t>
      </w:r>
      <w:r w:rsidR="00DB5202">
        <w:t xml:space="preserve"> live in two of the agency’s properties.</w:t>
      </w:r>
    </w:p>
    <w:p w14:paraId="55168B02" w14:textId="74416B19" w:rsidR="003418CC" w:rsidRDefault="003418CC" w:rsidP="00734033">
      <w:pPr>
        <w:ind w:left="360"/>
      </w:pPr>
      <w:r>
        <w:t>A higher percentage of Blacks access the Project Based Section 8 program and the highest percentage accesses the Housing Choice Voucher Program. Although not as significantly h</w:t>
      </w:r>
      <w:r w:rsidR="00EC4BFD">
        <w:t>igh, Asians access the Project-</w:t>
      </w:r>
      <w:r>
        <w:t>Based Section 8 program as well.</w:t>
      </w:r>
    </w:p>
    <w:p w14:paraId="404C5553" w14:textId="41AC477E" w:rsidR="00D5289B" w:rsidRDefault="00EC4BFD" w:rsidP="005E70BC">
      <w:pPr>
        <w:ind w:left="360"/>
      </w:pPr>
      <w:r>
        <w:t xml:space="preserve">Refer to Table 23, Project-Based Section 8 where </w:t>
      </w:r>
      <w:r w:rsidR="00227669">
        <w:t>an equal number of Blacks and W</w:t>
      </w:r>
      <w:r>
        <w:t xml:space="preserve">hites live in Duggan Row Apartments, </w:t>
      </w:r>
      <w:r w:rsidR="00D5289B">
        <w:t xml:space="preserve">with Asian </w:t>
      </w:r>
      <w:r w:rsidR="00227669">
        <w:t xml:space="preserve">residents </w:t>
      </w:r>
      <w:r w:rsidR="00D5289B">
        <w:t>close behind.</w:t>
      </w:r>
    </w:p>
    <w:p w14:paraId="77DDBD56" w14:textId="77EB9D7D" w:rsidR="00D5289B" w:rsidRDefault="009F2438" w:rsidP="005E70BC">
      <w:pPr>
        <w:ind w:firstLine="360"/>
      </w:pPr>
      <w:r w:rsidRPr="005361F1">
        <w:rPr>
          <w:i/>
        </w:rPr>
        <w:t>BHA’</w:t>
      </w:r>
      <w:r>
        <w:rPr>
          <w:i/>
        </w:rPr>
        <w:t>s HAB Database</w:t>
      </w:r>
    </w:p>
    <w:p w14:paraId="369357F7" w14:textId="77777777" w:rsidR="005E70BC" w:rsidRDefault="005E70BC" w:rsidP="005E70BC">
      <w:r>
        <w:rPr>
          <w:b/>
        </w:rPr>
        <w:t>BHA Residents and Voucher Holders: Race by Number</w:t>
      </w:r>
    </w:p>
    <w:tbl>
      <w:tblPr>
        <w:tblW w:w="8906" w:type="dxa"/>
        <w:tblInd w:w="100" w:type="dxa"/>
        <w:tblLayout w:type="fixed"/>
        <w:tblLook w:val="04A0" w:firstRow="1" w:lastRow="0" w:firstColumn="1" w:lastColumn="0" w:noHBand="0" w:noVBand="1"/>
      </w:tblPr>
      <w:tblGrid>
        <w:gridCol w:w="3240"/>
        <w:gridCol w:w="1133"/>
        <w:gridCol w:w="1133"/>
        <w:gridCol w:w="1133"/>
        <w:gridCol w:w="1133"/>
        <w:gridCol w:w="1134"/>
      </w:tblGrid>
      <w:tr w:rsidR="005E70BC" w:rsidRPr="00FC7B05" w14:paraId="19A88E15" w14:textId="77777777" w:rsidTr="00E67926">
        <w:trPr>
          <w:trHeight w:val="288"/>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DA25F3E"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single" w:sz="4" w:space="0" w:color="auto"/>
              <w:left w:val="nil"/>
              <w:bottom w:val="single" w:sz="4" w:space="0" w:color="auto"/>
              <w:right w:val="single" w:sz="4" w:space="0" w:color="auto"/>
            </w:tcBorders>
            <w:shd w:val="clear" w:color="000000" w:fill="FFFFFF"/>
            <w:noWrap/>
            <w:vAlign w:val="bottom"/>
            <w:hideMark/>
          </w:tcPr>
          <w:p w14:paraId="692CB66C" w14:textId="77777777" w:rsidR="005E70BC" w:rsidRPr="00FC7B05" w:rsidRDefault="005E70BC" w:rsidP="00E67926">
            <w:pPr>
              <w:jc w:val="center"/>
              <w:rPr>
                <w:rFonts w:ascii="Calibri" w:eastAsia="Times New Roman" w:hAnsi="Calibri" w:cs="Times New Roman"/>
                <w:b/>
                <w:color w:val="000000"/>
              </w:rPr>
            </w:pPr>
            <w:r w:rsidRPr="00FC7B05">
              <w:rPr>
                <w:rFonts w:ascii="Calibri" w:eastAsia="Times New Roman" w:hAnsi="Calibri" w:cs="Times New Roman"/>
                <w:b/>
                <w:color w:val="000000"/>
              </w:rPr>
              <w:t>White</w:t>
            </w:r>
          </w:p>
        </w:tc>
        <w:tc>
          <w:tcPr>
            <w:tcW w:w="1133" w:type="dxa"/>
            <w:tcBorders>
              <w:top w:val="single" w:sz="4" w:space="0" w:color="auto"/>
              <w:left w:val="nil"/>
              <w:bottom w:val="single" w:sz="4" w:space="0" w:color="auto"/>
              <w:right w:val="single" w:sz="4" w:space="0" w:color="auto"/>
            </w:tcBorders>
            <w:shd w:val="clear" w:color="000000" w:fill="FFFFFF"/>
            <w:noWrap/>
            <w:vAlign w:val="bottom"/>
            <w:hideMark/>
          </w:tcPr>
          <w:p w14:paraId="735F3276" w14:textId="77777777" w:rsidR="005E70BC" w:rsidRPr="00FC7B05" w:rsidRDefault="005E70BC" w:rsidP="00E67926">
            <w:pPr>
              <w:jc w:val="center"/>
              <w:rPr>
                <w:rFonts w:ascii="Calibri" w:eastAsia="Times New Roman" w:hAnsi="Calibri" w:cs="Times New Roman"/>
                <w:b/>
                <w:color w:val="000000"/>
              </w:rPr>
            </w:pPr>
            <w:r w:rsidRPr="00FC7B05">
              <w:rPr>
                <w:rFonts w:ascii="Calibri" w:eastAsia="Times New Roman" w:hAnsi="Calibri" w:cs="Times New Roman"/>
                <w:b/>
                <w:color w:val="000000"/>
              </w:rPr>
              <w:t>Black</w:t>
            </w:r>
          </w:p>
        </w:tc>
        <w:tc>
          <w:tcPr>
            <w:tcW w:w="1133" w:type="dxa"/>
            <w:tcBorders>
              <w:top w:val="single" w:sz="4" w:space="0" w:color="auto"/>
              <w:left w:val="nil"/>
              <w:bottom w:val="single" w:sz="4" w:space="0" w:color="auto"/>
              <w:right w:val="single" w:sz="4" w:space="0" w:color="auto"/>
            </w:tcBorders>
            <w:shd w:val="clear" w:color="000000" w:fill="FFFFFF"/>
            <w:noWrap/>
            <w:vAlign w:val="bottom"/>
            <w:hideMark/>
          </w:tcPr>
          <w:p w14:paraId="261FC1EB" w14:textId="77777777" w:rsidR="005E70BC" w:rsidRPr="00FC7B05" w:rsidRDefault="005E70BC" w:rsidP="00E67926">
            <w:pPr>
              <w:jc w:val="center"/>
              <w:rPr>
                <w:rFonts w:ascii="Calibri" w:eastAsia="Times New Roman" w:hAnsi="Calibri" w:cs="Times New Roman"/>
                <w:b/>
                <w:color w:val="000000"/>
              </w:rPr>
            </w:pPr>
            <w:r w:rsidRPr="00FC7B05">
              <w:rPr>
                <w:rFonts w:ascii="Calibri" w:eastAsia="Times New Roman" w:hAnsi="Calibri" w:cs="Times New Roman"/>
                <w:b/>
                <w:color w:val="000000"/>
              </w:rPr>
              <w:t>Native American</w:t>
            </w:r>
          </w:p>
        </w:tc>
        <w:tc>
          <w:tcPr>
            <w:tcW w:w="1133" w:type="dxa"/>
            <w:tcBorders>
              <w:top w:val="single" w:sz="4" w:space="0" w:color="auto"/>
              <w:left w:val="nil"/>
              <w:bottom w:val="single" w:sz="4" w:space="0" w:color="auto"/>
              <w:right w:val="single" w:sz="4" w:space="0" w:color="auto"/>
            </w:tcBorders>
            <w:shd w:val="clear" w:color="000000" w:fill="FFFFFF"/>
            <w:noWrap/>
            <w:vAlign w:val="bottom"/>
            <w:hideMark/>
          </w:tcPr>
          <w:p w14:paraId="2B5F2153" w14:textId="77777777" w:rsidR="005E70BC" w:rsidRPr="00FC7B05" w:rsidRDefault="005E70BC" w:rsidP="00E67926">
            <w:pPr>
              <w:jc w:val="center"/>
              <w:rPr>
                <w:rFonts w:ascii="Calibri" w:eastAsia="Times New Roman" w:hAnsi="Calibri" w:cs="Times New Roman"/>
                <w:b/>
                <w:color w:val="000000"/>
              </w:rPr>
            </w:pPr>
            <w:r w:rsidRPr="00FC7B05">
              <w:rPr>
                <w:rFonts w:ascii="Calibri" w:eastAsia="Times New Roman" w:hAnsi="Calibri" w:cs="Times New Roman"/>
                <w:b/>
                <w:color w:val="000000"/>
              </w:rPr>
              <w:t>Asian</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7B8E3588" w14:textId="77777777" w:rsidR="005E70BC" w:rsidRPr="00FC7B05" w:rsidRDefault="005E70BC" w:rsidP="00E67926">
            <w:pPr>
              <w:jc w:val="center"/>
              <w:rPr>
                <w:rFonts w:ascii="Calibri" w:eastAsia="Times New Roman" w:hAnsi="Calibri" w:cs="Times New Roman"/>
                <w:b/>
                <w:color w:val="000000"/>
              </w:rPr>
            </w:pPr>
            <w:r w:rsidRPr="00FC7B05">
              <w:rPr>
                <w:rFonts w:ascii="Calibri" w:eastAsia="Times New Roman" w:hAnsi="Calibri" w:cs="Times New Roman"/>
                <w:b/>
                <w:color w:val="000000"/>
              </w:rPr>
              <w:t>Pacific Islander</w:t>
            </w:r>
          </w:p>
        </w:tc>
      </w:tr>
      <w:tr w:rsidR="005E70BC" w:rsidRPr="00FC7B05" w14:paraId="6D41536D"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25F6FDA" w14:textId="77777777" w:rsidR="005E70BC" w:rsidRPr="00FC7B05" w:rsidRDefault="005E70BC" w:rsidP="00E67926">
            <w:pPr>
              <w:rPr>
                <w:rFonts w:ascii="Calibri" w:eastAsia="Times New Roman" w:hAnsi="Calibri" w:cs="Times New Roman"/>
                <w:b/>
                <w:bCs/>
                <w:color w:val="000000"/>
              </w:rPr>
            </w:pPr>
            <w:r w:rsidRPr="00FC7B05">
              <w:rPr>
                <w:rFonts w:ascii="Calibri" w:eastAsia="Times New Roman" w:hAnsi="Calibri" w:cs="Times New Roman"/>
                <w:b/>
                <w:bCs/>
                <w:color w:val="000000"/>
              </w:rPr>
              <w:t>BHA Property</w:t>
            </w:r>
          </w:p>
        </w:tc>
        <w:tc>
          <w:tcPr>
            <w:tcW w:w="1133" w:type="dxa"/>
            <w:tcBorders>
              <w:top w:val="nil"/>
              <w:left w:val="nil"/>
              <w:bottom w:val="single" w:sz="4" w:space="0" w:color="auto"/>
              <w:right w:val="single" w:sz="4" w:space="0" w:color="auto"/>
            </w:tcBorders>
            <w:shd w:val="clear" w:color="000000" w:fill="FFFFFF"/>
            <w:noWrap/>
            <w:vAlign w:val="bottom"/>
            <w:hideMark/>
          </w:tcPr>
          <w:p w14:paraId="5252EF30" w14:textId="77777777" w:rsidR="005E70BC" w:rsidRPr="00FC7B05" w:rsidRDefault="005E70BC" w:rsidP="00E67926">
            <w:pPr>
              <w:jc w:val="right"/>
              <w:rPr>
                <w:rFonts w:ascii="Calibri" w:eastAsia="Times New Roman" w:hAnsi="Calibri" w:cs="Times New Roman"/>
                <w:b/>
                <w:bCs/>
                <w:color w:val="000000"/>
              </w:rPr>
            </w:pPr>
          </w:p>
        </w:tc>
        <w:tc>
          <w:tcPr>
            <w:tcW w:w="1133" w:type="dxa"/>
            <w:tcBorders>
              <w:top w:val="nil"/>
              <w:left w:val="nil"/>
              <w:bottom w:val="single" w:sz="4" w:space="0" w:color="auto"/>
              <w:right w:val="single" w:sz="4" w:space="0" w:color="auto"/>
            </w:tcBorders>
            <w:shd w:val="clear" w:color="000000" w:fill="FFFFFF"/>
            <w:noWrap/>
            <w:vAlign w:val="bottom"/>
            <w:hideMark/>
          </w:tcPr>
          <w:p w14:paraId="52AEDAFB" w14:textId="77777777" w:rsidR="005E70BC" w:rsidRPr="00FC7B05" w:rsidRDefault="005E70BC" w:rsidP="00E67926">
            <w:pPr>
              <w:jc w:val="right"/>
              <w:rPr>
                <w:rFonts w:ascii="Calibri" w:eastAsia="Times New Roman" w:hAnsi="Calibri" w:cs="Times New Roman"/>
                <w:b/>
                <w:bCs/>
                <w:color w:val="000000"/>
              </w:rPr>
            </w:pPr>
          </w:p>
        </w:tc>
        <w:tc>
          <w:tcPr>
            <w:tcW w:w="1133" w:type="dxa"/>
            <w:tcBorders>
              <w:top w:val="nil"/>
              <w:left w:val="nil"/>
              <w:bottom w:val="single" w:sz="4" w:space="0" w:color="auto"/>
              <w:right w:val="single" w:sz="4" w:space="0" w:color="auto"/>
            </w:tcBorders>
            <w:shd w:val="clear" w:color="000000" w:fill="FFFFFF"/>
            <w:noWrap/>
            <w:vAlign w:val="bottom"/>
            <w:hideMark/>
          </w:tcPr>
          <w:p w14:paraId="1913A128" w14:textId="77777777" w:rsidR="005E70BC" w:rsidRPr="00FC7B05" w:rsidRDefault="005E70BC" w:rsidP="00E67926">
            <w:pPr>
              <w:jc w:val="right"/>
              <w:rPr>
                <w:rFonts w:ascii="Calibri" w:eastAsia="Times New Roman" w:hAnsi="Calibri" w:cs="Times New Roman"/>
                <w:b/>
                <w:bCs/>
                <w:color w:val="000000"/>
              </w:rPr>
            </w:pPr>
          </w:p>
        </w:tc>
        <w:tc>
          <w:tcPr>
            <w:tcW w:w="1133" w:type="dxa"/>
            <w:tcBorders>
              <w:top w:val="nil"/>
              <w:left w:val="nil"/>
              <w:bottom w:val="single" w:sz="4" w:space="0" w:color="auto"/>
              <w:right w:val="single" w:sz="4" w:space="0" w:color="auto"/>
            </w:tcBorders>
            <w:shd w:val="clear" w:color="000000" w:fill="FFFFFF"/>
            <w:noWrap/>
            <w:vAlign w:val="bottom"/>
            <w:hideMark/>
          </w:tcPr>
          <w:p w14:paraId="211A4A6F" w14:textId="77777777" w:rsidR="005E70BC" w:rsidRPr="00FC7B05" w:rsidRDefault="005E70BC" w:rsidP="00E67926">
            <w:pPr>
              <w:jc w:val="right"/>
              <w:rPr>
                <w:rFonts w:ascii="Calibri" w:eastAsia="Times New Roman" w:hAnsi="Calibri" w:cs="Times New Roman"/>
                <w:b/>
                <w:bCs/>
                <w:color w:val="000000"/>
              </w:rPr>
            </w:pPr>
          </w:p>
        </w:tc>
        <w:tc>
          <w:tcPr>
            <w:tcW w:w="1134" w:type="dxa"/>
            <w:tcBorders>
              <w:top w:val="nil"/>
              <w:left w:val="nil"/>
              <w:bottom w:val="single" w:sz="4" w:space="0" w:color="auto"/>
              <w:right w:val="single" w:sz="4" w:space="0" w:color="auto"/>
            </w:tcBorders>
            <w:shd w:val="clear" w:color="000000" w:fill="FFFFFF"/>
            <w:noWrap/>
            <w:vAlign w:val="bottom"/>
            <w:hideMark/>
          </w:tcPr>
          <w:p w14:paraId="08A64212" w14:textId="77777777" w:rsidR="005E70BC" w:rsidRPr="00FC7B05" w:rsidRDefault="005E70BC" w:rsidP="00E67926">
            <w:pPr>
              <w:jc w:val="right"/>
              <w:rPr>
                <w:rFonts w:ascii="Calibri" w:eastAsia="Times New Roman" w:hAnsi="Calibri" w:cs="Times New Roman"/>
                <w:b/>
                <w:bCs/>
                <w:color w:val="000000"/>
              </w:rPr>
            </w:pPr>
          </w:p>
        </w:tc>
      </w:tr>
      <w:tr w:rsidR="005E70BC" w:rsidRPr="00FC7B05" w14:paraId="78122BD5"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E2A60D9"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103 East Allen</w:t>
            </w:r>
          </w:p>
        </w:tc>
        <w:tc>
          <w:tcPr>
            <w:tcW w:w="1133" w:type="dxa"/>
            <w:tcBorders>
              <w:top w:val="nil"/>
              <w:left w:val="nil"/>
              <w:bottom w:val="single" w:sz="4" w:space="0" w:color="auto"/>
              <w:right w:val="single" w:sz="4" w:space="0" w:color="auto"/>
            </w:tcBorders>
            <w:shd w:val="clear" w:color="000000" w:fill="FFFFFF"/>
            <w:noWrap/>
            <w:vAlign w:val="bottom"/>
            <w:hideMark/>
          </w:tcPr>
          <w:p w14:paraId="3AD26689"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34B4596E"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05D7ABA1"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3DDFEAB9"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523C8DA1" w14:textId="77777777" w:rsidR="005E70BC" w:rsidRPr="00FC7B05" w:rsidRDefault="005E70BC" w:rsidP="00E67926">
            <w:pPr>
              <w:jc w:val="right"/>
              <w:rPr>
                <w:rFonts w:ascii="Calibri" w:eastAsia="Times New Roman" w:hAnsi="Calibri" w:cs="Times New Roman"/>
                <w:color w:val="000000"/>
              </w:rPr>
            </w:pPr>
          </w:p>
        </w:tc>
      </w:tr>
      <w:tr w:rsidR="005E70BC" w:rsidRPr="00FC7B05" w14:paraId="3493202B"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6C287C1E"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105 East Allen</w:t>
            </w:r>
          </w:p>
        </w:tc>
        <w:tc>
          <w:tcPr>
            <w:tcW w:w="1133" w:type="dxa"/>
            <w:tcBorders>
              <w:top w:val="nil"/>
              <w:left w:val="nil"/>
              <w:bottom w:val="single" w:sz="4" w:space="0" w:color="auto"/>
              <w:right w:val="single" w:sz="4" w:space="0" w:color="auto"/>
            </w:tcBorders>
            <w:shd w:val="clear" w:color="000000" w:fill="FFFFFF"/>
            <w:noWrap/>
            <w:vAlign w:val="bottom"/>
            <w:hideMark/>
          </w:tcPr>
          <w:p w14:paraId="682E80E9"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3</w:t>
            </w:r>
          </w:p>
        </w:tc>
        <w:tc>
          <w:tcPr>
            <w:tcW w:w="1133" w:type="dxa"/>
            <w:tcBorders>
              <w:top w:val="nil"/>
              <w:left w:val="nil"/>
              <w:bottom w:val="single" w:sz="4" w:space="0" w:color="auto"/>
              <w:right w:val="single" w:sz="4" w:space="0" w:color="auto"/>
            </w:tcBorders>
            <w:shd w:val="clear" w:color="000000" w:fill="FFFFFF"/>
            <w:noWrap/>
            <w:vAlign w:val="bottom"/>
            <w:hideMark/>
          </w:tcPr>
          <w:p w14:paraId="5B1447C7"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w:t>
            </w:r>
          </w:p>
        </w:tc>
        <w:tc>
          <w:tcPr>
            <w:tcW w:w="1133" w:type="dxa"/>
            <w:tcBorders>
              <w:top w:val="nil"/>
              <w:left w:val="nil"/>
              <w:bottom w:val="single" w:sz="4" w:space="0" w:color="auto"/>
              <w:right w:val="single" w:sz="4" w:space="0" w:color="auto"/>
            </w:tcBorders>
            <w:shd w:val="clear" w:color="000000" w:fill="FFFFFF"/>
            <w:noWrap/>
            <w:vAlign w:val="bottom"/>
            <w:hideMark/>
          </w:tcPr>
          <w:p w14:paraId="34129508"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47EC116C"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000000" w:fill="FFFFFF"/>
            <w:noWrap/>
            <w:vAlign w:val="bottom"/>
            <w:hideMark/>
          </w:tcPr>
          <w:p w14:paraId="46653AF2"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6283273B"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B45EBB0"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693-711 Riverside Avenue</w:t>
            </w:r>
          </w:p>
        </w:tc>
        <w:tc>
          <w:tcPr>
            <w:tcW w:w="1133" w:type="dxa"/>
            <w:tcBorders>
              <w:top w:val="nil"/>
              <w:left w:val="nil"/>
              <w:bottom w:val="single" w:sz="4" w:space="0" w:color="auto"/>
              <w:right w:val="single" w:sz="4" w:space="0" w:color="auto"/>
            </w:tcBorders>
            <w:shd w:val="clear" w:color="000000" w:fill="FFFFFF"/>
            <w:noWrap/>
            <w:vAlign w:val="bottom"/>
            <w:hideMark/>
          </w:tcPr>
          <w:p w14:paraId="146F7F27"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7</w:t>
            </w:r>
          </w:p>
        </w:tc>
        <w:tc>
          <w:tcPr>
            <w:tcW w:w="1133" w:type="dxa"/>
            <w:tcBorders>
              <w:top w:val="nil"/>
              <w:left w:val="nil"/>
              <w:bottom w:val="single" w:sz="4" w:space="0" w:color="auto"/>
              <w:right w:val="single" w:sz="4" w:space="0" w:color="auto"/>
            </w:tcBorders>
            <w:shd w:val="clear" w:color="000000" w:fill="FFFFFF"/>
            <w:noWrap/>
            <w:vAlign w:val="bottom"/>
            <w:hideMark/>
          </w:tcPr>
          <w:p w14:paraId="146DC832"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52A5F583"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43C88A24"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7F6861F6"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5</w:t>
            </w:r>
          </w:p>
        </w:tc>
      </w:tr>
      <w:tr w:rsidR="005E70BC" w:rsidRPr="00FC7B05" w14:paraId="1F89E198"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C84EEDA"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Bobbin Mill Apartments</w:t>
            </w:r>
          </w:p>
        </w:tc>
        <w:tc>
          <w:tcPr>
            <w:tcW w:w="1133" w:type="dxa"/>
            <w:tcBorders>
              <w:top w:val="nil"/>
              <w:left w:val="nil"/>
              <w:bottom w:val="single" w:sz="4" w:space="0" w:color="auto"/>
              <w:right w:val="single" w:sz="4" w:space="0" w:color="auto"/>
            </w:tcBorders>
            <w:shd w:val="clear" w:color="000000" w:fill="FFFFFF"/>
            <w:noWrap/>
            <w:vAlign w:val="bottom"/>
            <w:hideMark/>
          </w:tcPr>
          <w:p w14:paraId="72CC1B07"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32</w:t>
            </w:r>
          </w:p>
        </w:tc>
        <w:tc>
          <w:tcPr>
            <w:tcW w:w="1133" w:type="dxa"/>
            <w:tcBorders>
              <w:top w:val="nil"/>
              <w:left w:val="nil"/>
              <w:bottom w:val="single" w:sz="4" w:space="0" w:color="auto"/>
              <w:right w:val="single" w:sz="4" w:space="0" w:color="auto"/>
            </w:tcBorders>
            <w:shd w:val="clear" w:color="000000" w:fill="FFFFFF"/>
            <w:noWrap/>
            <w:vAlign w:val="bottom"/>
            <w:hideMark/>
          </w:tcPr>
          <w:p w14:paraId="1B35C2B9"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8</w:t>
            </w:r>
          </w:p>
        </w:tc>
        <w:tc>
          <w:tcPr>
            <w:tcW w:w="1133" w:type="dxa"/>
            <w:tcBorders>
              <w:top w:val="nil"/>
              <w:left w:val="nil"/>
              <w:bottom w:val="single" w:sz="4" w:space="0" w:color="auto"/>
              <w:right w:val="single" w:sz="4" w:space="0" w:color="auto"/>
            </w:tcBorders>
            <w:shd w:val="clear" w:color="000000" w:fill="FFFFFF"/>
            <w:noWrap/>
            <w:vAlign w:val="bottom"/>
            <w:hideMark/>
          </w:tcPr>
          <w:p w14:paraId="787BEB53"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w:t>
            </w:r>
          </w:p>
        </w:tc>
        <w:tc>
          <w:tcPr>
            <w:tcW w:w="1133" w:type="dxa"/>
            <w:tcBorders>
              <w:top w:val="nil"/>
              <w:left w:val="nil"/>
              <w:bottom w:val="single" w:sz="4" w:space="0" w:color="auto"/>
              <w:right w:val="single" w:sz="4" w:space="0" w:color="auto"/>
            </w:tcBorders>
            <w:shd w:val="clear" w:color="000000" w:fill="FFFFFF"/>
            <w:noWrap/>
            <w:vAlign w:val="bottom"/>
            <w:hideMark/>
          </w:tcPr>
          <w:p w14:paraId="44FFD13A"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10</w:t>
            </w:r>
          </w:p>
        </w:tc>
        <w:tc>
          <w:tcPr>
            <w:tcW w:w="1134" w:type="dxa"/>
            <w:tcBorders>
              <w:top w:val="nil"/>
              <w:left w:val="nil"/>
              <w:bottom w:val="single" w:sz="4" w:space="0" w:color="auto"/>
              <w:right w:val="single" w:sz="4" w:space="0" w:color="auto"/>
            </w:tcBorders>
            <w:shd w:val="clear" w:color="000000" w:fill="FFFFFF"/>
            <w:noWrap/>
            <w:vAlign w:val="bottom"/>
            <w:hideMark/>
          </w:tcPr>
          <w:p w14:paraId="250A8480"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72C493FE"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7A03573"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Duggan Row House</w:t>
            </w:r>
          </w:p>
        </w:tc>
        <w:tc>
          <w:tcPr>
            <w:tcW w:w="1133" w:type="dxa"/>
            <w:tcBorders>
              <w:top w:val="nil"/>
              <w:left w:val="nil"/>
              <w:bottom w:val="single" w:sz="4" w:space="0" w:color="auto"/>
              <w:right w:val="single" w:sz="4" w:space="0" w:color="auto"/>
            </w:tcBorders>
            <w:shd w:val="clear" w:color="000000" w:fill="FFFFFF"/>
            <w:noWrap/>
            <w:vAlign w:val="bottom"/>
            <w:hideMark/>
          </w:tcPr>
          <w:p w14:paraId="282F3D38"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4</w:t>
            </w:r>
          </w:p>
        </w:tc>
        <w:tc>
          <w:tcPr>
            <w:tcW w:w="1133" w:type="dxa"/>
            <w:tcBorders>
              <w:top w:val="nil"/>
              <w:left w:val="nil"/>
              <w:bottom w:val="single" w:sz="4" w:space="0" w:color="auto"/>
              <w:right w:val="single" w:sz="4" w:space="0" w:color="auto"/>
            </w:tcBorders>
            <w:shd w:val="clear" w:color="000000" w:fill="FFFFFF"/>
            <w:noWrap/>
            <w:vAlign w:val="bottom"/>
            <w:hideMark/>
          </w:tcPr>
          <w:p w14:paraId="374C48EA"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3</w:t>
            </w:r>
          </w:p>
        </w:tc>
        <w:tc>
          <w:tcPr>
            <w:tcW w:w="1133" w:type="dxa"/>
            <w:tcBorders>
              <w:top w:val="nil"/>
              <w:left w:val="nil"/>
              <w:bottom w:val="single" w:sz="4" w:space="0" w:color="auto"/>
              <w:right w:val="single" w:sz="4" w:space="0" w:color="auto"/>
            </w:tcBorders>
            <w:shd w:val="clear" w:color="000000" w:fill="FFFFFF"/>
            <w:noWrap/>
            <w:vAlign w:val="bottom"/>
            <w:hideMark/>
          </w:tcPr>
          <w:p w14:paraId="0495FBFF"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08F127F4"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5</w:t>
            </w:r>
          </w:p>
        </w:tc>
        <w:tc>
          <w:tcPr>
            <w:tcW w:w="1134" w:type="dxa"/>
            <w:tcBorders>
              <w:top w:val="nil"/>
              <w:left w:val="nil"/>
              <w:bottom w:val="single" w:sz="4" w:space="0" w:color="auto"/>
              <w:right w:val="single" w:sz="4" w:space="0" w:color="auto"/>
            </w:tcBorders>
            <w:shd w:val="clear" w:color="000000" w:fill="FFFFFF"/>
            <w:noWrap/>
            <w:vAlign w:val="bottom"/>
            <w:hideMark/>
          </w:tcPr>
          <w:p w14:paraId="2696659A"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6879A35A"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A6E6950"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Elderly - Champlain</w:t>
            </w:r>
          </w:p>
        </w:tc>
        <w:tc>
          <w:tcPr>
            <w:tcW w:w="1133" w:type="dxa"/>
            <w:tcBorders>
              <w:top w:val="nil"/>
              <w:left w:val="nil"/>
              <w:bottom w:val="single" w:sz="4" w:space="0" w:color="auto"/>
              <w:right w:val="single" w:sz="4" w:space="0" w:color="auto"/>
            </w:tcBorders>
            <w:shd w:val="clear" w:color="000000" w:fill="FFFFFF"/>
            <w:noWrap/>
            <w:vAlign w:val="bottom"/>
            <w:hideMark/>
          </w:tcPr>
          <w:p w14:paraId="78CB0D95"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43</w:t>
            </w:r>
          </w:p>
        </w:tc>
        <w:tc>
          <w:tcPr>
            <w:tcW w:w="1133" w:type="dxa"/>
            <w:tcBorders>
              <w:top w:val="nil"/>
              <w:left w:val="nil"/>
              <w:bottom w:val="single" w:sz="4" w:space="0" w:color="auto"/>
              <w:right w:val="single" w:sz="4" w:space="0" w:color="auto"/>
            </w:tcBorders>
            <w:shd w:val="clear" w:color="000000" w:fill="FFFFFF"/>
            <w:noWrap/>
            <w:vAlign w:val="bottom"/>
            <w:hideMark/>
          </w:tcPr>
          <w:p w14:paraId="20D50025"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w:t>
            </w:r>
          </w:p>
        </w:tc>
        <w:tc>
          <w:tcPr>
            <w:tcW w:w="1133" w:type="dxa"/>
            <w:tcBorders>
              <w:top w:val="nil"/>
              <w:left w:val="nil"/>
              <w:bottom w:val="single" w:sz="4" w:space="0" w:color="auto"/>
              <w:right w:val="single" w:sz="4" w:space="0" w:color="auto"/>
            </w:tcBorders>
            <w:shd w:val="clear" w:color="000000" w:fill="FFFFFF"/>
            <w:noWrap/>
            <w:vAlign w:val="bottom"/>
            <w:hideMark/>
          </w:tcPr>
          <w:p w14:paraId="26735E64"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w:t>
            </w:r>
          </w:p>
        </w:tc>
        <w:tc>
          <w:tcPr>
            <w:tcW w:w="1133" w:type="dxa"/>
            <w:tcBorders>
              <w:top w:val="nil"/>
              <w:left w:val="nil"/>
              <w:bottom w:val="single" w:sz="4" w:space="0" w:color="auto"/>
              <w:right w:val="single" w:sz="4" w:space="0" w:color="auto"/>
            </w:tcBorders>
            <w:shd w:val="clear" w:color="000000" w:fill="FFFFFF"/>
            <w:noWrap/>
            <w:vAlign w:val="bottom"/>
            <w:hideMark/>
          </w:tcPr>
          <w:p w14:paraId="32F8D8BA"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0F9F2C78"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2F6730CE"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D7C9089"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Elderly - Decker</w:t>
            </w:r>
          </w:p>
        </w:tc>
        <w:tc>
          <w:tcPr>
            <w:tcW w:w="1133" w:type="dxa"/>
            <w:tcBorders>
              <w:top w:val="nil"/>
              <w:left w:val="nil"/>
              <w:bottom w:val="single" w:sz="4" w:space="0" w:color="auto"/>
              <w:right w:val="single" w:sz="4" w:space="0" w:color="auto"/>
            </w:tcBorders>
            <w:shd w:val="clear" w:color="000000" w:fill="FFFFFF"/>
            <w:noWrap/>
            <w:vAlign w:val="bottom"/>
            <w:hideMark/>
          </w:tcPr>
          <w:p w14:paraId="4EC18D45"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139</w:t>
            </w:r>
          </w:p>
        </w:tc>
        <w:tc>
          <w:tcPr>
            <w:tcW w:w="1133" w:type="dxa"/>
            <w:tcBorders>
              <w:top w:val="nil"/>
              <w:left w:val="nil"/>
              <w:bottom w:val="single" w:sz="4" w:space="0" w:color="auto"/>
              <w:right w:val="single" w:sz="4" w:space="0" w:color="auto"/>
            </w:tcBorders>
            <w:shd w:val="clear" w:color="000000" w:fill="FFFFFF"/>
            <w:noWrap/>
            <w:vAlign w:val="bottom"/>
            <w:hideMark/>
          </w:tcPr>
          <w:p w14:paraId="72555E10"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9</w:t>
            </w:r>
          </w:p>
        </w:tc>
        <w:tc>
          <w:tcPr>
            <w:tcW w:w="1133" w:type="dxa"/>
            <w:tcBorders>
              <w:top w:val="nil"/>
              <w:left w:val="nil"/>
              <w:bottom w:val="single" w:sz="4" w:space="0" w:color="auto"/>
              <w:right w:val="single" w:sz="4" w:space="0" w:color="auto"/>
            </w:tcBorders>
            <w:shd w:val="clear" w:color="000000" w:fill="FFFFFF"/>
            <w:noWrap/>
            <w:vAlign w:val="bottom"/>
            <w:hideMark/>
          </w:tcPr>
          <w:p w14:paraId="50068F63"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3</w:t>
            </w:r>
          </w:p>
        </w:tc>
        <w:tc>
          <w:tcPr>
            <w:tcW w:w="1133" w:type="dxa"/>
            <w:tcBorders>
              <w:top w:val="nil"/>
              <w:left w:val="nil"/>
              <w:bottom w:val="single" w:sz="4" w:space="0" w:color="auto"/>
              <w:right w:val="single" w:sz="4" w:space="0" w:color="auto"/>
            </w:tcBorders>
            <w:shd w:val="clear" w:color="000000" w:fill="FFFFFF"/>
            <w:noWrap/>
            <w:vAlign w:val="bottom"/>
            <w:hideMark/>
          </w:tcPr>
          <w:p w14:paraId="26B7A14F"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5</w:t>
            </w:r>
          </w:p>
        </w:tc>
        <w:tc>
          <w:tcPr>
            <w:tcW w:w="1134" w:type="dxa"/>
            <w:tcBorders>
              <w:top w:val="nil"/>
              <w:left w:val="nil"/>
              <w:bottom w:val="single" w:sz="4" w:space="0" w:color="auto"/>
              <w:right w:val="single" w:sz="4" w:space="0" w:color="auto"/>
            </w:tcBorders>
            <w:shd w:val="clear" w:color="000000" w:fill="FFFFFF"/>
            <w:noWrap/>
            <w:vAlign w:val="bottom"/>
            <w:hideMark/>
          </w:tcPr>
          <w:p w14:paraId="6DB40D18"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43B5E9E8"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4C815A5"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Family - Franklin</w:t>
            </w:r>
          </w:p>
        </w:tc>
        <w:tc>
          <w:tcPr>
            <w:tcW w:w="1133" w:type="dxa"/>
            <w:tcBorders>
              <w:top w:val="nil"/>
              <w:left w:val="nil"/>
              <w:bottom w:val="single" w:sz="4" w:space="0" w:color="auto"/>
              <w:right w:val="single" w:sz="4" w:space="0" w:color="auto"/>
            </w:tcBorders>
            <w:shd w:val="clear" w:color="000000" w:fill="FFFFFF"/>
            <w:noWrap/>
            <w:vAlign w:val="bottom"/>
            <w:hideMark/>
          </w:tcPr>
          <w:p w14:paraId="2AF3275F"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24</w:t>
            </w:r>
          </w:p>
        </w:tc>
        <w:tc>
          <w:tcPr>
            <w:tcW w:w="1133" w:type="dxa"/>
            <w:tcBorders>
              <w:top w:val="nil"/>
              <w:left w:val="nil"/>
              <w:bottom w:val="single" w:sz="4" w:space="0" w:color="auto"/>
              <w:right w:val="single" w:sz="4" w:space="0" w:color="auto"/>
            </w:tcBorders>
            <w:shd w:val="clear" w:color="000000" w:fill="FFFFFF"/>
            <w:noWrap/>
            <w:vAlign w:val="bottom"/>
            <w:hideMark/>
          </w:tcPr>
          <w:p w14:paraId="4D3A257A"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19</w:t>
            </w:r>
          </w:p>
        </w:tc>
        <w:tc>
          <w:tcPr>
            <w:tcW w:w="1133" w:type="dxa"/>
            <w:tcBorders>
              <w:top w:val="nil"/>
              <w:left w:val="nil"/>
              <w:bottom w:val="single" w:sz="4" w:space="0" w:color="auto"/>
              <w:right w:val="single" w:sz="4" w:space="0" w:color="auto"/>
            </w:tcBorders>
            <w:shd w:val="clear" w:color="000000" w:fill="FFFFFF"/>
            <w:noWrap/>
            <w:vAlign w:val="bottom"/>
            <w:hideMark/>
          </w:tcPr>
          <w:p w14:paraId="4ABC9B7A"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40A56F36"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13</w:t>
            </w:r>
          </w:p>
        </w:tc>
        <w:tc>
          <w:tcPr>
            <w:tcW w:w="1134" w:type="dxa"/>
            <w:tcBorders>
              <w:top w:val="nil"/>
              <w:left w:val="nil"/>
              <w:bottom w:val="single" w:sz="4" w:space="0" w:color="auto"/>
              <w:right w:val="single" w:sz="4" w:space="0" w:color="auto"/>
            </w:tcBorders>
            <w:shd w:val="clear" w:color="000000" w:fill="FFFFFF"/>
            <w:noWrap/>
            <w:vAlign w:val="bottom"/>
            <w:hideMark/>
          </w:tcPr>
          <w:p w14:paraId="25A846EE"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32472956"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4DB5421"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Family - Hillside</w:t>
            </w:r>
          </w:p>
        </w:tc>
        <w:tc>
          <w:tcPr>
            <w:tcW w:w="1133" w:type="dxa"/>
            <w:tcBorders>
              <w:top w:val="nil"/>
              <w:left w:val="nil"/>
              <w:bottom w:val="single" w:sz="4" w:space="0" w:color="auto"/>
              <w:right w:val="single" w:sz="4" w:space="0" w:color="auto"/>
            </w:tcBorders>
            <w:shd w:val="clear" w:color="000000" w:fill="FFFFFF"/>
            <w:noWrap/>
            <w:vAlign w:val="bottom"/>
            <w:hideMark/>
          </w:tcPr>
          <w:p w14:paraId="5D375093"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20</w:t>
            </w:r>
          </w:p>
        </w:tc>
        <w:tc>
          <w:tcPr>
            <w:tcW w:w="1133" w:type="dxa"/>
            <w:tcBorders>
              <w:top w:val="nil"/>
              <w:left w:val="nil"/>
              <w:bottom w:val="single" w:sz="4" w:space="0" w:color="auto"/>
              <w:right w:val="single" w:sz="4" w:space="0" w:color="auto"/>
            </w:tcBorders>
            <w:shd w:val="clear" w:color="000000" w:fill="FFFFFF"/>
            <w:noWrap/>
            <w:vAlign w:val="bottom"/>
            <w:hideMark/>
          </w:tcPr>
          <w:p w14:paraId="2E1B0865"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5E1DE13B"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w:t>
            </w:r>
          </w:p>
        </w:tc>
        <w:tc>
          <w:tcPr>
            <w:tcW w:w="1133" w:type="dxa"/>
            <w:tcBorders>
              <w:top w:val="nil"/>
              <w:left w:val="nil"/>
              <w:bottom w:val="single" w:sz="4" w:space="0" w:color="auto"/>
              <w:right w:val="single" w:sz="4" w:space="0" w:color="auto"/>
            </w:tcBorders>
            <w:shd w:val="clear" w:color="000000" w:fill="FFFFFF"/>
            <w:noWrap/>
            <w:vAlign w:val="bottom"/>
            <w:hideMark/>
          </w:tcPr>
          <w:p w14:paraId="3B568CC5"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5</w:t>
            </w:r>
          </w:p>
        </w:tc>
        <w:tc>
          <w:tcPr>
            <w:tcW w:w="1134" w:type="dxa"/>
            <w:tcBorders>
              <w:top w:val="nil"/>
              <w:left w:val="nil"/>
              <w:bottom w:val="single" w:sz="4" w:space="0" w:color="auto"/>
              <w:right w:val="single" w:sz="4" w:space="0" w:color="auto"/>
            </w:tcBorders>
            <w:shd w:val="clear" w:color="000000" w:fill="FFFFFF"/>
            <w:noWrap/>
            <w:vAlign w:val="bottom"/>
            <w:hideMark/>
          </w:tcPr>
          <w:p w14:paraId="02633078"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5C02E624"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6F09957E"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Family - Riverside</w:t>
            </w:r>
          </w:p>
        </w:tc>
        <w:tc>
          <w:tcPr>
            <w:tcW w:w="1133" w:type="dxa"/>
            <w:tcBorders>
              <w:top w:val="nil"/>
              <w:left w:val="nil"/>
              <w:bottom w:val="single" w:sz="4" w:space="0" w:color="auto"/>
              <w:right w:val="single" w:sz="4" w:space="0" w:color="auto"/>
            </w:tcBorders>
            <w:shd w:val="clear" w:color="000000" w:fill="FFFFFF"/>
            <w:noWrap/>
            <w:vAlign w:val="bottom"/>
            <w:hideMark/>
          </w:tcPr>
          <w:p w14:paraId="5DB8FE07"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18</w:t>
            </w:r>
          </w:p>
        </w:tc>
        <w:tc>
          <w:tcPr>
            <w:tcW w:w="1133" w:type="dxa"/>
            <w:tcBorders>
              <w:top w:val="nil"/>
              <w:left w:val="nil"/>
              <w:bottom w:val="single" w:sz="4" w:space="0" w:color="auto"/>
              <w:right w:val="single" w:sz="4" w:space="0" w:color="auto"/>
            </w:tcBorders>
            <w:shd w:val="clear" w:color="000000" w:fill="FFFFFF"/>
            <w:noWrap/>
            <w:vAlign w:val="bottom"/>
            <w:hideMark/>
          </w:tcPr>
          <w:p w14:paraId="1CF64B1B"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15</w:t>
            </w:r>
          </w:p>
        </w:tc>
        <w:tc>
          <w:tcPr>
            <w:tcW w:w="1133" w:type="dxa"/>
            <w:tcBorders>
              <w:top w:val="nil"/>
              <w:left w:val="nil"/>
              <w:bottom w:val="single" w:sz="4" w:space="0" w:color="auto"/>
              <w:right w:val="single" w:sz="4" w:space="0" w:color="auto"/>
            </w:tcBorders>
            <w:shd w:val="clear" w:color="000000" w:fill="FFFFFF"/>
            <w:noWrap/>
            <w:vAlign w:val="bottom"/>
            <w:hideMark/>
          </w:tcPr>
          <w:p w14:paraId="2FAC0840"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75C556FD"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11</w:t>
            </w:r>
          </w:p>
        </w:tc>
        <w:tc>
          <w:tcPr>
            <w:tcW w:w="1134" w:type="dxa"/>
            <w:tcBorders>
              <w:top w:val="nil"/>
              <w:left w:val="nil"/>
              <w:bottom w:val="single" w:sz="4" w:space="0" w:color="auto"/>
              <w:right w:val="single" w:sz="4" w:space="0" w:color="auto"/>
            </w:tcBorders>
            <w:shd w:val="clear" w:color="000000" w:fill="FFFFFF"/>
            <w:noWrap/>
            <w:vAlign w:val="bottom"/>
            <w:hideMark/>
          </w:tcPr>
          <w:p w14:paraId="2EA71CA6"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515350F6"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643EB1C"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 xml:space="preserve">KSNRC/Maple St </w:t>
            </w:r>
            <w:r w:rsidRPr="00975BD4">
              <w:rPr>
                <w:rFonts w:ascii="Calibri" w:eastAsia="Times New Roman" w:hAnsi="Calibri" w:cs="Times New Roman"/>
                <w:color w:val="000000"/>
              </w:rPr>
              <w:t>Apartments</w:t>
            </w:r>
          </w:p>
        </w:tc>
        <w:tc>
          <w:tcPr>
            <w:tcW w:w="1133" w:type="dxa"/>
            <w:tcBorders>
              <w:top w:val="nil"/>
              <w:left w:val="nil"/>
              <w:bottom w:val="single" w:sz="4" w:space="0" w:color="auto"/>
              <w:right w:val="single" w:sz="4" w:space="0" w:color="auto"/>
            </w:tcBorders>
            <w:shd w:val="clear" w:color="000000" w:fill="FFFFFF"/>
            <w:noWrap/>
            <w:vAlign w:val="bottom"/>
            <w:hideMark/>
          </w:tcPr>
          <w:p w14:paraId="269F90ED"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4</w:t>
            </w:r>
          </w:p>
        </w:tc>
        <w:tc>
          <w:tcPr>
            <w:tcW w:w="1133" w:type="dxa"/>
            <w:tcBorders>
              <w:top w:val="nil"/>
              <w:left w:val="nil"/>
              <w:bottom w:val="single" w:sz="4" w:space="0" w:color="auto"/>
              <w:right w:val="single" w:sz="4" w:space="0" w:color="auto"/>
            </w:tcBorders>
            <w:shd w:val="clear" w:color="000000" w:fill="FFFFFF"/>
            <w:noWrap/>
            <w:vAlign w:val="bottom"/>
            <w:hideMark/>
          </w:tcPr>
          <w:p w14:paraId="5287A266"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w:t>
            </w:r>
          </w:p>
        </w:tc>
        <w:tc>
          <w:tcPr>
            <w:tcW w:w="1133" w:type="dxa"/>
            <w:tcBorders>
              <w:top w:val="nil"/>
              <w:left w:val="nil"/>
              <w:bottom w:val="single" w:sz="4" w:space="0" w:color="auto"/>
              <w:right w:val="single" w:sz="4" w:space="0" w:color="auto"/>
            </w:tcBorders>
            <w:shd w:val="clear" w:color="000000" w:fill="FFFFFF"/>
            <w:noWrap/>
            <w:vAlign w:val="bottom"/>
            <w:hideMark/>
          </w:tcPr>
          <w:p w14:paraId="386DF5C7"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6D7A9B26"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139EE211"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5</w:t>
            </w:r>
          </w:p>
        </w:tc>
      </w:tr>
      <w:tr w:rsidR="005E70BC" w:rsidRPr="00FC7B05" w14:paraId="4DD6B606"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455BC58"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Lake Champlain Apartments</w:t>
            </w:r>
          </w:p>
        </w:tc>
        <w:tc>
          <w:tcPr>
            <w:tcW w:w="1133" w:type="dxa"/>
            <w:tcBorders>
              <w:top w:val="nil"/>
              <w:left w:val="nil"/>
              <w:bottom w:val="single" w:sz="4" w:space="0" w:color="auto"/>
              <w:right w:val="single" w:sz="4" w:space="0" w:color="auto"/>
            </w:tcBorders>
            <w:shd w:val="clear" w:color="000000" w:fill="FFFFFF"/>
            <w:noWrap/>
            <w:vAlign w:val="bottom"/>
            <w:hideMark/>
          </w:tcPr>
          <w:p w14:paraId="682740AD"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19</w:t>
            </w:r>
          </w:p>
        </w:tc>
        <w:tc>
          <w:tcPr>
            <w:tcW w:w="1133" w:type="dxa"/>
            <w:tcBorders>
              <w:top w:val="nil"/>
              <w:left w:val="nil"/>
              <w:bottom w:val="single" w:sz="4" w:space="0" w:color="auto"/>
              <w:right w:val="single" w:sz="4" w:space="0" w:color="auto"/>
            </w:tcBorders>
            <w:shd w:val="clear" w:color="000000" w:fill="FFFFFF"/>
            <w:noWrap/>
            <w:vAlign w:val="bottom"/>
            <w:hideMark/>
          </w:tcPr>
          <w:p w14:paraId="44E91C57"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9</w:t>
            </w:r>
          </w:p>
        </w:tc>
        <w:tc>
          <w:tcPr>
            <w:tcW w:w="1133" w:type="dxa"/>
            <w:tcBorders>
              <w:top w:val="nil"/>
              <w:left w:val="nil"/>
              <w:bottom w:val="single" w:sz="4" w:space="0" w:color="auto"/>
              <w:right w:val="single" w:sz="4" w:space="0" w:color="auto"/>
            </w:tcBorders>
            <w:shd w:val="clear" w:color="000000" w:fill="FFFFFF"/>
            <w:noWrap/>
            <w:vAlign w:val="bottom"/>
            <w:hideMark/>
          </w:tcPr>
          <w:p w14:paraId="3DF11A3C"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65884776"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9</w:t>
            </w:r>
          </w:p>
        </w:tc>
        <w:tc>
          <w:tcPr>
            <w:tcW w:w="1134" w:type="dxa"/>
            <w:tcBorders>
              <w:top w:val="nil"/>
              <w:left w:val="nil"/>
              <w:bottom w:val="single" w:sz="4" w:space="0" w:color="auto"/>
              <w:right w:val="single" w:sz="4" w:space="0" w:color="auto"/>
            </w:tcBorders>
            <w:shd w:val="clear" w:color="000000" w:fill="FFFFFF"/>
            <w:noWrap/>
            <w:vAlign w:val="bottom"/>
            <w:hideMark/>
          </w:tcPr>
          <w:p w14:paraId="382A67A3"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w:t>
            </w:r>
          </w:p>
        </w:tc>
      </w:tr>
      <w:tr w:rsidR="005E70BC" w:rsidRPr="00FC7B05" w14:paraId="4CBDE77A"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111EDE7"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 xml:space="preserve">Peterson Place </w:t>
            </w:r>
            <w:r w:rsidRPr="00975BD4">
              <w:rPr>
                <w:rFonts w:ascii="Calibri" w:eastAsia="Times New Roman" w:hAnsi="Calibri" w:cs="Times New Roman"/>
                <w:color w:val="000000"/>
              </w:rPr>
              <w:t>Apartments</w:t>
            </w:r>
          </w:p>
        </w:tc>
        <w:tc>
          <w:tcPr>
            <w:tcW w:w="1133" w:type="dxa"/>
            <w:tcBorders>
              <w:top w:val="nil"/>
              <w:left w:val="nil"/>
              <w:bottom w:val="single" w:sz="4" w:space="0" w:color="auto"/>
              <w:right w:val="single" w:sz="4" w:space="0" w:color="auto"/>
            </w:tcBorders>
            <w:shd w:val="clear" w:color="000000" w:fill="FFFFFF"/>
            <w:noWrap/>
            <w:vAlign w:val="bottom"/>
            <w:hideMark/>
          </w:tcPr>
          <w:p w14:paraId="67E09C12"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5</w:t>
            </w:r>
          </w:p>
        </w:tc>
        <w:tc>
          <w:tcPr>
            <w:tcW w:w="1133" w:type="dxa"/>
            <w:tcBorders>
              <w:top w:val="nil"/>
              <w:left w:val="nil"/>
              <w:bottom w:val="single" w:sz="4" w:space="0" w:color="auto"/>
              <w:right w:val="single" w:sz="4" w:space="0" w:color="auto"/>
            </w:tcBorders>
            <w:shd w:val="clear" w:color="000000" w:fill="FFFFFF"/>
            <w:noWrap/>
            <w:vAlign w:val="bottom"/>
            <w:hideMark/>
          </w:tcPr>
          <w:p w14:paraId="2ED0409F"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5</w:t>
            </w:r>
          </w:p>
        </w:tc>
        <w:tc>
          <w:tcPr>
            <w:tcW w:w="1133" w:type="dxa"/>
            <w:tcBorders>
              <w:top w:val="nil"/>
              <w:left w:val="nil"/>
              <w:bottom w:val="single" w:sz="4" w:space="0" w:color="auto"/>
              <w:right w:val="single" w:sz="4" w:space="0" w:color="auto"/>
            </w:tcBorders>
            <w:shd w:val="clear" w:color="000000" w:fill="FFFFFF"/>
            <w:noWrap/>
            <w:vAlign w:val="bottom"/>
            <w:hideMark/>
          </w:tcPr>
          <w:p w14:paraId="064BE4B0"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c>
          <w:tcPr>
            <w:tcW w:w="1133" w:type="dxa"/>
            <w:tcBorders>
              <w:top w:val="nil"/>
              <w:left w:val="nil"/>
              <w:bottom w:val="single" w:sz="4" w:space="0" w:color="auto"/>
              <w:right w:val="single" w:sz="4" w:space="0" w:color="auto"/>
            </w:tcBorders>
            <w:shd w:val="clear" w:color="000000" w:fill="FFFFFF"/>
            <w:noWrap/>
            <w:vAlign w:val="bottom"/>
            <w:hideMark/>
          </w:tcPr>
          <w:p w14:paraId="2890EE02"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5B0793CC"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6328F729"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C662284"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South Square Apartments</w:t>
            </w:r>
          </w:p>
        </w:tc>
        <w:tc>
          <w:tcPr>
            <w:tcW w:w="1133" w:type="dxa"/>
            <w:tcBorders>
              <w:top w:val="nil"/>
              <w:left w:val="nil"/>
              <w:bottom w:val="single" w:sz="4" w:space="0" w:color="auto"/>
              <w:right w:val="single" w:sz="4" w:space="0" w:color="auto"/>
            </w:tcBorders>
            <w:shd w:val="clear" w:color="000000" w:fill="FFFFFF"/>
            <w:noWrap/>
            <w:vAlign w:val="bottom"/>
            <w:hideMark/>
          </w:tcPr>
          <w:p w14:paraId="6546EAB5"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56</w:t>
            </w:r>
          </w:p>
        </w:tc>
        <w:tc>
          <w:tcPr>
            <w:tcW w:w="1133" w:type="dxa"/>
            <w:tcBorders>
              <w:top w:val="nil"/>
              <w:left w:val="nil"/>
              <w:bottom w:val="single" w:sz="4" w:space="0" w:color="auto"/>
              <w:right w:val="single" w:sz="4" w:space="0" w:color="auto"/>
            </w:tcBorders>
            <w:shd w:val="clear" w:color="000000" w:fill="FFFFFF"/>
            <w:noWrap/>
            <w:vAlign w:val="bottom"/>
            <w:hideMark/>
          </w:tcPr>
          <w:p w14:paraId="6CA709E7"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4</w:t>
            </w:r>
          </w:p>
        </w:tc>
        <w:tc>
          <w:tcPr>
            <w:tcW w:w="1133" w:type="dxa"/>
            <w:tcBorders>
              <w:top w:val="nil"/>
              <w:left w:val="nil"/>
              <w:bottom w:val="single" w:sz="4" w:space="0" w:color="auto"/>
              <w:right w:val="single" w:sz="4" w:space="0" w:color="auto"/>
            </w:tcBorders>
            <w:shd w:val="clear" w:color="000000" w:fill="FFFFFF"/>
            <w:noWrap/>
            <w:vAlign w:val="bottom"/>
            <w:hideMark/>
          </w:tcPr>
          <w:p w14:paraId="5F33CF30"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w:t>
            </w:r>
          </w:p>
        </w:tc>
        <w:tc>
          <w:tcPr>
            <w:tcW w:w="1133" w:type="dxa"/>
            <w:tcBorders>
              <w:top w:val="nil"/>
              <w:left w:val="nil"/>
              <w:bottom w:val="single" w:sz="4" w:space="0" w:color="auto"/>
              <w:right w:val="single" w:sz="4" w:space="0" w:color="auto"/>
            </w:tcBorders>
            <w:shd w:val="clear" w:color="000000" w:fill="FFFFFF"/>
            <w:noWrap/>
            <w:vAlign w:val="bottom"/>
            <w:hideMark/>
          </w:tcPr>
          <w:p w14:paraId="61A05068"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5E399C2B"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3</w:t>
            </w:r>
          </w:p>
        </w:tc>
      </w:tr>
      <w:tr w:rsidR="005E70BC" w:rsidRPr="00FC7B05" w14:paraId="156B3065"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59EBC0F"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South St. Paul Apartments</w:t>
            </w:r>
          </w:p>
        </w:tc>
        <w:tc>
          <w:tcPr>
            <w:tcW w:w="1133" w:type="dxa"/>
            <w:tcBorders>
              <w:top w:val="nil"/>
              <w:left w:val="nil"/>
              <w:bottom w:val="single" w:sz="4" w:space="0" w:color="auto"/>
              <w:right w:val="single" w:sz="4" w:space="0" w:color="auto"/>
            </w:tcBorders>
            <w:shd w:val="clear" w:color="000000" w:fill="FFFFFF"/>
            <w:noWrap/>
            <w:vAlign w:val="bottom"/>
            <w:hideMark/>
          </w:tcPr>
          <w:p w14:paraId="25A14EF6"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9</w:t>
            </w:r>
          </w:p>
        </w:tc>
        <w:tc>
          <w:tcPr>
            <w:tcW w:w="1133" w:type="dxa"/>
            <w:tcBorders>
              <w:top w:val="nil"/>
              <w:left w:val="nil"/>
              <w:bottom w:val="single" w:sz="4" w:space="0" w:color="auto"/>
              <w:right w:val="single" w:sz="4" w:space="0" w:color="auto"/>
            </w:tcBorders>
            <w:shd w:val="clear" w:color="000000" w:fill="FFFFFF"/>
            <w:noWrap/>
            <w:vAlign w:val="bottom"/>
            <w:hideMark/>
          </w:tcPr>
          <w:p w14:paraId="385F0018"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7</w:t>
            </w:r>
          </w:p>
        </w:tc>
        <w:tc>
          <w:tcPr>
            <w:tcW w:w="1133" w:type="dxa"/>
            <w:tcBorders>
              <w:top w:val="nil"/>
              <w:left w:val="nil"/>
              <w:bottom w:val="single" w:sz="4" w:space="0" w:color="auto"/>
              <w:right w:val="single" w:sz="4" w:space="0" w:color="auto"/>
            </w:tcBorders>
            <w:shd w:val="clear" w:color="000000" w:fill="FFFFFF"/>
            <w:noWrap/>
            <w:vAlign w:val="bottom"/>
            <w:hideMark/>
          </w:tcPr>
          <w:p w14:paraId="2F93728F"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1</w:t>
            </w:r>
          </w:p>
        </w:tc>
        <w:tc>
          <w:tcPr>
            <w:tcW w:w="1133" w:type="dxa"/>
            <w:tcBorders>
              <w:top w:val="nil"/>
              <w:left w:val="nil"/>
              <w:bottom w:val="single" w:sz="4" w:space="0" w:color="auto"/>
              <w:right w:val="single" w:sz="4" w:space="0" w:color="auto"/>
            </w:tcBorders>
            <w:shd w:val="clear" w:color="000000" w:fill="FFFFFF"/>
            <w:noWrap/>
            <w:vAlign w:val="bottom"/>
            <w:hideMark/>
          </w:tcPr>
          <w:p w14:paraId="469EA99F"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4</w:t>
            </w:r>
          </w:p>
        </w:tc>
        <w:tc>
          <w:tcPr>
            <w:tcW w:w="1134" w:type="dxa"/>
            <w:tcBorders>
              <w:top w:val="nil"/>
              <w:left w:val="nil"/>
              <w:bottom w:val="single" w:sz="4" w:space="0" w:color="auto"/>
              <w:right w:val="single" w:sz="4" w:space="0" w:color="auto"/>
            </w:tcBorders>
            <w:shd w:val="clear" w:color="000000" w:fill="FFFFFF"/>
            <w:noWrap/>
            <w:vAlign w:val="bottom"/>
            <w:hideMark/>
          </w:tcPr>
          <w:p w14:paraId="4FDE1227"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13C5E45D"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C2C5E72" w14:textId="77777777" w:rsidR="005E70BC" w:rsidRPr="00FC7B05" w:rsidRDefault="005E70BC" w:rsidP="00E67926">
            <w:pPr>
              <w:ind w:firstLineChars="100" w:firstLine="220"/>
              <w:rPr>
                <w:rFonts w:ascii="Calibri" w:eastAsia="Times New Roman" w:hAnsi="Calibri" w:cs="Times New Roman"/>
                <w:color w:val="000000"/>
              </w:rPr>
            </w:pPr>
            <w:r w:rsidRPr="00FC7B05">
              <w:rPr>
                <w:rFonts w:ascii="Calibri" w:eastAsia="Times New Roman" w:hAnsi="Calibri" w:cs="Times New Roman"/>
                <w:color w:val="000000"/>
              </w:rPr>
              <w:t>Wharf Lane Apartments</w:t>
            </w:r>
          </w:p>
        </w:tc>
        <w:tc>
          <w:tcPr>
            <w:tcW w:w="1133" w:type="dxa"/>
            <w:tcBorders>
              <w:top w:val="nil"/>
              <w:left w:val="nil"/>
              <w:bottom w:val="single" w:sz="4" w:space="0" w:color="auto"/>
              <w:right w:val="single" w:sz="4" w:space="0" w:color="auto"/>
            </w:tcBorders>
            <w:shd w:val="clear" w:color="000000" w:fill="FFFFFF"/>
            <w:noWrap/>
            <w:vAlign w:val="bottom"/>
            <w:hideMark/>
          </w:tcPr>
          <w:p w14:paraId="5D300764"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26</w:t>
            </w:r>
          </w:p>
        </w:tc>
        <w:tc>
          <w:tcPr>
            <w:tcW w:w="1133" w:type="dxa"/>
            <w:tcBorders>
              <w:top w:val="nil"/>
              <w:left w:val="nil"/>
              <w:bottom w:val="single" w:sz="4" w:space="0" w:color="auto"/>
              <w:right w:val="single" w:sz="4" w:space="0" w:color="auto"/>
            </w:tcBorders>
            <w:shd w:val="clear" w:color="000000" w:fill="FFFFFF"/>
            <w:noWrap/>
            <w:vAlign w:val="bottom"/>
            <w:hideMark/>
          </w:tcPr>
          <w:p w14:paraId="16986837"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5</w:t>
            </w:r>
          </w:p>
        </w:tc>
        <w:tc>
          <w:tcPr>
            <w:tcW w:w="1133" w:type="dxa"/>
            <w:tcBorders>
              <w:top w:val="nil"/>
              <w:left w:val="nil"/>
              <w:bottom w:val="single" w:sz="4" w:space="0" w:color="auto"/>
              <w:right w:val="single" w:sz="4" w:space="0" w:color="auto"/>
            </w:tcBorders>
            <w:shd w:val="clear" w:color="000000" w:fill="FFFFFF"/>
            <w:noWrap/>
            <w:vAlign w:val="bottom"/>
            <w:hideMark/>
          </w:tcPr>
          <w:p w14:paraId="6FE2B422"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2</w:t>
            </w:r>
          </w:p>
        </w:tc>
        <w:tc>
          <w:tcPr>
            <w:tcW w:w="1133" w:type="dxa"/>
            <w:tcBorders>
              <w:top w:val="nil"/>
              <w:left w:val="nil"/>
              <w:bottom w:val="single" w:sz="4" w:space="0" w:color="auto"/>
              <w:right w:val="single" w:sz="4" w:space="0" w:color="auto"/>
            </w:tcBorders>
            <w:shd w:val="clear" w:color="000000" w:fill="FFFFFF"/>
            <w:noWrap/>
            <w:vAlign w:val="bottom"/>
            <w:hideMark/>
          </w:tcPr>
          <w:p w14:paraId="6725785B" w14:textId="77777777" w:rsidR="005E70BC" w:rsidRPr="00FC7B05" w:rsidRDefault="005E70BC" w:rsidP="00E67926">
            <w:pPr>
              <w:jc w:val="right"/>
              <w:rPr>
                <w:rFonts w:ascii="Calibri" w:eastAsia="Times New Roman" w:hAnsi="Calibri" w:cs="Times New Roman"/>
                <w:color w:val="000000"/>
              </w:rPr>
            </w:pPr>
            <w:r w:rsidRPr="00FC7B05">
              <w:rPr>
                <w:rFonts w:ascii="Calibri" w:eastAsia="Times New Roman" w:hAnsi="Calibri" w:cs="Times New Roman"/>
                <w:color w:val="000000"/>
              </w:rPr>
              <w:t>4</w:t>
            </w:r>
          </w:p>
        </w:tc>
        <w:tc>
          <w:tcPr>
            <w:tcW w:w="1134" w:type="dxa"/>
            <w:tcBorders>
              <w:top w:val="nil"/>
              <w:left w:val="nil"/>
              <w:bottom w:val="single" w:sz="4" w:space="0" w:color="auto"/>
              <w:right w:val="single" w:sz="4" w:space="0" w:color="auto"/>
            </w:tcBorders>
            <w:shd w:val="clear" w:color="000000" w:fill="FFFFFF"/>
            <w:noWrap/>
            <w:vAlign w:val="bottom"/>
            <w:hideMark/>
          </w:tcPr>
          <w:p w14:paraId="23872C94" w14:textId="77777777" w:rsidR="005E70BC" w:rsidRPr="00FC7B05" w:rsidRDefault="005E70BC" w:rsidP="00E67926">
            <w:pPr>
              <w:rPr>
                <w:rFonts w:ascii="Calibri" w:eastAsia="Times New Roman" w:hAnsi="Calibri" w:cs="Times New Roman"/>
                <w:color w:val="000000"/>
              </w:rPr>
            </w:pPr>
            <w:r w:rsidRPr="00FC7B05">
              <w:rPr>
                <w:rFonts w:ascii="Calibri" w:eastAsia="Times New Roman" w:hAnsi="Calibri" w:cs="Times New Roman"/>
                <w:color w:val="000000"/>
              </w:rPr>
              <w:t> </w:t>
            </w:r>
          </w:p>
        </w:tc>
      </w:tr>
      <w:tr w:rsidR="005E70BC" w:rsidRPr="00FC7B05" w14:paraId="70458121"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29D678E9" w14:textId="77777777" w:rsidR="005E70BC" w:rsidRPr="00385632" w:rsidRDefault="005E70BC" w:rsidP="00E67926">
            <w:pPr>
              <w:rPr>
                <w:rFonts w:ascii="Calibri" w:eastAsia="Times New Roman" w:hAnsi="Calibri" w:cs="Times New Roman"/>
                <w:b/>
                <w:bCs/>
                <w:color w:val="000000"/>
              </w:rPr>
            </w:pPr>
            <w:r>
              <w:rPr>
                <w:rFonts w:ascii="Calibri" w:eastAsia="Times New Roman" w:hAnsi="Calibri" w:cs="Times New Roman"/>
                <w:b/>
                <w:bCs/>
                <w:color w:val="000000"/>
              </w:rPr>
              <w:t>TOTAL – BHA Properties</w:t>
            </w:r>
          </w:p>
        </w:tc>
        <w:tc>
          <w:tcPr>
            <w:tcW w:w="1133" w:type="dxa"/>
            <w:tcBorders>
              <w:top w:val="nil"/>
              <w:left w:val="nil"/>
              <w:bottom w:val="single" w:sz="4" w:space="0" w:color="auto"/>
              <w:right w:val="single" w:sz="4" w:space="0" w:color="auto"/>
            </w:tcBorders>
            <w:shd w:val="clear" w:color="000000" w:fill="FFFFFF"/>
            <w:noWrap/>
            <w:vAlign w:val="bottom"/>
            <w:hideMark/>
          </w:tcPr>
          <w:p w14:paraId="23E9542B"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409</w:t>
            </w:r>
          </w:p>
        </w:tc>
        <w:tc>
          <w:tcPr>
            <w:tcW w:w="1133" w:type="dxa"/>
            <w:tcBorders>
              <w:top w:val="nil"/>
              <w:left w:val="nil"/>
              <w:bottom w:val="single" w:sz="4" w:space="0" w:color="auto"/>
              <w:right w:val="single" w:sz="4" w:space="0" w:color="auto"/>
            </w:tcBorders>
            <w:shd w:val="clear" w:color="000000" w:fill="FFFFFF"/>
            <w:noWrap/>
            <w:vAlign w:val="bottom"/>
            <w:hideMark/>
          </w:tcPr>
          <w:p w14:paraId="494EC113"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90</w:t>
            </w:r>
          </w:p>
        </w:tc>
        <w:tc>
          <w:tcPr>
            <w:tcW w:w="1133" w:type="dxa"/>
            <w:tcBorders>
              <w:top w:val="nil"/>
              <w:left w:val="nil"/>
              <w:bottom w:val="single" w:sz="4" w:space="0" w:color="auto"/>
              <w:right w:val="single" w:sz="4" w:space="0" w:color="auto"/>
            </w:tcBorders>
            <w:shd w:val="clear" w:color="000000" w:fill="FFFFFF"/>
            <w:noWrap/>
            <w:vAlign w:val="bottom"/>
            <w:hideMark/>
          </w:tcPr>
          <w:p w14:paraId="6D51CC5E"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10</w:t>
            </w:r>
          </w:p>
        </w:tc>
        <w:tc>
          <w:tcPr>
            <w:tcW w:w="1133" w:type="dxa"/>
            <w:tcBorders>
              <w:top w:val="nil"/>
              <w:left w:val="nil"/>
              <w:bottom w:val="single" w:sz="4" w:space="0" w:color="auto"/>
              <w:right w:val="single" w:sz="4" w:space="0" w:color="auto"/>
            </w:tcBorders>
            <w:shd w:val="clear" w:color="000000" w:fill="FFFFFF"/>
            <w:noWrap/>
            <w:vAlign w:val="bottom"/>
            <w:hideMark/>
          </w:tcPr>
          <w:p w14:paraId="761A2383"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73</w:t>
            </w:r>
          </w:p>
        </w:tc>
        <w:tc>
          <w:tcPr>
            <w:tcW w:w="1134" w:type="dxa"/>
            <w:tcBorders>
              <w:top w:val="nil"/>
              <w:left w:val="nil"/>
              <w:bottom w:val="single" w:sz="4" w:space="0" w:color="auto"/>
              <w:right w:val="single" w:sz="4" w:space="0" w:color="auto"/>
            </w:tcBorders>
            <w:shd w:val="clear" w:color="000000" w:fill="FFFFFF"/>
            <w:noWrap/>
            <w:vAlign w:val="bottom"/>
            <w:hideMark/>
          </w:tcPr>
          <w:p w14:paraId="63D1520C"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1</w:t>
            </w:r>
            <w:r>
              <w:rPr>
                <w:rFonts w:ascii="Calibri" w:eastAsia="Times New Roman" w:hAnsi="Calibri" w:cs="Times New Roman"/>
                <w:b/>
                <w:bCs/>
                <w:color w:val="000000"/>
              </w:rPr>
              <w:t>4</w:t>
            </w:r>
          </w:p>
        </w:tc>
      </w:tr>
      <w:tr w:rsidR="005E70BC" w:rsidRPr="00FC7B05" w14:paraId="0598C74A" w14:textId="77777777" w:rsidTr="00E67926">
        <w:trPr>
          <w:trHeight w:val="288"/>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577C8F9" w14:textId="77777777" w:rsidR="005E70BC" w:rsidRPr="00385632" w:rsidRDefault="005E70BC" w:rsidP="00E67926">
            <w:pPr>
              <w:rPr>
                <w:rFonts w:ascii="Calibri" w:eastAsia="Times New Roman" w:hAnsi="Calibri" w:cs="Times New Roman"/>
                <w:b/>
                <w:bCs/>
                <w:color w:val="000000"/>
              </w:rPr>
            </w:pPr>
            <w:r>
              <w:rPr>
                <w:rFonts w:ascii="Calibri" w:eastAsia="Times New Roman" w:hAnsi="Calibri" w:cs="Times New Roman"/>
                <w:b/>
                <w:bCs/>
                <w:color w:val="000000"/>
              </w:rPr>
              <w:lastRenderedPageBreak/>
              <w:t xml:space="preserve">TOTAL - </w:t>
            </w:r>
            <w:r w:rsidRPr="00385632">
              <w:rPr>
                <w:rFonts w:ascii="Calibri" w:eastAsia="Times New Roman" w:hAnsi="Calibri" w:cs="Times New Roman"/>
                <w:b/>
                <w:bCs/>
                <w:color w:val="000000"/>
              </w:rPr>
              <w:t>Section 8 Voucher</w:t>
            </w:r>
            <w:r>
              <w:rPr>
                <w:rFonts w:ascii="Calibri" w:eastAsia="Times New Roman" w:hAnsi="Calibri" w:cs="Times New Roman"/>
                <w:b/>
                <w:bCs/>
                <w:color w:val="000000"/>
              </w:rPr>
              <w:t>s</w:t>
            </w:r>
          </w:p>
        </w:tc>
        <w:tc>
          <w:tcPr>
            <w:tcW w:w="1133" w:type="dxa"/>
            <w:tcBorders>
              <w:top w:val="nil"/>
              <w:left w:val="nil"/>
              <w:bottom w:val="single" w:sz="4" w:space="0" w:color="auto"/>
              <w:right w:val="single" w:sz="4" w:space="0" w:color="auto"/>
            </w:tcBorders>
            <w:shd w:val="clear" w:color="000000" w:fill="FFFFFF"/>
            <w:noWrap/>
            <w:vAlign w:val="bottom"/>
            <w:hideMark/>
          </w:tcPr>
          <w:p w14:paraId="4F65C735"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1603</w:t>
            </w:r>
          </w:p>
        </w:tc>
        <w:tc>
          <w:tcPr>
            <w:tcW w:w="1133" w:type="dxa"/>
            <w:tcBorders>
              <w:top w:val="nil"/>
              <w:left w:val="nil"/>
              <w:bottom w:val="single" w:sz="4" w:space="0" w:color="auto"/>
              <w:right w:val="single" w:sz="4" w:space="0" w:color="auto"/>
            </w:tcBorders>
            <w:shd w:val="clear" w:color="000000" w:fill="FFFFFF"/>
            <w:noWrap/>
            <w:vAlign w:val="bottom"/>
            <w:hideMark/>
          </w:tcPr>
          <w:p w14:paraId="0E98126D"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180</w:t>
            </w:r>
          </w:p>
        </w:tc>
        <w:tc>
          <w:tcPr>
            <w:tcW w:w="1133" w:type="dxa"/>
            <w:tcBorders>
              <w:top w:val="nil"/>
              <w:left w:val="nil"/>
              <w:bottom w:val="single" w:sz="4" w:space="0" w:color="auto"/>
              <w:right w:val="single" w:sz="4" w:space="0" w:color="auto"/>
            </w:tcBorders>
            <w:shd w:val="clear" w:color="000000" w:fill="FFFFFF"/>
            <w:noWrap/>
            <w:vAlign w:val="bottom"/>
            <w:hideMark/>
          </w:tcPr>
          <w:p w14:paraId="7B078EB9"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42</w:t>
            </w:r>
          </w:p>
        </w:tc>
        <w:tc>
          <w:tcPr>
            <w:tcW w:w="1133" w:type="dxa"/>
            <w:tcBorders>
              <w:top w:val="nil"/>
              <w:left w:val="nil"/>
              <w:bottom w:val="single" w:sz="4" w:space="0" w:color="auto"/>
              <w:right w:val="single" w:sz="4" w:space="0" w:color="auto"/>
            </w:tcBorders>
            <w:shd w:val="clear" w:color="000000" w:fill="FFFFFF"/>
            <w:noWrap/>
            <w:vAlign w:val="bottom"/>
            <w:hideMark/>
          </w:tcPr>
          <w:p w14:paraId="6BFB5913"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71</w:t>
            </w:r>
          </w:p>
        </w:tc>
        <w:tc>
          <w:tcPr>
            <w:tcW w:w="1134" w:type="dxa"/>
            <w:tcBorders>
              <w:top w:val="nil"/>
              <w:left w:val="nil"/>
              <w:bottom w:val="single" w:sz="4" w:space="0" w:color="auto"/>
              <w:right w:val="single" w:sz="4" w:space="0" w:color="auto"/>
            </w:tcBorders>
            <w:shd w:val="clear" w:color="000000" w:fill="FFFFFF"/>
            <w:noWrap/>
            <w:vAlign w:val="bottom"/>
            <w:hideMark/>
          </w:tcPr>
          <w:p w14:paraId="24951023"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12</w:t>
            </w:r>
          </w:p>
        </w:tc>
      </w:tr>
      <w:tr w:rsidR="005E70BC" w:rsidRPr="00FC7B05" w14:paraId="550F2932" w14:textId="77777777" w:rsidTr="00E67926">
        <w:trPr>
          <w:trHeight w:val="288"/>
        </w:trPr>
        <w:tc>
          <w:tcPr>
            <w:tcW w:w="3240" w:type="dxa"/>
            <w:tcBorders>
              <w:top w:val="nil"/>
              <w:left w:val="single" w:sz="4" w:space="0" w:color="auto"/>
              <w:bottom w:val="single" w:sz="4" w:space="0" w:color="auto"/>
              <w:right w:val="single" w:sz="4" w:space="0" w:color="auto"/>
            </w:tcBorders>
            <w:shd w:val="clear" w:color="DEEBF6" w:fill="FFFFFF"/>
            <w:noWrap/>
            <w:vAlign w:val="bottom"/>
            <w:hideMark/>
          </w:tcPr>
          <w:p w14:paraId="51221AAE"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GRAND TOTAL</w:t>
            </w:r>
          </w:p>
        </w:tc>
        <w:tc>
          <w:tcPr>
            <w:tcW w:w="1133" w:type="dxa"/>
            <w:tcBorders>
              <w:top w:val="nil"/>
              <w:left w:val="nil"/>
              <w:bottom w:val="single" w:sz="4" w:space="0" w:color="auto"/>
              <w:right w:val="single" w:sz="4" w:space="0" w:color="auto"/>
            </w:tcBorders>
            <w:shd w:val="clear" w:color="DEEBF6" w:fill="FFFFFF"/>
            <w:noWrap/>
            <w:vAlign w:val="bottom"/>
            <w:hideMark/>
          </w:tcPr>
          <w:p w14:paraId="246652EA"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2012</w:t>
            </w:r>
          </w:p>
        </w:tc>
        <w:tc>
          <w:tcPr>
            <w:tcW w:w="1133" w:type="dxa"/>
            <w:tcBorders>
              <w:top w:val="nil"/>
              <w:left w:val="nil"/>
              <w:bottom w:val="single" w:sz="4" w:space="0" w:color="auto"/>
              <w:right w:val="single" w:sz="4" w:space="0" w:color="auto"/>
            </w:tcBorders>
            <w:shd w:val="clear" w:color="DEEBF6" w:fill="FFFFFF"/>
            <w:noWrap/>
            <w:vAlign w:val="bottom"/>
            <w:hideMark/>
          </w:tcPr>
          <w:p w14:paraId="04879C59"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270</w:t>
            </w:r>
          </w:p>
        </w:tc>
        <w:tc>
          <w:tcPr>
            <w:tcW w:w="1133" w:type="dxa"/>
            <w:tcBorders>
              <w:top w:val="nil"/>
              <w:left w:val="nil"/>
              <w:bottom w:val="single" w:sz="4" w:space="0" w:color="auto"/>
              <w:right w:val="single" w:sz="4" w:space="0" w:color="auto"/>
            </w:tcBorders>
            <w:shd w:val="clear" w:color="DEEBF6" w:fill="FFFFFF"/>
            <w:noWrap/>
            <w:vAlign w:val="bottom"/>
            <w:hideMark/>
          </w:tcPr>
          <w:p w14:paraId="6185C4CB"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52</w:t>
            </w:r>
          </w:p>
        </w:tc>
        <w:tc>
          <w:tcPr>
            <w:tcW w:w="1133" w:type="dxa"/>
            <w:tcBorders>
              <w:top w:val="nil"/>
              <w:left w:val="nil"/>
              <w:bottom w:val="single" w:sz="4" w:space="0" w:color="auto"/>
              <w:right w:val="single" w:sz="4" w:space="0" w:color="auto"/>
            </w:tcBorders>
            <w:shd w:val="clear" w:color="DEEBF6" w:fill="FFFFFF"/>
            <w:noWrap/>
            <w:vAlign w:val="bottom"/>
            <w:hideMark/>
          </w:tcPr>
          <w:p w14:paraId="63DB7E01"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144</w:t>
            </w:r>
          </w:p>
        </w:tc>
        <w:tc>
          <w:tcPr>
            <w:tcW w:w="1134" w:type="dxa"/>
            <w:tcBorders>
              <w:top w:val="nil"/>
              <w:left w:val="nil"/>
              <w:bottom w:val="single" w:sz="4" w:space="0" w:color="auto"/>
              <w:right w:val="single" w:sz="4" w:space="0" w:color="auto"/>
            </w:tcBorders>
            <w:shd w:val="clear" w:color="000000" w:fill="FFFFFF"/>
            <w:noWrap/>
            <w:vAlign w:val="bottom"/>
            <w:hideMark/>
          </w:tcPr>
          <w:p w14:paraId="767DD988" w14:textId="77777777" w:rsidR="005E70BC" w:rsidRPr="00FC7B05" w:rsidRDefault="005E70BC" w:rsidP="00E67926">
            <w:pPr>
              <w:jc w:val="right"/>
              <w:rPr>
                <w:rFonts w:ascii="Calibri" w:eastAsia="Times New Roman" w:hAnsi="Calibri" w:cs="Times New Roman"/>
                <w:b/>
                <w:bCs/>
                <w:color w:val="000000"/>
              </w:rPr>
            </w:pPr>
            <w:r w:rsidRPr="00FC7B05">
              <w:rPr>
                <w:rFonts w:ascii="Calibri" w:eastAsia="Times New Roman" w:hAnsi="Calibri" w:cs="Times New Roman"/>
                <w:b/>
                <w:bCs/>
                <w:color w:val="000000"/>
              </w:rPr>
              <w:t>2</w:t>
            </w:r>
            <w:r>
              <w:rPr>
                <w:rFonts w:ascii="Calibri" w:eastAsia="Times New Roman" w:hAnsi="Calibri" w:cs="Times New Roman"/>
                <w:b/>
                <w:bCs/>
                <w:color w:val="000000"/>
              </w:rPr>
              <w:t>6</w:t>
            </w:r>
          </w:p>
        </w:tc>
      </w:tr>
    </w:tbl>
    <w:p w14:paraId="10B5924B" w14:textId="77777777" w:rsidR="00D5289B" w:rsidRDefault="00D5289B" w:rsidP="00D5289B">
      <w:pPr>
        <w:ind w:left="360"/>
      </w:pPr>
    </w:p>
    <w:p w14:paraId="4AD17A9B" w14:textId="3D7DEBC6" w:rsidR="003D04D6" w:rsidRPr="00734033" w:rsidRDefault="000F55FC" w:rsidP="00734033">
      <w:pPr>
        <w:spacing w:after="0" w:line="240" w:lineRule="auto"/>
        <w:ind w:left="360"/>
        <w:outlineLvl w:val="0"/>
        <w:rPr>
          <w:sz w:val="20"/>
          <w:szCs w:val="20"/>
        </w:rPr>
      </w:pPr>
      <w:r>
        <w:rPr>
          <w:b/>
          <w:i/>
          <w:sz w:val="20"/>
          <w:szCs w:val="20"/>
        </w:rPr>
        <w:t>Table 24</w:t>
      </w:r>
      <w:r w:rsidR="00734033" w:rsidRPr="00734033">
        <w:rPr>
          <w:b/>
          <w:i/>
          <w:sz w:val="20"/>
          <w:szCs w:val="20"/>
        </w:rPr>
        <w:t>:</w:t>
      </w:r>
      <w:r w:rsidR="00734033" w:rsidRPr="00734033">
        <w:rPr>
          <w:b/>
          <w:sz w:val="20"/>
          <w:szCs w:val="20"/>
        </w:rPr>
        <w:t xml:space="preserve"> </w:t>
      </w:r>
      <w:r w:rsidR="003D04D6" w:rsidRPr="00734033">
        <w:rPr>
          <w:sz w:val="20"/>
          <w:szCs w:val="20"/>
        </w:rPr>
        <w:t>BHA Residents and Voucher Holders: Disability Status</w:t>
      </w:r>
      <w:r w:rsidR="00734033" w:rsidRPr="00734033">
        <w:rPr>
          <w:sz w:val="20"/>
          <w:szCs w:val="20"/>
        </w:rPr>
        <w:t>.</w:t>
      </w:r>
    </w:p>
    <w:tbl>
      <w:tblPr>
        <w:tblStyle w:val="TableGrid"/>
        <w:tblW w:w="0" w:type="auto"/>
        <w:tblInd w:w="364" w:type="dxa"/>
        <w:tblLook w:val="04A0" w:firstRow="1" w:lastRow="0" w:firstColumn="1" w:lastColumn="0" w:noHBand="0" w:noVBand="1"/>
      </w:tblPr>
      <w:tblGrid>
        <w:gridCol w:w="3192"/>
        <w:gridCol w:w="1506"/>
        <w:gridCol w:w="1350"/>
      </w:tblGrid>
      <w:tr w:rsidR="003D04D6" w:rsidRPr="00D46211" w14:paraId="27CE340F" w14:textId="77777777" w:rsidTr="00420461">
        <w:tc>
          <w:tcPr>
            <w:tcW w:w="3192" w:type="dxa"/>
            <w:vAlign w:val="bottom"/>
          </w:tcPr>
          <w:p w14:paraId="615963D3" w14:textId="77777777" w:rsidR="003D04D6" w:rsidRPr="00C058ED" w:rsidRDefault="003D04D6" w:rsidP="00C44232">
            <w:pPr>
              <w:rPr>
                <w:rFonts w:ascii="Calibri" w:eastAsia="Times New Roman" w:hAnsi="Calibri" w:cs="Times New Roman"/>
                <w:b/>
                <w:bCs/>
                <w:color w:val="000000"/>
              </w:rPr>
            </w:pPr>
            <w:r w:rsidRPr="00C058ED">
              <w:rPr>
                <w:rFonts w:ascii="Calibri" w:eastAsia="Times New Roman" w:hAnsi="Calibri" w:cs="Times New Roman"/>
                <w:b/>
                <w:bCs/>
                <w:color w:val="000000"/>
              </w:rPr>
              <w:t>BHA Property</w:t>
            </w:r>
          </w:p>
        </w:tc>
        <w:tc>
          <w:tcPr>
            <w:tcW w:w="1506" w:type="dxa"/>
          </w:tcPr>
          <w:p w14:paraId="3D57757C" w14:textId="77777777" w:rsidR="003D04D6" w:rsidRPr="00D46211" w:rsidRDefault="003D04D6" w:rsidP="00C44232">
            <w:pPr>
              <w:pStyle w:val="m-3001944717826557405m-7730211882286480835m-7875992200816485763msolistparagraph"/>
              <w:jc w:val="center"/>
              <w:rPr>
                <w:rFonts w:asciiTheme="minorHAnsi" w:hAnsiTheme="minorHAnsi"/>
                <w:b/>
              </w:rPr>
            </w:pPr>
            <w:r w:rsidRPr="00D46211">
              <w:rPr>
                <w:rFonts w:asciiTheme="minorHAnsi" w:hAnsiTheme="minorHAnsi"/>
                <w:b/>
              </w:rPr>
              <w:t>No Disability</w:t>
            </w:r>
          </w:p>
        </w:tc>
        <w:tc>
          <w:tcPr>
            <w:tcW w:w="1350" w:type="dxa"/>
          </w:tcPr>
          <w:p w14:paraId="5F42FC19" w14:textId="77777777" w:rsidR="003D04D6" w:rsidRPr="00D46211" w:rsidRDefault="003D04D6" w:rsidP="00C44232">
            <w:pPr>
              <w:pStyle w:val="m-3001944717826557405m-7730211882286480835m-7875992200816485763msolistparagraph"/>
              <w:jc w:val="center"/>
              <w:rPr>
                <w:rFonts w:asciiTheme="minorHAnsi" w:hAnsiTheme="minorHAnsi"/>
                <w:b/>
              </w:rPr>
            </w:pPr>
            <w:r w:rsidRPr="00D46211">
              <w:rPr>
                <w:rFonts w:asciiTheme="minorHAnsi" w:hAnsiTheme="minorHAnsi"/>
                <w:b/>
              </w:rPr>
              <w:t>Disability</w:t>
            </w:r>
          </w:p>
        </w:tc>
      </w:tr>
      <w:tr w:rsidR="003D04D6" w14:paraId="7EE5580E" w14:textId="77777777" w:rsidTr="00420461">
        <w:tc>
          <w:tcPr>
            <w:tcW w:w="3192" w:type="dxa"/>
            <w:vAlign w:val="bottom"/>
          </w:tcPr>
          <w:p w14:paraId="2CAFE949"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103 East Allen</w:t>
            </w:r>
          </w:p>
        </w:tc>
        <w:tc>
          <w:tcPr>
            <w:tcW w:w="1506" w:type="dxa"/>
          </w:tcPr>
          <w:p w14:paraId="73955415" w14:textId="77777777" w:rsidR="003D04D6" w:rsidRDefault="003D04D6" w:rsidP="00C44232">
            <w:pPr>
              <w:pStyle w:val="m-3001944717826557405m-7730211882286480835m-7875992200816485763msolistparagraph"/>
              <w:jc w:val="right"/>
              <w:rPr>
                <w:rFonts w:asciiTheme="minorHAnsi" w:hAnsiTheme="minorHAnsi"/>
              </w:rPr>
            </w:pPr>
            <w:r>
              <w:rPr>
                <w:rFonts w:asciiTheme="minorHAnsi" w:hAnsiTheme="minorHAnsi"/>
              </w:rPr>
              <w:t>0</w:t>
            </w:r>
          </w:p>
        </w:tc>
        <w:tc>
          <w:tcPr>
            <w:tcW w:w="1350" w:type="dxa"/>
          </w:tcPr>
          <w:p w14:paraId="42C79D2B" w14:textId="77777777" w:rsidR="003D04D6" w:rsidRDefault="003D04D6" w:rsidP="00C44232">
            <w:pPr>
              <w:pStyle w:val="m-3001944717826557405m-7730211882286480835m-7875992200816485763msolistparagraph"/>
              <w:jc w:val="right"/>
              <w:rPr>
                <w:rFonts w:asciiTheme="minorHAnsi" w:hAnsiTheme="minorHAnsi"/>
              </w:rPr>
            </w:pPr>
            <w:r>
              <w:rPr>
                <w:rFonts w:asciiTheme="minorHAnsi" w:hAnsiTheme="minorHAnsi"/>
              </w:rPr>
              <w:t>0</w:t>
            </w:r>
          </w:p>
        </w:tc>
      </w:tr>
      <w:tr w:rsidR="003D04D6" w:rsidRPr="00E805D6" w14:paraId="72FEF286" w14:textId="77777777" w:rsidTr="00420461">
        <w:tc>
          <w:tcPr>
            <w:tcW w:w="3192" w:type="dxa"/>
            <w:vAlign w:val="bottom"/>
          </w:tcPr>
          <w:p w14:paraId="3F6FFE55"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105 East Allen</w:t>
            </w:r>
          </w:p>
        </w:tc>
        <w:tc>
          <w:tcPr>
            <w:tcW w:w="1506" w:type="dxa"/>
            <w:vAlign w:val="bottom"/>
          </w:tcPr>
          <w:p w14:paraId="467CD66D"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33%</w:t>
            </w:r>
          </w:p>
        </w:tc>
        <w:tc>
          <w:tcPr>
            <w:tcW w:w="1350" w:type="dxa"/>
            <w:vAlign w:val="bottom"/>
          </w:tcPr>
          <w:p w14:paraId="3E3ADB61"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67%</w:t>
            </w:r>
          </w:p>
        </w:tc>
      </w:tr>
      <w:tr w:rsidR="003D04D6" w:rsidRPr="00E805D6" w14:paraId="6A230963" w14:textId="77777777" w:rsidTr="00420461">
        <w:tc>
          <w:tcPr>
            <w:tcW w:w="3192" w:type="dxa"/>
            <w:vAlign w:val="bottom"/>
          </w:tcPr>
          <w:p w14:paraId="39AAFA2A"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693-711 Riverside Avenue</w:t>
            </w:r>
          </w:p>
        </w:tc>
        <w:tc>
          <w:tcPr>
            <w:tcW w:w="1506" w:type="dxa"/>
            <w:vAlign w:val="bottom"/>
          </w:tcPr>
          <w:p w14:paraId="6F4BDDEB"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43%</w:t>
            </w:r>
          </w:p>
        </w:tc>
        <w:tc>
          <w:tcPr>
            <w:tcW w:w="1350" w:type="dxa"/>
            <w:vAlign w:val="bottom"/>
          </w:tcPr>
          <w:p w14:paraId="4C8D7735"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57%</w:t>
            </w:r>
          </w:p>
        </w:tc>
      </w:tr>
      <w:tr w:rsidR="003D04D6" w:rsidRPr="00E805D6" w14:paraId="1104F488" w14:textId="77777777" w:rsidTr="00420461">
        <w:tc>
          <w:tcPr>
            <w:tcW w:w="3192" w:type="dxa"/>
            <w:vAlign w:val="bottom"/>
          </w:tcPr>
          <w:p w14:paraId="5D2C12B3"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Bobbin Mill Apartments</w:t>
            </w:r>
          </w:p>
        </w:tc>
        <w:tc>
          <w:tcPr>
            <w:tcW w:w="1506" w:type="dxa"/>
            <w:vAlign w:val="bottom"/>
          </w:tcPr>
          <w:p w14:paraId="7ED640E7"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53%</w:t>
            </w:r>
          </w:p>
        </w:tc>
        <w:tc>
          <w:tcPr>
            <w:tcW w:w="1350" w:type="dxa"/>
            <w:vAlign w:val="bottom"/>
          </w:tcPr>
          <w:p w14:paraId="7C84E2FD"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47%</w:t>
            </w:r>
          </w:p>
        </w:tc>
      </w:tr>
      <w:tr w:rsidR="003D04D6" w:rsidRPr="00E805D6" w14:paraId="74D1A8E6" w14:textId="77777777" w:rsidTr="00420461">
        <w:tc>
          <w:tcPr>
            <w:tcW w:w="3192" w:type="dxa"/>
            <w:vAlign w:val="bottom"/>
          </w:tcPr>
          <w:p w14:paraId="0625B930"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Duggan Row House</w:t>
            </w:r>
          </w:p>
        </w:tc>
        <w:tc>
          <w:tcPr>
            <w:tcW w:w="1506" w:type="dxa"/>
            <w:vAlign w:val="bottom"/>
          </w:tcPr>
          <w:p w14:paraId="703E0741"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64%</w:t>
            </w:r>
          </w:p>
        </w:tc>
        <w:tc>
          <w:tcPr>
            <w:tcW w:w="1350" w:type="dxa"/>
            <w:vAlign w:val="bottom"/>
          </w:tcPr>
          <w:p w14:paraId="16A937E2"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36%</w:t>
            </w:r>
          </w:p>
        </w:tc>
      </w:tr>
      <w:tr w:rsidR="003D04D6" w:rsidRPr="00E805D6" w14:paraId="54F5A101" w14:textId="77777777" w:rsidTr="00420461">
        <w:tc>
          <w:tcPr>
            <w:tcW w:w="3192" w:type="dxa"/>
            <w:vAlign w:val="bottom"/>
          </w:tcPr>
          <w:p w14:paraId="2A496A8E"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Elderly - Champlain</w:t>
            </w:r>
          </w:p>
        </w:tc>
        <w:tc>
          <w:tcPr>
            <w:tcW w:w="1506" w:type="dxa"/>
            <w:vAlign w:val="bottom"/>
          </w:tcPr>
          <w:p w14:paraId="5D898BBF"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23%</w:t>
            </w:r>
          </w:p>
        </w:tc>
        <w:tc>
          <w:tcPr>
            <w:tcW w:w="1350" w:type="dxa"/>
            <w:vAlign w:val="bottom"/>
          </w:tcPr>
          <w:p w14:paraId="00C30724"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77%</w:t>
            </w:r>
          </w:p>
        </w:tc>
      </w:tr>
      <w:tr w:rsidR="003D04D6" w:rsidRPr="00E805D6" w14:paraId="6125A65A" w14:textId="77777777" w:rsidTr="00420461">
        <w:tc>
          <w:tcPr>
            <w:tcW w:w="3192" w:type="dxa"/>
            <w:vAlign w:val="bottom"/>
          </w:tcPr>
          <w:p w14:paraId="6E2E94A7"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Elderly - Decker</w:t>
            </w:r>
          </w:p>
        </w:tc>
        <w:tc>
          <w:tcPr>
            <w:tcW w:w="1506" w:type="dxa"/>
            <w:vAlign w:val="bottom"/>
          </w:tcPr>
          <w:p w14:paraId="0C09C88D"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16%</w:t>
            </w:r>
          </w:p>
        </w:tc>
        <w:tc>
          <w:tcPr>
            <w:tcW w:w="1350" w:type="dxa"/>
            <w:vAlign w:val="bottom"/>
          </w:tcPr>
          <w:p w14:paraId="6E5F82B1"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84%</w:t>
            </w:r>
          </w:p>
        </w:tc>
      </w:tr>
      <w:tr w:rsidR="003D04D6" w:rsidRPr="00E805D6" w14:paraId="06932363" w14:textId="77777777" w:rsidTr="00420461">
        <w:tc>
          <w:tcPr>
            <w:tcW w:w="3192" w:type="dxa"/>
            <w:vAlign w:val="bottom"/>
          </w:tcPr>
          <w:p w14:paraId="7C6BB3D1"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Family - Franklin</w:t>
            </w:r>
          </w:p>
        </w:tc>
        <w:tc>
          <w:tcPr>
            <w:tcW w:w="1506" w:type="dxa"/>
            <w:vAlign w:val="bottom"/>
          </w:tcPr>
          <w:p w14:paraId="4ADE530F"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79%</w:t>
            </w:r>
          </w:p>
        </w:tc>
        <w:tc>
          <w:tcPr>
            <w:tcW w:w="1350" w:type="dxa"/>
            <w:vAlign w:val="bottom"/>
          </w:tcPr>
          <w:p w14:paraId="4E254349"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21%</w:t>
            </w:r>
          </w:p>
        </w:tc>
      </w:tr>
      <w:tr w:rsidR="003D04D6" w:rsidRPr="00E805D6" w14:paraId="5D5545D8" w14:textId="77777777" w:rsidTr="00420461">
        <w:tc>
          <w:tcPr>
            <w:tcW w:w="3192" w:type="dxa"/>
            <w:vAlign w:val="bottom"/>
          </w:tcPr>
          <w:p w14:paraId="55C1349A"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Family - Hillside</w:t>
            </w:r>
          </w:p>
        </w:tc>
        <w:tc>
          <w:tcPr>
            <w:tcW w:w="1506" w:type="dxa"/>
            <w:vAlign w:val="bottom"/>
          </w:tcPr>
          <w:p w14:paraId="700BD527"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84%</w:t>
            </w:r>
          </w:p>
        </w:tc>
        <w:tc>
          <w:tcPr>
            <w:tcW w:w="1350" w:type="dxa"/>
            <w:vAlign w:val="bottom"/>
          </w:tcPr>
          <w:p w14:paraId="10FD37E0"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16%</w:t>
            </w:r>
          </w:p>
        </w:tc>
      </w:tr>
      <w:tr w:rsidR="003D04D6" w:rsidRPr="00E805D6" w14:paraId="0A217333" w14:textId="77777777" w:rsidTr="00420461">
        <w:tc>
          <w:tcPr>
            <w:tcW w:w="3192" w:type="dxa"/>
            <w:vAlign w:val="bottom"/>
          </w:tcPr>
          <w:p w14:paraId="2B655586"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Family - Riverside</w:t>
            </w:r>
          </w:p>
        </w:tc>
        <w:tc>
          <w:tcPr>
            <w:tcW w:w="1506" w:type="dxa"/>
            <w:vAlign w:val="bottom"/>
          </w:tcPr>
          <w:p w14:paraId="698EB84A"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77%</w:t>
            </w:r>
          </w:p>
        </w:tc>
        <w:tc>
          <w:tcPr>
            <w:tcW w:w="1350" w:type="dxa"/>
            <w:vAlign w:val="bottom"/>
          </w:tcPr>
          <w:p w14:paraId="2340DB15"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23%</w:t>
            </w:r>
          </w:p>
        </w:tc>
      </w:tr>
      <w:tr w:rsidR="003D04D6" w:rsidRPr="00E805D6" w14:paraId="4459AC5A" w14:textId="77777777" w:rsidTr="00420461">
        <w:tc>
          <w:tcPr>
            <w:tcW w:w="3192" w:type="dxa"/>
            <w:vAlign w:val="bottom"/>
          </w:tcPr>
          <w:p w14:paraId="404D1257"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KSNRC/Maple St Apartments</w:t>
            </w:r>
          </w:p>
        </w:tc>
        <w:tc>
          <w:tcPr>
            <w:tcW w:w="1506" w:type="dxa"/>
            <w:vAlign w:val="bottom"/>
          </w:tcPr>
          <w:p w14:paraId="67C570E4"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50%</w:t>
            </w:r>
          </w:p>
        </w:tc>
        <w:tc>
          <w:tcPr>
            <w:tcW w:w="1350" w:type="dxa"/>
            <w:vAlign w:val="bottom"/>
          </w:tcPr>
          <w:p w14:paraId="1C88BA24"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50%</w:t>
            </w:r>
          </w:p>
        </w:tc>
      </w:tr>
      <w:tr w:rsidR="003D04D6" w:rsidRPr="00E805D6" w14:paraId="08FBDF7D" w14:textId="77777777" w:rsidTr="00420461">
        <w:tc>
          <w:tcPr>
            <w:tcW w:w="3192" w:type="dxa"/>
            <w:vAlign w:val="bottom"/>
          </w:tcPr>
          <w:p w14:paraId="3F35D828"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Lake Champlain Apartments</w:t>
            </w:r>
          </w:p>
        </w:tc>
        <w:tc>
          <w:tcPr>
            <w:tcW w:w="1506" w:type="dxa"/>
            <w:vAlign w:val="bottom"/>
          </w:tcPr>
          <w:p w14:paraId="0FB239BF"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74%</w:t>
            </w:r>
          </w:p>
        </w:tc>
        <w:tc>
          <w:tcPr>
            <w:tcW w:w="1350" w:type="dxa"/>
            <w:vAlign w:val="bottom"/>
          </w:tcPr>
          <w:p w14:paraId="435E053D"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26%</w:t>
            </w:r>
          </w:p>
        </w:tc>
      </w:tr>
      <w:tr w:rsidR="003D04D6" w:rsidRPr="00E805D6" w14:paraId="586A62E0" w14:textId="77777777" w:rsidTr="00420461">
        <w:tc>
          <w:tcPr>
            <w:tcW w:w="3192" w:type="dxa"/>
            <w:vAlign w:val="bottom"/>
          </w:tcPr>
          <w:p w14:paraId="41B96838"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Peterson Place Apartments</w:t>
            </w:r>
          </w:p>
        </w:tc>
        <w:tc>
          <w:tcPr>
            <w:tcW w:w="1506" w:type="dxa"/>
            <w:vAlign w:val="bottom"/>
          </w:tcPr>
          <w:p w14:paraId="00E013D3"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73%</w:t>
            </w:r>
          </w:p>
        </w:tc>
        <w:tc>
          <w:tcPr>
            <w:tcW w:w="1350" w:type="dxa"/>
            <w:vAlign w:val="bottom"/>
          </w:tcPr>
          <w:p w14:paraId="2F653336"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27%</w:t>
            </w:r>
          </w:p>
        </w:tc>
      </w:tr>
      <w:tr w:rsidR="003D04D6" w:rsidRPr="00E805D6" w14:paraId="75045133" w14:textId="77777777" w:rsidTr="00420461">
        <w:tc>
          <w:tcPr>
            <w:tcW w:w="3192" w:type="dxa"/>
            <w:vAlign w:val="bottom"/>
          </w:tcPr>
          <w:p w14:paraId="046022ED"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South Square Apartments</w:t>
            </w:r>
          </w:p>
        </w:tc>
        <w:tc>
          <w:tcPr>
            <w:tcW w:w="1506" w:type="dxa"/>
            <w:vAlign w:val="bottom"/>
          </w:tcPr>
          <w:p w14:paraId="77289D56"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63%</w:t>
            </w:r>
          </w:p>
        </w:tc>
        <w:tc>
          <w:tcPr>
            <w:tcW w:w="1350" w:type="dxa"/>
            <w:vAlign w:val="bottom"/>
          </w:tcPr>
          <w:p w14:paraId="6C28D1C5"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37%</w:t>
            </w:r>
          </w:p>
        </w:tc>
      </w:tr>
      <w:tr w:rsidR="003D04D6" w:rsidRPr="00E805D6" w14:paraId="7E5D1976" w14:textId="77777777" w:rsidTr="00420461">
        <w:tc>
          <w:tcPr>
            <w:tcW w:w="3192" w:type="dxa"/>
            <w:vAlign w:val="bottom"/>
          </w:tcPr>
          <w:p w14:paraId="41ABFB40"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South St. Paul Apartments</w:t>
            </w:r>
          </w:p>
        </w:tc>
        <w:tc>
          <w:tcPr>
            <w:tcW w:w="1506" w:type="dxa"/>
            <w:vAlign w:val="bottom"/>
          </w:tcPr>
          <w:p w14:paraId="7DD2AB7A"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76%</w:t>
            </w:r>
          </w:p>
        </w:tc>
        <w:tc>
          <w:tcPr>
            <w:tcW w:w="1350" w:type="dxa"/>
            <w:vAlign w:val="bottom"/>
          </w:tcPr>
          <w:p w14:paraId="1609505F"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24%</w:t>
            </w:r>
          </w:p>
        </w:tc>
      </w:tr>
      <w:tr w:rsidR="003D04D6" w:rsidRPr="00E805D6" w14:paraId="158AF47E" w14:textId="77777777" w:rsidTr="00420461">
        <w:tc>
          <w:tcPr>
            <w:tcW w:w="3192" w:type="dxa"/>
            <w:vAlign w:val="bottom"/>
          </w:tcPr>
          <w:p w14:paraId="54A6B29C" w14:textId="77777777" w:rsidR="003D04D6" w:rsidRPr="00975BD4" w:rsidRDefault="003D04D6" w:rsidP="00C44232">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Wharf Lane Apartments</w:t>
            </w:r>
          </w:p>
        </w:tc>
        <w:tc>
          <w:tcPr>
            <w:tcW w:w="1506" w:type="dxa"/>
            <w:vAlign w:val="bottom"/>
          </w:tcPr>
          <w:p w14:paraId="1A1EF67F"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49%</w:t>
            </w:r>
          </w:p>
        </w:tc>
        <w:tc>
          <w:tcPr>
            <w:tcW w:w="1350" w:type="dxa"/>
            <w:vAlign w:val="bottom"/>
          </w:tcPr>
          <w:p w14:paraId="30E3283A" w14:textId="77777777" w:rsidR="003D04D6" w:rsidRPr="00E805D6" w:rsidRDefault="003D04D6" w:rsidP="00C44232">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51%</w:t>
            </w:r>
          </w:p>
        </w:tc>
      </w:tr>
      <w:tr w:rsidR="003D04D6" w:rsidRPr="00E805D6" w14:paraId="5204EE1C" w14:textId="77777777" w:rsidTr="00420461">
        <w:tc>
          <w:tcPr>
            <w:tcW w:w="3192" w:type="dxa"/>
            <w:vAlign w:val="bottom"/>
          </w:tcPr>
          <w:p w14:paraId="0ED23AD3" w14:textId="77777777" w:rsidR="003D04D6" w:rsidRPr="00385632" w:rsidRDefault="003D04D6" w:rsidP="00C44232">
            <w:pPr>
              <w:rPr>
                <w:rFonts w:ascii="Calibri" w:eastAsia="Times New Roman" w:hAnsi="Calibri" w:cs="Times New Roman"/>
                <w:b/>
                <w:bCs/>
                <w:color w:val="000000"/>
              </w:rPr>
            </w:pPr>
            <w:r>
              <w:rPr>
                <w:rFonts w:ascii="Calibri" w:eastAsia="Times New Roman" w:hAnsi="Calibri" w:cs="Times New Roman"/>
                <w:b/>
                <w:bCs/>
                <w:color w:val="000000"/>
              </w:rPr>
              <w:t>TOTAL – BHA Properties</w:t>
            </w:r>
          </w:p>
        </w:tc>
        <w:tc>
          <w:tcPr>
            <w:tcW w:w="1506" w:type="dxa"/>
            <w:vAlign w:val="bottom"/>
          </w:tcPr>
          <w:p w14:paraId="32277B35" w14:textId="77777777" w:rsidR="003D04D6" w:rsidRPr="00E805D6" w:rsidRDefault="003D04D6" w:rsidP="00C44232">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50%</w:t>
            </w:r>
          </w:p>
        </w:tc>
        <w:tc>
          <w:tcPr>
            <w:tcW w:w="1350" w:type="dxa"/>
            <w:vAlign w:val="bottom"/>
          </w:tcPr>
          <w:p w14:paraId="2FAE6FD4" w14:textId="77777777" w:rsidR="003D04D6" w:rsidRPr="00E805D6" w:rsidRDefault="003D04D6" w:rsidP="00C44232">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50%</w:t>
            </w:r>
          </w:p>
        </w:tc>
      </w:tr>
      <w:tr w:rsidR="003D04D6" w:rsidRPr="00E805D6" w14:paraId="7922CF0A" w14:textId="77777777" w:rsidTr="00420461">
        <w:tc>
          <w:tcPr>
            <w:tcW w:w="3192" w:type="dxa"/>
            <w:vAlign w:val="bottom"/>
          </w:tcPr>
          <w:p w14:paraId="222F76B3" w14:textId="77777777" w:rsidR="003D04D6" w:rsidRPr="00E805D6" w:rsidRDefault="003D04D6" w:rsidP="00C44232">
            <w:pPr>
              <w:shd w:val="clear" w:color="auto" w:fill="FFFFFF" w:themeFill="background1"/>
              <w:rPr>
                <w:rFonts w:ascii="Calibri" w:eastAsia="Times New Roman" w:hAnsi="Calibri" w:cs="Times New Roman"/>
                <w:b/>
                <w:bCs/>
                <w:color w:val="000000"/>
              </w:rPr>
            </w:pPr>
            <w:r>
              <w:rPr>
                <w:rFonts w:ascii="Calibri" w:eastAsia="Times New Roman" w:hAnsi="Calibri" w:cs="Times New Roman"/>
                <w:b/>
                <w:bCs/>
                <w:color w:val="000000"/>
              </w:rPr>
              <w:t xml:space="preserve">TOTAL - </w:t>
            </w:r>
            <w:r w:rsidRPr="00385632">
              <w:rPr>
                <w:rFonts w:ascii="Calibri" w:eastAsia="Times New Roman" w:hAnsi="Calibri" w:cs="Times New Roman"/>
                <w:b/>
                <w:bCs/>
                <w:color w:val="000000"/>
              </w:rPr>
              <w:t>Section 8 Voucher</w:t>
            </w:r>
            <w:r>
              <w:rPr>
                <w:rFonts w:ascii="Calibri" w:eastAsia="Times New Roman" w:hAnsi="Calibri" w:cs="Times New Roman"/>
                <w:b/>
                <w:bCs/>
                <w:color w:val="000000"/>
              </w:rPr>
              <w:t>s</w:t>
            </w:r>
          </w:p>
        </w:tc>
        <w:tc>
          <w:tcPr>
            <w:tcW w:w="1506" w:type="dxa"/>
            <w:vAlign w:val="bottom"/>
          </w:tcPr>
          <w:p w14:paraId="11E9724B" w14:textId="77777777" w:rsidR="003D04D6" w:rsidRPr="00E805D6" w:rsidRDefault="003D04D6" w:rsidP="00C44232">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41%</w:t>
            </w:r>
          </w:p>
        </w:tc>
        <w:tc>
          <w:tcPr>
            <w:tcW w:w="1350" w:type="dxa"/>
            <w:vAlign w:val="bottom"/>
          </w:tcPr>
          <w:p w14:paraId="43D262BD" w14:textId="77777777" w:rsidR="003D04D6" w:rsidRPr="00E805D6" w:rsidRDefault="003D04D6" w:rsidP="00C44232">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59%</w:t>
            </w:r>
          </w:p>
        </w:tc>
      </w:tr>
      <w:tr w:rsidR="003D04D6" w:rsidRPr="00E805D6" w14:paraId="0735C544" w14:textId="77777777" w:rsidTr="00420461">
        <w:tc>
          <w:tcPr>
            <w:tcW w:w="3192" w:type="dxa"/>
            <w:vAlign w:val="bottom"/>
          </w:tcPr>
          <w:p w14:paraId="476D9F6E" w14:textId="77777777" w:rsidR="003D04D6" w:rsidRPr="00E805D6" w:rsidRDefault="003D04D6" w:rsidP="00C44232">
            <w:pPr>
              <w:shd w:val="clear" w:color="auto" w:fill="FFFFFF" w:themeFill="background1"/>
              <w:rPr>
                <w:rFonts w:ascii="Calibri" w:eastAsia="Times New Roman" w:hAnsi="Calibri" w:cs="Times New Roman"/>
                <w:b/>
                <w:bCs/>
                <w:color w:val="000000"/>
              </w:rPr>
            </w:pPr>
            <w:r w:rsidRPr="00FC7B05">
              <w:rPr>
                <w:rFonts w:ascii="Calibri" w:eastAsia="Times New Roman" w:hAnsi="Calibri" w:cs="Times New Roman"/>
                <w:b/>
                <w:bCs/>
                <w:color w:val="000000"/>
              </w:rPr>
              <w:t>GRAND TOTAL</w:t>
            </w:r>
          </w:p>
        </w:tc>
        <w:tc>
          <w:tcPr>
            <w:tcW w:w="1506" w:type="dxa"/>
            <w:vAlign w:val="bottom"/>
          </w:tcPr>
          <w:p w14:paraId="538A0EE9" w14:textId="77777777" w:rsidR="003D04D6" w:rsidRPr="00E805D6" w:rsidRDefault="003D04D6" w:rsidP="00C44232">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43%</w:t>
            </w:r>
          </w:p>
        </w:tc>
        <w:tc>
          <w:tcPr>
            <w:tcW w:w="1350" w:type="dxa"/>
            <w:vAlign w:val="bottom"/>
          </w:tcPr>
          <w:p w14:paraId="726AD336" w14:textId="77777777" w:rsidR="003D04D6" w:rsidRPr="00E805D6" w:rsidRDefault="003D04D6" w:rsidP="00C44232">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57%</w:t>
            </w:r>
          </w:p>
        </w:tc>
      </w:tr>
    </w:tbl>
    <w:p w14:paraId="408BA61A" w14:textId="77777777" w:rsidR="002D4E01" w:rsidRDefault="002D4E01" w:rsidP="00384CBA">
      <w:pPr>
        <w:spacing w:after="240" w:line="240" w:lineRule="auto"/>
        <w:rPr>
          <w:b/>
          <w:bCs/>
        </w:rPr>
      </w:pPr>
    </w:p>
    <w:p w14:paraId="487002A5" w14:textId="77777777" w:rsidR="002D4E01" w:rsidRDefault="002D4E01" w:rsidP="00384CBA">
      <w:pPr>
        <w:spacing w:after="240" w:line="240" w:lineRule="auto"/>
        <w:rPr>
          <w:b/>
          <w:bCs/>
        </w:rPr>
      </w:pPr>
    </w:p>
    <w:p w14:paraId="0C224D8F" w14:textId="77777777" w:rsidR="002D4E01" w:rsidRDefault="002D4E01" w:rsidP="00384CBA">
      <w:pPr>
        <w:spacing w:after="240" w:line="240" w:lineRule="auto"/>
        <w:rPr>
          <w:b/>
          <w:bCs/>
        </w:rPr>
      </w:pPr>
    </w:p>
    <w:p w14:paraId="1B0623B8" w14:textId="77777777" w:rsidR="002D4E01" w:rsidRPr="002E677A" w:rsidRDefault="002D4E01" w:rsidP="00384CBA">
      <w:pPr>
        <w:spacing w:after="240" w:line="240" w:lineRule="auto"/>
        <w:rPr>
          <w:b/>
          <w:bCs/>
        </w:rPr>
      </w:pPr>
    </w:p>
    <w:p w14:paraId="3FFE611E" w14:textId="2093579F" w:rsidR="00522C43" w:rsidRPr="00420461" w:rsidRDefault="5F884969" w:rsidP="00420461">
      <w:pPr>
        <w:spacing w:after="240" w:line="240" w:lineRule="auto"/>
        <w:ind w:left="360"/>
        <w:outlineLvl w:val="0"/>
        <w:rPr>
          <w:i/>
          <w:iCs/>
          <w:u w:val="single"/>
        </w:rPr>
      </w:pPr>
      <w:r w:rsidRPr="5F884969">
        <w:rPr>
          <w:i/>
          <w:iCs/>
          <w:u w:val="single"/>
        </w:rPr>
        <w:t>Publicly Supported Housing Location and Occupancy Analysis</w:t>
      </w:r>
    </w:p>
    <w:p w14:paraId="1CE0809C" w14:textId="77777777" w:rsidR="00522C43" w:rsidRPr="00BE5F2B" w:rsidRDefault="00522C43" w:rsidP="00522C43">
      <w:pPr>
        <w:spacing w:after="0"/>
        <w:ind w:left="360"/>
        <w:rPr>
          <w:sz w:val="20"/>
          <w:szCs w:val="20"/>
        </w:rPr>
      </w:pPr>
      <w:r w:rsidRPr="5F884969">
        <w:rPr>
          <w:b/>
          <w:bCs/>
          <w:i/>
          <w:iCs/>
          <w:sz w:val="20"/>
          <w:szCs w:val="20"/>
        </w:rPr>
        <w:t>Map 16:</w:t>
      </w:r>
      <w:r w:rsidRPr="5F884969">
        <w:rPr>
          <w:sz w:val="20"/>
          <w:szCs w:val="20"/>
        </w:rPr>
        <w:t xml:space="preserve"> Map showing location of v</w:t>
      </w:r>
      <w:r>
        <w:rPr>
          <w:sz w:val="20"/>
          <w:szCs w:val="20"/>
        </w:rPr>
        <w:t>arious publicly supported units and percent voucher units</w:t>
      </w:r>
      <w:r w:rsidRPr="5F884969">
        <w:rPr>
          <w:sz w:val="20"/>
          <w:szCs w:val="20"/>
        </w:rPr>
        <w:t xml:space="preserve"> Burlington, VT area. </w:t>
      </w:r>
    </w:p>
    <w:p w14:paraId="5A291114" w14:textId="77777777" w:rsidR="00522C43" w:rsidRDefault="00522C43" w:rsidP="5F884969">
      <w:pPr>
        <w:spacing w:after="240" w:line="240" w:lineRule="auto"/>
        <w:ind w:left="360"/>
        <w:rPr>
          <w:b/>
          <w:bCs/>
          <w:i/>
          <w:iCs/>
        </w:rPr>
      </w:pPr>
      <w:r>
        <w:rPr>
          <w:noProof/>
          <w:lang w:eastAsia="en-US"/>
        </w:rPr>
        <w:lastRenderedPageBreak/>
        <w:drawing>
          <wp:inline distT="0" distB="0" distL="0" distR="0" wp14:anchorId="2D822BF5" wp14:editId="6F7E44C3">
            <wp:extent cx="5669349" cy="3202940"/>
            <wp:effectExtent l="25400" t="25400" r="20320" b="22860"/>
            <wp:docPr id="6" name="Picture 6" descr="../Desktop/New%20HUD%20Maps/HUDMap5_PubliclySupportedHo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New%20HUD%20Maps/HUDMap5_PubliclySupportedHousing.jp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5674803" cy="3206021"/>
                    </a:xfrm>
                    <a:prstGeom prst="rect">
                      <a:avLst/>
                    </a:prstGeom>
                    <a:noFill/>
                    <a:ln>
                      <a:solidFill>
                        <a:schemeClr val="tx1"/>
                      </a:solidFill>
                    </a:ln>
                  </pic:spPr>
                </pic:pic>
              </a:graphicData>
            </a:graphic>
          </wp:inline>
        </w:drawing>
      </w:r>
    </w:p>
    <w:p w14:paraId="5333D424" w14:textId="676393EF" w:rsidR="004659AE" w:rsidRPr="00D7679C" w:rsidRDefault="5F884969" w:rsidP="5F884969">
      <w:pPr>
        <w:spacing w:after="240" w:line="240" w:lineRule="auto"/>
        <w:ind w:left="360"/>
        <w:rPr>
          <w:b/>
          <w:bCs/>
          <w:i/>
        </w:rPr>
      </w:pPr>
      <w:r w:rsidRPr="00D7679C">
        <w:rPr>
          <w:b/>
          <w:bCs/>
          <w:i/>
        </w:rPr>
        <w:t>Describe patterns in the geographic location of publicly supported housing by program category (public housing, project-based Section 8, Other Multifamily Assisted developments, HCV, and LIHTC) in relation to previously discussed segregated areas and R/ECAPs in the jurisdiction and region.</w:t>
      </w:r>
    </w:p>
    <w:p w14:paraId="170EB59D" w14:textId="77777777" w:rsidR="009B5F21" w:rsidRPr="009B5F21" w:rsidRDefault="009B5F21" w:rsidP="009B5F21">
      <w:pPr>
        <w:spacing w:after="0"/>
        <w:ind w:left="360"/>
        <w:rPr>
          <w:bCs/>
          <w:iCs/>
        </w:rPr>
      </w:pPr>
      <w:r w:rsidRPr="009B5F21">
        <w:rPr>
          <w:bCs/>
          <w:iCs/>
        </w:rPr>
        <w:t xml:space="preserve">According to Map 16, a concentration of publicly supported units is located in the urban core of Burlington and a concentration of voucher units is located in the northeast corner of the jurisdiction. </w:t>
      </w:r>
    </w:p>
    <w:p w14:paraId="55103764" w14:textId="77777777" w:rsidR="00BE5F2B" w:rsidRPr="004D1A4A" w:rsidRDefault="00BE5F2B" w:rsidP="004659AE">
      <w:pPr>
        <w:spacing w:after="240" w:line="240" w:lineRule="auto"/>
        <w:ind w:left="360"/>
        <w:rPr>
          <w:b/>
          <w:color w:val="FF0000"/>
        </w:rPr>
      </w:pPr>
    </w:p>
    <w:p w14:paraId="6351799B" w14:textId="766A1C0D" w:rsidR="00BB60F6" w:rsidRPr="00D7679C" w:rsidRDefault="5F884969" w:rsidP="5F884969">
      <w:pPr>
        <w:spacing w:after="240" w:line="240" w:lineRule="auto"/>
        <w:ind w:left="360"/>
        <w:rPr>
          <w:b/>
          <w:bCs/>
          <w:i/>
        </w:rPr>
      </w:pPr>
      <w:r w:rsidRPr="00D7679C">
        <w:rPr>
          <w:i/>
        </w:rPr>
        <w:t xml:space="preserve"> </w:t>
      </w:r>
      <w:r w:rsidRPr="00D7679C">
        <w:rPr>
          <w:b/>
          <w:bCs/>
          <w:i/>
        </w:rPr>
        <w:t>Describe patterns in the geographic location for publicly supported housing that primarily serves families with children, elderly persons, or persons with disabilities in relation to previously discussed segregated areas or R/ECAPs in the jurisdiction and region.</w:t>
      </w:r>
    </w:p>
    <w:p w14:paraId="5978DC34" w14:textId="3796F818" w:rsidR="00BB60F6" w:rsidRDefault="009808B8" w:rsidP="004659AE">
      <w:pPr>
        <w:spacing w:after="240" w:line="240" w:lineRule="auto"/>
        <w:ind w:left="360"/>
      </w:pPr>
      <w:r w:rsidRPr="009808B8">
        <w:t>Multifamily units are mo</w:t>
      </w:r>
      <w:r>
        <w:t>re di</w:t>
      </w:r>
      <w:r w:rsidR="003900FD">
        <w:t>spersed in the jurisdiction</w:t>
      </w:r>
      <w:r>
        <w:t>. Thirty-five percent of households with children utilize the HCV Program and 50% of those in the HCV program are in 2 or 3+ bedroom units.</w:t>
      </w:r>
    </w:p>
    <w:p w14:paraId="3206AA55" w14:textId="2951D8AF" w:rsidR="009808B8" w:rsidRPr="009808B8" w:rsidRDefault="003900FD" w:rsidP="00420461">
      <w:pPr>
        <w:ind w:left="360"/>
      </w:pPr>
      <w:r>
        <w:t xml:space="preserve">The two BHA developments with units containing numerous bedrooms (4-5) are in located in Burlington’s New North End (Franklin Square) and Burlington’s Old North End (Riverside). Franklin Square has five 4-bedroom units and two 5-bedroom units; Riverside Apartments has five 4-bedroom units and one 5-bedroom unit. These thirteen units are primarily occupied by large minority refugee families. Because other developments do not have four and five bedrooms, these families are housed in these two developments with the unintended consequence of clustering of families. It should be noted, however, that both of these development are served by public transportation, have a number of amenities nearby, and have excellent schools. </w:t>
      </w:r>
    </w:p>
    <w:p w14:paraId="2884C5B5" w14:textId="5F929E51" w:rsidR="00BB60F6" w:rsidRPr="00D7679C" w:rsidRDefault="5F884969" w:rsidP="5F884969">
      <w:pPr>
        <w:spacing w:after="240" w:line="240" w:lineRule="auto"/>
        <w:ind w:left="360"/>
        <w:rPr>
          <w:b/>
          <w:bCs/>
          <w:i/>
        </w:rPr>
      </w:pPr>
      <w:r w:rsidRPr="00D7679C">
        <w:rPr>
          <w:b/>
          <w:bCs/>
          <w:i/>
        </w:rPr>
        <w:t>How does the demographic composition of occupants of publicly supported housing in R/ECAPS compare to the demographic composition of occupants of publicly supported housing outside of R/ECAPs in the jurisdiction and region?</w:t>
      </w:r>
    </w:p>
    <w:p w14:paraId="33093E59" w14:textId="34D6AA30" w:rsidR="0008134A" w:rsidRPr="00453CE2" w:rsidRDefault="003D04D6" w:rsidP="00453CE2">
      <w:pPr>
        <w:spacing w:after="240" w:line="240" w:lineRule="auto"/>
        <w:ind w:left="360"/>
      </w:pPr>
      <w:r>
        <w:lastRenderedPageBreak/>
        <w:t>There are no R/ECAPS in the jurisdiction or the Region.</w:t>
      </w:r>
    </w:p>
    <w:p w14:paraId="09AEF30F" w14:textId="5C521735" w:rsidR="0008134A" w:rsidRPr="00D7679C" w:rsidRDefault="5F884969" w:rsidP="00051C18">
      <w:pPr>
        <w:pStyle w:val="ListParagraph"/>
        <w:spacing w:after="240" w:line="240" w:lineRule="auto"/>
        <w:ind w:left="450"/>
        <w:rPr>
          <w:b/>
          <w:bCs/>
          <w:i/>
        </w:rPr>
      </w:pPr>
      <w:r w:rsidRPr="00D7679C">
        <w:rPr>
          <w:b/>
          <w:bCs/>
          <w:i/>
        </w:rPr>
        <w:t>Do any developments of public housing, properties converted under the RAD, and LIHTC developments have a significantly different demographic composition, in terms of protected class, than other developments of the same category for the jurisdiction?  Describe how these developments differ.</w:t>
      </w:r>
    </w:p>
    <w:p w14:paraId="50445F6D" w14:textId="77777777" w:rsidR="00970575" w:rsidRDefault="00970575" w:rsidP="00051C18">
      <w:pPr>
        <w:pStyle w:val="ListParagraph"/>
        <w:spacing w:after="240" w:line="240" w:lineRule="auto"/>
        <w:ind w:left="450"/>
        <w:rPr>
          <w:bCs/>
        </w:rPr>
      </w:pPr>
    </w:p>
    <w:p w14:paraId="6A0DB7E7" w14:textId="77777777" w:rsidR="00970575" w:rsidRDefault="00453CE2" w:rsidP="00051C18">
      <w:pPr>
        <w:pStyle w:val="ListParagraph"/>
        <w:spacing w:after="240" w:line="240" w:lineRule="auto"/>
        <w:ind w:left="450"/>
        <w:rPr>
          <w:bCs/>
        </w:rPr>
      </w:pPr>
      <w:r>
        <w:rPr>
          <w:bCs/>
        </w:rPr>
        <w:t>There are several developments in the Jurisdiction which have a significantly higher proportion of those in protected classes and are more likely to be in family households.</w:t>
      </w:r>
    </w:p>
    <w:p w14:paraId="7AF688D4" w14:textId="77777777" w:rsidR="00970575" w:rsidRDefault="00970575" w:rsidP="00051C18">
      <w:pPr>
        <w:pStyle w:val="ListParagraph"/>
        <w:spacing w:after="240" w:line="240" w:lineRule="auto"/>
        <w:ind w:left="450"/>
        <w:rPr>
          <w:bCs/>
        </w:rPr>
      </w:pPr>
    </w:p>
    <w:p w14:paraId="2EC8C419" w14:textId="2B551AEC" w:rsidR="00453CE2" w:rsidRDefault="00453CE2" w:rsidP="00051C18">
      <w:pPr>
        <w:pStyle w:val="ListParagraph"/>
        <w:spacing w:after="240" w:line="240" w:lineRule="auto"/>
        <w:ind w:left="450"/>
        <w:rPr>
          <w:bCs/>
        </w:rPr>
      </w:pPr>
      <w:r>
        <w:rPr>
          <w:bCs/>
        </w:rPr>
        <w:t xml:space="preserve"> For example, </w:t>
      </w:r>
      <w:r w:rsidR="00970575">
        <w:rPr>
          <w:bCs/>
        </w:rPr>
        <w:t xml:space="preserve">in Bobbin Mill Apartments, there are 16% Black households and 20% Asian households. In Franklin Square, 34% of the households are Black and 23% Asian; therefore more than 50% of the residents are people of color. In fact, in Franklin Square, 34% of the households speak a language other than English at home, indicating a high number of refugee families in this development. A similar profile exists in the Riverside family development – 34% Black, 25% Asian and 70% speak a language other than English at home. Over all, nearly 24% of the residents of Burlington Housing Authority properties speak a language other than English at home as compared to only 3% of their voucher holders. </w:t>
      </w:r>
    </w:p>
    <w:p w14:paraId="5EEC1697" w14:textId="77777777" w:rsidR="00970575" w:rsidRDefault="00970575" w:rsidP="00051C18">
      <w:pPr>
        <w:pStyle w:val="ListParagraph"/>
        <w:spacing w:after="240" w:line="240" w:lineRule="auto"/>
        <w:ind w:left="450"/>
        <w:rPr>
          <w:bCs/>
        </w:rPr>
      </w:pPr>
    </w:p>
    <w:p w14:paraId="222B7626" w14:textId="3B3EE6E6" w:rsidR="00970575" w:rsidRDefault="00970575" w:rsidP="00051C18">
      <w:pPr>
        <w:pStyle w:val="ListParagraph"/>
        <w:spacing w:after="240" w:line="240" w:lineRule="auto"/>
        <w:ind w:left="450"/>
        <w:rPr>
          <w:bCs/>
        </w:rPr>
      </w:pPr>
      <w:r>
        <w:rPr>
          <w:bCs/>
        </w:rPr>
        <w:t xml:space="preserve">There is also a significant number of properties housing over 50% of the residents with disabilities; these properties include </w:t>
      </w:r>
      <w:r w:rsidR="00700DCF">
        <w:rPr>
          <w:bCs/>
        </w:rPr>
        <w:t>Decker Towers at 84%, 105 East Allen at 67% and Champlain at 84%. Details can be seen in the table below.</w:t>
      </w:r>
    </w:p>
    <w:p w14:paraId="4B945FF6" w14:textId="1044ECA1" w:rsidR="00700DCF" w:rsidRDefault="00700DCF" w:rsidP="000544D5">
      <w:pPr>
        <w:ind w:left="450"/>
      </w:pPr>
      <w:r>
        <w:t xml:space="preserve">Half of BHA residents living in owned or managed properties have a disability compared to almost 60% of voucher holders. </w:t>
      </w:r>
    </w:p>
    <w:p w14:paraId="75A5394C" w14:textId="54728C73" w:rsidR="00700DCF" w:rsidRDefault="00051C18" w:rsidP="00700DCF">
      <w:pPr>
        <w:rPr>
          <w:b/>
        </w:rPr>
      </w:pPr>
      <w:r>
        <w:rPr>
          <w:b/>
        </w:rPr>
        <w:t xml:space="preserve"> </w:t>
      </w:r>
    </w:p>
    <w:tbl>
      <w:tblPr>
        <w:tblStyle w:val="TableGrid"/>
        <w:tblW w:w="0" w:type="auto"/>
        <w:tblLook w:val="04A0" w:firstRow="1" w:lastRow="0" w:firstColumn="1" w:lastColumn="0" w:noHBand="0" w:noVBand="1"/>
      </w:tblPr>
      <w:tblGrid>
        <w:gridCol w:w="3192"/>
        <w:gridCol w:w="1506"/>
        <w:gridCol w:w="1350"/>
      </w:tblGrid>
      <w:tr w:rsidR="00700DCF" w:rsidRPr="00D46211" w14:paraId="572C850E" w14:textId="77777777" w:rsidTr="00BD6AD3">
        <w:tc>
          <w:tcPr>
            <w:tcW w:w="3192" w:type="dxa"/>
            <w:vAlign w:val="bottom"/>
          </w:tcPr>
          <w:p w14:paraId="5E94076E" w14:textId="77777777" w:rsidR="00700DCF" w:rsidRPr="00C058ED" w:rsidRDefault="00700DCF" w:rsidP="00BD6AD3">
            <w:pPr>
              <w:rPr>
                <w:rFonts w:ascii="Calibri" w:eastAsia="Times New Roman" w:hAnsi="Calibri" w:cs="Times New Roman"/>
                <w:b/>
                <w:bCs/>
                <w:color w:val="000000"/>
              </w:rPr>
            </w:pPr>
            <w:r w:rsidRPr="00C058ED">
              <w:rPr>
                <w:rFonts w:ascii="Calibri" w:eastAsia="Times New Roman" w:hAnsi="Calibri" w:cs="Times New Roman"/>
                <w:b/>
                <w:bCs/>
                <w:color w:val="000000"/>
              </w:rPr>
              <w:t>BHA Property</w:t>
            </w:r>
          </w:p>
        </w:tc>
        <w:tc>
          <w:tcPr>
            <w:tcW w:w="1506" w:type="dxa"/>
          </w:tcPr>
          <w:p w14:paraId="6FEDEA3D" w14:textId="77777777" w:rsidR="00700DCF" w:rsidRPr="00D46211" w:rsidRDefault="00700DCF" w:rsidP="00BD6AD3">
            <w:pPr>
              <w:pStyle w:val="m-3001944717826557405m-7730211882286480835m-7875992200816485763msolistparagraph"/>
              <w:jc w:val="center"/>
              <w:rPr>
                <w:rFonts w:asciiTheme="minorHAnsi" w:hAnsiTheme="minorHAnsi"/>
                <w:b/>
              </w:rPr>
            </w:pPr>
            <w:r w:rsidRPr="00D46211">
              <w:rPr>
                <w:rFonts w:asciiTheme="minorHAnsi" w:hAnsiTheme="minorHAnsi"/>
                <w:b/>
              </w:rPr>
              <w:t>No Disability</w:t>
            </w:r>
          </w:p>
        </w:tc>
        <w:tc>
          <w:tcPr>
            <w:tcW w:w="1350" w:type="dxa"/>
          </w:tcPr>
          <w:p w14:paraId="154019DA" w14:textId="77777777" w:rsidR="00700DCF" w:rsidRPr="00D46211" w:rsidRDefault="00700DCF" w:rsidP="00BD6AD3">
            <w:pPr>
              <w:pStyle w:val="m-3001944717826557405m-7730211882286480835m-7875992200816485763msolistparagraph"/>
              <w:jc w:val="center"/>
              <w:rPr>
                <w:rFonts w:asciiTheme="minorHAnsi" w:hAnsiTheme="minorHAnsi"/>
                <w:b/>
              </w:rPr>
            </w:pPr>
            <w:r w:rsidRPr="00D46211">
              <w:rPr>
                <w:rFonts w:asciiTheme="minorHAnsi" w:hAnsiTheme="minorHAnsi"/>
                <w:b/>
              </w:rPr>
              <w:t>Disability</w:t>
            </w:r>
          </w:p>
        </w:tc>
      </w:tr>
      <w:tr w:rsidR="00700DCF" w14:paraId="1B6C1FBB" w14:textId="77777777" w:rsidTr="00BD6AD3">
        <w:tc>
          <w:tcPr>
            <w:tcW w:w="3192" w:type="dxa"/>
            <w:vAlign w:val="bottom"/>
          </w:tcPr>
          <w:p w14:paraId="61F94127"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103 East Allen</w:t>
            </w:r>
          </w:p>
        </w:tc>
        <w:tc>
          <w:tcPr>
            <w:tcW w:w="1506" w:type="dxa"/>
          </w:tcPr>
          <w:p w14:paraId="3245518E" w14:textId="77777777" w:rsidR="00700DCF" w:rsidRDefault="00700DCF" w:rsidP="00BD6AD3">
            <w:pPr>
              <w:pStyle w:val="m-3001944717826557405m-7730211882286480835m-7875992200816485763msolistparagraph"/>
              <w:jc w:val="right"/>
              <w:rPr>
                <w:rFonts w:asciiTheme="minorHAnsi" w:hAnsiTheme="minorHAnsi"/>
              </w:rPr>
            </w:pPr>
            <w:r>
              <w:rPr>
                <w:rFonts w:asciiTheme="minorHAnsi" w:hAnsiTheme="minorHAnsi"/>
              </w:rPr>
              <w:t>0</w:t>
            </w:r>
          </w:p>
        </w:tc>
        <w:tc>
          <w:tcPr>
            <w:tcW w:w="1350" w:type="dxa"/>
          </w:tcPr>
          <w:p w14:paraId="28568D01" w14:textId="77777777" w:rsidR="00700DCF" w:rsidRDefault="00700DCF" w:rsidP="00BD6AD3">
            <w:pPr>
              <w:pStyle w:val="m-3001944717826557405m-7730211882286480835m-7875992200816485763msolistparagraph"/>
              <w:jc w:val="right"/>
              <w:rPr>
                <w:rFonts w:asciiTheme="minorHAnsi" w:hAnsiTheme="minorHAnsi"/>
              </w:rPr>
            </w:pPr>
            <w:r>
              <w:rPr>
                <w:rFonts w:asciiTheme="minorHAnsi" w:hAnsiTheme="minorHAnsi"/>
              </w:rPr>
              <w:t>0</w:t>
            </w:r>
          </w:p>
        </w:tc>
      </w:tr>
      <w:tr w:rsidR="00700DCF" w:rsidRPr="00E805D6" w14:paraId="6194E4B1" w14:textId="77777777" w:rsidTr="00BD6AD3">
        <w:tc>
          <w:tcPr>
            <w:tcW w:w="3192" w:type="dxa"/>
            <w:vAlign w:val="bottom"/>
          </w:tcPr>
          <w:p w14:paraId="1E09FD89"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105 East Allen</w:t>
            </w:r>
          </w:p>
        </w:tc>
        <w:tc>
          <w:tcPr>
            <w:tcW w:w="1506" w:type="dxa"/>
            <w:vAlign w:val="bottom"/>
          </w:tcPr>
          <w:p w14:paraId="005037E1"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33%</w:t>
            </w:r>
          </w:p>
        </w:tc>
        <w:tc>
          <w:tcPr>
            <w:tcW w:w="1350" w:type="dxa"/>
            <w:vAlign w:val="bottom"/>
          </w:tcPr>
          <w:p w14:paraId="207C74AD"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67%</w:t>
            </w:r>
          </w:p>
        </w:tc>
      </w:tr>
      <w:tr w:rsidR="00700DCF" w:rsidRPr="00E805D6" w14:paraId="4A4D91CC" w14:textId="77777777" w:rsidTr="00BD6AD3">
        <w:tc>
          <w:tcPr>
            <w:tcW w:w="3192" w:type="dxa"/>
            <w:vAlign w:val="bottom"/>
          </w:tcPr>
          <w:p w14:paraId="28164C58"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693-711 Riverside Avenue</w:t>
            </w:r>
          </w:p>
        </w:tc>
        <w:tc>
          <w:tcPr>
            <w:tcW w:w="1506" w:type="dxa"/>
            <w:vAlign w:val="bottom"/>
          </w:tcPr>
          <w:p w14:paraId="7A7B90F9"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43%</w:t>
            </w:r>
          </w:p>
        </w:tc>
        <w:tc>
          <w:tcPr>
            <w:tcW w:w="1350" w:type="dxa"/>
            <w:vAlign w:val="bottom"/>
          </w:tcPr>
          <w:p w14:paraId="7175ABD2"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57%</w:t>
            </w:r>
          </w:p>
        </w:tc>
      </w:tr>
      <w:tr w:rsidR="00700DCF" w:rsidRPr="00E805D6" w14:paraId="0BED0EBA" w14:textId="77777777" w:rsidTr="00BD6AD3">
        <w:tc>
          <w:tcPr>
            <w:tcW w:w="3192" w:type="dxa"/>
            <w:vAlign w:val="bottom"/>
          </w:tcPr>
          <w:p w14:paraId="1CDF185A"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Bobbin Mill Apartments</w:t>
            </w:r>
          </w:p>
        </w:tc>
        <w:tc>
          <w:tcPr>
            <w:tcW w:w="1506" w:type="dxa"/>
            <w:vAlign w:val="bottom"/>
          </w:tcPr>
          <w:p w14:paraId="35B5F4FC"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53%</w:t>
            </w:r>
          </w:p>
        </w:tc>
        <w:tc>
          <w:tcPr>
            <w:tcW w:w="1350" w:type="dxa"/>
            <w:vAlign w:val="bottom"/>
          </w:tcPr>
          <w:p w14:paraId="20843B8B"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47%</w:t>
            </w:r>
          </w:p>
        </w:tc>
      </w:tr>
      <w:tr w:rsidR="00700DCF" w:rsidRPr="00E805D6" w14:paraId="1CF2CEF5" w14:textId="77777777" w:rsidTr="00BD6AD3">
        <w:tc>
          <w:tcPr>
            <w:tcW w:w="3192" w:type="dxa"/>
            <w:vAlign w:val="bottom"/>
          </w:tcPr>
          <w:p w14:paraId="205AB723"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Duggan Row House</w:t>
            </w:r>
          </w:p>
        </w:tc>
        <w:tc>
          <w:tcPr>
            <w:tcW w:w="1506" w:type="dxa"/>
            <w:vAlign w:val="bottom"/>
          </w:tcPr>
          <w:p w14:paraId="53306AB8"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64%</w:t>
            </w:r>
          </w:p>
        </w:tc>
        <w:tc>
          <w:tcPr>
            <w:tcW w:w="1350" w:type="dxa"/>
            <w:vAlign w:val="bottom"/>
          </w:tcPr>
          <w:p w14:paraId="037AE6BF"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36%</w:t>
            </w:r>
          </w:p>
        </w:tc>
      </w:tr>
      <w:tr w:rsidR="00700DCF" w:rsidRPr="00E805D6" w14:paraId="0D0DBCF0" w14:textId="77777777" w:rsidTr="00BD6AD3">
        <w:tc>
          <w:tcPr>
            <w:tcW w:w="3192" w:type="dxa"/>
            <w:vAlign w:val="bottom"/>
          </w:tcPr>
          <w:p w14:paraId="29FA4EDE"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Elderly - Champlain</w:t>
            </w:r>
          </w:p>
        </w:tc>
        <w:tc>
          <w:tcPr>
            <w:tcW w:w="1506" w:type="dxa"/>
            <w:vAlign w:val="bottom"/>
          </w:tcPr>
          <w:p w14:paraId="02B06787"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23%</w:t>
            </w:r>
          </w:p>
        </w:tc>
        <w:tc>
          <w:tcPr>
            <w:tcW w:w="1350" w:type="dxa"/>
            <w:vAlign w:val="bottom"/>
          </w:tcPr>
          <w:p w14:paraId="44806775"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77%</w:t>
            </w:r>
          </w:p>
        </w:tc>
      </w:tr>
      <w:tr w:rsidR="00700DCF" w:rsidRPr="00E805D6" w14:paraId="36234BFB" w14:textId="77777777" w:rsidTr="00BD6AD3">
        <w:tc>
          <w:tcPr>
            <w:tcW w:w="3192" w:type="dxa"/>
            <w:vAlign w:val="bottom"/>
          </w:tcPr>
          <w:p w14:paraId="63160DF7"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Elderly - Decker</w:t>
            </w:r>
          </w:p>
        </w:tc>
        <w:tc>
          <w:tcPr>
            <w:tcW w:w="1506" w:type="dxa"/>
            <w:vAlign w:val="bottom"/>
          </w:tcPr>
          <w:p w14:paraId="6022A135"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16%</w:t>
            </w:r>
          </w:p>
        </w:tc>
        <w:tc>
          <w:tcPr>
            <w:tcW w:w="1350" w:type="dxa"/>
            <w:vAlign w:val="bottom"/>
          </w:tcPr>
          <w:p w14:paraId="2B8F5E59"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84%</w:t>
            </w:r>
          </w:p>
        </w:tc>
      </w:tr>
      <w:tr w:rsidR="00700DCF" w:rsidRPr="00E805D6" w14:paraId="00E70985" w14:textId="77777777" w:rsidTr="00BD6AD3">
        <w:tc>
          <w:tcPr>
            <w:tcW w:w="3192" w:type="dxa"/>
            <w:vAlign w:val="bottom"/>
          </w:tcPr>
          <w:p w14:paraId="0326B940"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Family - Franklin</w:t>
            </w:r>
          </w:p>
        </w:tc>
        <w:tc>
          <w:tcPr>
            <w:tcW w:w="1506" w:type="dxa"/>
            <w:vAlign w:val="bottom"/>
          </w:tcPr>
          <w:p w14:paraId="7F9D7049"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79%</w:t>
            </w:r>
          </w:p>
        </w:tc>
        <w:tc>
          <w:tcPr>
            <w:tcW w:w="1350" w:type="dxa"/>
            <w:vAlign w:val="bottom"/>
          </w:tcPr>
          <w:p w14:paraId="55E9AEE2"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21%</w:t>
            </w:r>
          </w:p>
        </w:tc>
      </w:tr>
      <w:tr w:rsidR="00700DCF" w:rsidRPr="00E805D6" w14:paraId="1E25EB75" w14:textId="77777777" w:rsidTr="00BD6AD3">
        <w:tc>
          <w:tcPr>
            <w:tcW w:w="3192" w:type="dxa"/>
            <w:vAlign w:val="bottom"/>
          </w:tcPr>
          <w:p w14:paraId="3A64D8A2"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Family - Hillside</w:t>
            </w:r>
          </w:p>
        </w:tc>
        <w:tc>
          <w:tcPr>
            <w:tcW w:w="1506" w:type="dxa"/>
            <w:vAlign w:val="bottom"/>
          </w:tcPr>
          <w:p w14:paraId="49D783DD"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84%</w:t>
            </w:r>
          </w:p>
        </w:tc>
        <w:tc>
          <w:tcPr>
            <w:tcW w:w="1350" w:type="dxa"/>
            <w:vAlign w:val="bottom"/>
          </w:tcPr>
          <w:p w14:paraId="6BEA7F63"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16%</w:t>
            </w:r>
          </w:p>
        </w:tc>
      </w:tr>
      <w:tr w:rsidR="00700DCF" w:rsidRPr="00E805D6" w14:paraId="0A7B135B" w14:textId="77777777" w:rsidTr="00BD6AD3">
        <w:tc>
          <w:tcPr>
            <w:tcW w:w="3192" w:type="dxa"/>
            <w:vAlign w:val="bottom"/>
          </w:tcPr>
          <w:p w14:paraId="2FC6AFF6"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Family - Riverside</w:t>
            </w:r>
          </w:p>
        </w:tc>
        <w:tc>
          <w:tcPr>
            <w:tcW w:w="1506" w:type="dxa"/>
            <w:vAlign w:val="bottom"/>
          </w:tcPr>
          <w:p w14:paraId="74593CA4"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77%</w:t>
            </w:r>
          </w:p>
        </w:tc>
        <w:tc>
          <w:tcPr>
            <w:tcW w:w="1350" w:type="dxa"/>
            <w:vAlign w:val="bottom"/>
          </w:tcPr>
          <w:p w14:paraId="1E785C56"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23%</w:t>
            </w:r>
          </w:p>
        </w:tc>
      </w:tr>
      <w:tr w:rsidR="00700DCF" w:rsidRPr="00E805D6" w14:paraId="5F5452D5" w14:textId="77777777" w:rsidTr="00BD6AD3">
        <w:tc>
          <w:tcPr>
            <w:tcW w:w="3192" w:type="dxa"/>
            <w:vAlign w:val="bottom"/>
          </w:tcPr>
          <w:p w14:paraId="2EA241CE"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KSNRC/Maple St Apartments</w:t>
            </w:r>
          </w:p>
        </w:tc>
        <w:tc>
          <w:tcPr>
            <w:tcW w:w="1506" w:type="dxa"/>
            <w:vAlign w:val="bottom"/>
          </w:tcPr>
          <w:p w14:paraId="21C35B12"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50%</w:t>
            </w:r>
          </w:p>
        </w:tc>
        <w:tc>
          <w:tcPr>
            <w:tcW w:w="1350" w:type="dxa"/>
            <w:vAlign w:val="bottom"/>
          </w:tcPr>
          <w:p w14:paraId="5E899635"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50%</w:t>
            </w:r>
          </w:p>
        </w:tc>
      </w:tr>
      <w:tr w:rsidR="00700DCF" w:rsidRPr="00E805D6" w14:paraId="2A3A0143" w14:textId="77777777" w:rsidTr="00BD6AD3">
        <w:tc>
          <w:tcPr>
            <w:tcW w:w="3192" w:type="dxa"/>
            <w:vAlign w:val="bottom"/>
          </w:tcPr>
          <w:p w14:paraId="40FA9E94"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Lake Champlain Apartments</w:t>
            </w:r>
          </w:p>
        </w:tc>
        <w:tc>
          <w:tcPr>
            <w:tcW w:w="1506" w:type="dxa"/>
            <w:vAlign w:val="bottom"/>
          </w:tcPr>
          <w:p w14:paraId="69A26E80"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74%</w:t>
            </w:r>
          </w:p>
        </w:tc>
        <w:tc>
          <w:tcPr>
            <w:tcW w:w="1350" w:type="dxa"/>
            <w:vAlign w:val="bottom"/>
          </w:tcPr>
          <w:p w14:paraId="1776236E"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26%</w:t>
            </w:r>
          </w:p>
        </w:tc>
      </w:tr>
      <w:tr w:rsidR="00700DCF" w:rsidRPr="00E805D6" w14:paraId="303DAE3D" w14:textId="77777777" w:rsidTr="00BD6AD3">
        <w:tc>
          <w:tcPr>
            <w:tcW w:w="3192" w:type="dxa"/>
            <w:vAlign w:val="bottom"/>
          </w:tcPr>
          <w:p w14:paraId="0E4F3A10"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Peterson Place Apartments</w:t>
            </w:r>
          </w:p>
        </w:tc>
        <w:tc>
          <w:tcPr>
            <w:tcW w:w="1506" w:type="dxa"/>
            <w:vAlign w:val="bottom"/>
          </w:tcPr>
          <w:p w14:paraId="10733FAC"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73%</w:t>
            </w:r>
          </w:p>
        </w:tc>
        <w:tc>
          <w:tcPr>
            <w:tcW w:w="1350" w:type="dxa"/>
            <w:vAlign w:val="bottom"/>
          </w:tcPr>
          <w:p w14:paraId="305E6461"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27%</w:t>
            </w:r>
          </w:p>
        </w:tc>
      </w:tr>
      <w:tr w:rsidR="00700DCF" w:rsidRPr="00E805D6" w14:paraId="15BC8CA3" w14:textId="77777777" w:rsidTr="00BD6AD3">
        <w:tc>
          <w:tcPr>
            <w:tcW w:w="3192" w:type="dxa"/>
            <w:vAlign w:val="bottom"/>
          </w:tcPr>
          <w:p w14:paraId="49521B33"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South Square Apartments</w:t>
            </w:r>
          </w:p>
        </w:tc>
        <w:tc>
          <w:tcPr>
            <w:tcW w:w="1506" w:type="dxa"/>
            <w:vAlign w:val="bottom"/>
          </w:tcPr>
          <w:p w14:paraId="6DEA407A"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63%</w:t>
            </w:r>
          </w:p>
        </w:tc>
        <w:tc>
          <w:tcPr>
            <w:tcW w:w="1350" w:type="dxa"/>
            <w:vAlign w:val="bottom"/>
          </w:tcPr>
          <w:p w14:paraId="4EB87710"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37%</w:t>
            </w:r>
          </w:p>
        </w:tc>
      </w:tr>
      <w:tr w:rsidR="00700DCF" w:rsidRPr="00E805D6" w14:paraId="3BBA6A78" w14:textId="77777777" w:rsidTr="00BD6AD3">
        <w:tc>
          <w:tcPr>
            <w:tcW w:w="3192" w:type="dxa"/>
            <w:vAlign w:val="bottom"/>
          </w:tcPr>
          <w:p w14:paraId="7D6C0B4C"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South St. Paul Apartments</w:t>
            </w:r>
          </w:p>
        </w:tc>
        <w:tc>
          <w:tcPr>
            <w:tcW w:w="1506" w:type="dxa"/>
            <w:vAlign w:val="bottom"/>
          </w:tcPr>
          <w:p w14:paraId="34FA6AC1"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76%</w:t>
            </w:r>
          </w:p>
        </w:tc>
        <w:tc>
          <w:tcPr>
            <w:tcW w:w="1350" w:type="dxa"/>
            <w:vAlign w:val="bottom"/>
          </w:tcPr>
          <w:p w14:paraId="05DE499B"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24%</w:t>
            </w:r>
          </w:p>
        </w:tc>
      </w:tr>
      <w:tr w:rsidR="00700DCF" w:rsidRPr="00E805D6" w14:paraId="1DA34195" w14:textId="77777777" w:rsidTr="00BD6AD3">
        <w:tc>
          <w:tcPr>
            <w:tcW w:w="3192" w:type="dxa"/>
            <w:vAlign w:val="bottom"/>
          </w:tcPr>
          <w:p w14:paraId="7993490B" w14:textId="77777777" w:rsidR="00700DCF" w:rsidRPr="00975BD4" w:rsidRDefault="00700DCF" w:rsidP="00BD6AD3">
            <w:pPr>
              <w:ind w:firstLineChars="100" w:firstLine="220"/>
              <w:rPr>
                <w:rFonts w:ascii="Calibri" w:eastAsia="Times New Roman" w:hAnsi="Calibri" w:cs="Times New Roman"/>
                <w:color w:val="000000"/>
              </w:rPr>
            </w:pPr>
            <w:r w:rsidRPr="00975BD4">
              <w:rPr>
                <w:rFonts w:ascii="Calibri" w:eastAsia="Times New Roman" w:hAnsi="Calibri" w:cs="Times New Roman"/>
                <w:color w:val="000000"/>
              </w:rPr>
              <w:t>Wharf Lane Apartments</w:t>
            </w:r>
          </w:p>
        </w:tc>
        <w:tc>
          <w:tcPr>
            <w:tcW w:w="1506" w:type="dxa"/>
            <w:vAlign w:val="bottom"/>
          </w:tcPr>
          <w:p w14:paraId="226627D4"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49%</w:t>
            </w:r>
          </w:p>
        </w:tc>
        <w:tc>
          <w:tcPr>
            <w:tcW w:w="1350" w:type="dxa"/>
            <w:vAlign w:val="bottom"/>
          </w:tcPr>
          <w:p w14:paraId="4412BB2B" w14:textId="77777777" w:rsidR="00700DCF" w:rsidRPr="00E805D6" w:rsidRDefault="00700DCF" w:rsidP="00BD6AD3">
            <w:pPr>
              <w:shd w:val="clear" w:color="auto" w:fill="FFFFFF" w:themeFill="background1"/>
              <w:jc w:val="right"/>
              <w:rPr>
                <w:rFonts w:ascii="Calibri" w:eastAsia="Times New Roman" w:hAnsi="Calibri" w:cs="Times New Roman"/>
                <w:color w:val="000000"/>
              </w:rPr>
            </w:pPr>
            <w:r w:rsidRPr="00E805D6">
              <w:rPr>
                <w:rFonts w:ascii="Calibri" w:eastAsia="Times New Roman" w:hAnsi="Calibri" w:cs="Times New Roman"/>
                <w:color w:val="000000"/>
              </w:rPr>
              <w:t>51%</w:t>
            </w:r>
          </w:p>
        </w:tc>
      </w:tr>
      <w:tr w:rsidR="00700DCF" w:rsidRPr="00E805D6" w14:paraId="0E8C6F2B" w14:textId="77777777" w:rsidTr="00BD6AD3">
        <w:tc>
          <w:tcPr>
            <w:tcW w:w="3192" w:type="dxa"/>
            <w:vAlign w:val="bottom"/>
          </w:tcPr>
          <w:p w14:paraId="1B17A641" w14:textId="77777777" w:rsidR="00700DCF" w:rsidRPr="00385632" w:rsidRDefault="00700DCF" w:rsidP="00BD6AD3">
            <w:pPr>
              <w:rPr>
                <w:rFonts w:ascii="Calibri" w:eastAsia="Times New Roman" w:hAnsi="Calibri" w:cs="Times New Roman"/>
                <w:b/>
                <w:bCs/>
                <w:color w:val="000000"/>
              </w:rPr>
            </w:pPr>
            <w:r>
              <w:rPr>
                <w:rFonts w:ascii="Calibri" w:eastAsia="Times New Roman" w:hAnsi="Calibri" w:cs="Times New Roman"/>
                <w:b/>
                <w:bCs/>
                <w:color w:val="000000"/>
              </w:rPr>
              <w:t>TOTAL – BHA Properties</w:t>
            </w:r>
          </w:p>
        </w:tc>
        <w:tc>
          <w:tcPr>
            <w:tcW w:w="1506" w:type="dxa"/>
            <w:vAlign w:val="bottom"/>
          </w:tcPr>
          <w:p w14:paraId="7551DD22" w14:textId="77777777" w:rsidR="00700DCF" w:rsidRPr="00E805D6" w:rsidRDefault="00700DCF" w:rsidP="00BD6AD3">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50%</w:t>
            </w:r>
          </w:p>
        </w:tc>
        <w:tc>
          <w:tcPr>
            <w:tcW w:w="1350" w:type="dxa"/>
            <w:vAlign w:val="bottom"/>
          </w:tcPr>
          <w:p w14:paraId="609D532A" w14:textId="77777777" w:rsidR="00700DCF" w:rsidRPr="00E805D6" w:rsidRDefault="00700DCF" w:rsidP="00BD6AD3">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50%</w:t>
            </w:r>
          </w:p>
        </w:tc>
      </w:tr>
      <w:tr w:rsidR="00700DCF" w:rsidRPr="00E805D6" w14:paraId="792636CB" w14:textId="77777777" w:rsidTr="00BD6AD3">
        <w:tc>
          <w:tcPr>
            <w:tcW w:w="3192" w:type="dxa"/>
            <w:vAlign w:val="bottom"/>
          </w:tcPr>
          <w:p w14:paraId="3C91703B" w14:textId="77777777" w:rsidR="00700DCF" w:rsidRPr="00E805D6" w:rsidRDefault="00700DCF" w:rsidP="00BD6AD3">
            <w:pPr>
              <w:shd w:val="clear" w:color="auto" w:fill="FFFFFF" w:themeFill="background1"/>
              <w:rPr>
                <w:rFonts w:ascii="Calibri" w:eastAsia="Times New Roman" w:hAnsi="Calibri" w:cs="Times New Roman"/>
                <w:b/>
                <w:bCs/>
                <w:color w:val="000000"/>
              </w:rPr>
            </w:pPr>
            <w:r>
              <w:rPr>
                <w:rFonts w:ascii="Calibri" w:eastAsia="Times New Roman" w:hAnsi="Calibri" w:cs="Times New Roman"/>
                <w:b/>
                <w:bCs/>
                <w:color w:val="000000"/>
              </w:rPr>
              <w:t xml:space="preserve">TOTAL - </w:t>
            </w:r>
            <w:r w:rsidRPr="00385632">
              <w:rPr>
                <w:rFonts w:ascii="Calibri" w:eastAsia="Times New Roman" w:hAnsi="Calibri" w:cs="Times New Roman"/>
                <w:b/>
                <w:bCs/>
                <w:color w:val="000000"/>
              </w:rPr>
              <w:t>Section 8 Voucher</w:t>
            </w:r>
            <w:r>
              <w:rPr>
                <w:rFonts w:ascii="Calibri" w:eastAsia="Times New Roman" w:hAnsi="Calibri" w:cs="Times New Roman"/>
                <w:b/>
                <w:bCs/>
                <w:color w:val="000000"/>
              </w:rPr>
              <w:t>s</w:t>
            </w:r>
          </w:p>
        </w:tc>
        <w:tc>
          <w:tcPr>
            <w:tcW w:w="1506" w:type="dxa"/>
            <w:vAlign w:val="bottom"/>
          </w:tcPr>
          <w:p w14:paraId="328B5656" w14:textId="77777777" w:rsidR="00700DCF" w:rsidRPr="00E805D6" w:rsidRDefault="00700DCF" w:rsidP="00BD6AD3">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41%</w:t>
            </w:r>
          </w:p>
        </w:tc>
        <w:tc>
          <w:tcPr>
            <w:tcW w:w="1350" w:type="dxa"/>
            <w:vAlign w:val="bottom"/>
          </w:tcPr>
          <w:p w14:paraId="267BDEFC" w14:textId="77777777" w:rsidR="00700DCF" w:rsidRPr="00E805D6" w:rsidRDefault="00700DCF" w:rsidP="00BD6AD3">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59%</w:t>
            </w:r>
          </w:p>
        </w:tc>
      </w:tr>
      <w:tr w:rsidR="00700DCF" w:rsidRPr="00E805D6" w14:paraId="568DA550" w14:textId="77777777" w:rsidTr="00BD6AD3">
        <w:tc>
          <w:tcPr>
            <w:tcW w:w="3192" w:type="dxa"/>
            <w:vAlign w:val="bottom"/>
          </w:tcPr>
          <w:p w14:paraId="4A11145D" w14:textId="77777777" w:rsidR="00700DCF" w:rsidRPr="00E805D6" w:rsidRDefault="00700DCF" w:rsidP="00BD6AD3">
            <w:pPr>
              <w:shd w:val="clear" w:color="auto" w:fill="FFFFFF" w:themeFill="background1"/>
              <w:rPr>
                <w:rFonts w:ascii="Calibri" w:eastAsia="Times New Roman" w:hAnsi="Calibri" w:cs="Times New Roman"/>
                <w:b/>
                <w:bCs/>
                <w:color w:val="000000"/>
              </w:rPr>
            </w:pPr>
            <w:r w:rsidRPr="00FC7B05">
              <w:rPr>
                <w:rFonts w:ascii="Calibri" w:eastAsia="Times New Roman" w:hAnsi="Calibri" w:cs="Times New Roman"/>
                <w:b/>
                <w:bCs/>
                <w:color w:val="000000"/>
              </w:rPr>
              <w:t>GRAND TOTAL</w:t>
            </w:r>
          </w:p>
        </w:tc>
        <w:tc>
          <w:tcPr>
            <w:tcW w:w="1506" w:type="dxa"/>
            <w:vAlign w:val="bottom"/>
          </w:tcPr>
          <w:p w14:paraId="0C470F20" w14:textId="77777777" w:rsidR="00700DCF" w:rsidRPr="00E805D6" w:rsidRDefault="00700DCF" w:rsidP="00BD6AD3">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43%</w:t>
            </w:r>
          </w:p>
        </w:tc>
        <w:tc>
          <w:tcPr>
            <w:tcW w:w="1350" w:type="dxa"/>
            <w:vAlign w:val="bottom"/>
          </w:tcPr>
          <w:p w14:paraId="1D1C0236" w14:textId="77777777" w:rsidR="00700DCF" w:rsidRPr="00E805D6" w:rsidRDefault="00700DCF" w:rsidP="00BD6AD3">
            <w:pPr>
              <w:shd w:val="clear" w:color="auto" w:fill="FFFFFF" w:themeFill="background1"/>
              <w:jc w:val="right"/>
              <w:rPr>
                <w:rFonts w:ascii="Calibri" w:eastAsia="Times New Roman" w:hAnsi="Calibri" w:cs="Times New Roman"/>
                <w:b/>
                <w:bCs/>
                <w:color w:val="000000"/>
              </w:rPr>
            </w:pPr>
            <w:r w:rsidRPr="00E805D6">
              <w:rPr>
                <w:rFonts w:ascii="Calibri" w:eastAsia="Times New Roman" w:hAnsi="Calibri" w:cs="Times New Roman"/>
                <w:b/>
                <w:bCs/>
                <w:color w:val="000000"/>
              </w:rPr>
              <w:t>57%</w:t>
            </w:r>
          </w:p>
        </w:tc>
      </w:tr>
    </w:tbl>
    <w:p w14:paraId="67BC8A25" w14:textId="77777777" w:rsidR="00453CE2" w:rsidRPr="00051C18" w:rsidRDefault="00453CE2" w:rsidP="00051C18">
      <w:pPr>
        <w:spacing w:after="240" w:line="240" w:lineRule="auto"/>
        <w:rPr>
          <w:bCs/>
        </w:rPr>
      </w:pPr>
    </w:p>
    <w:p w14:paraId="4BAF63E9" w14:textId="77777777" w:rsidR="00442689" w:rsidRDefault="00453CE2" w:rsidP="00442689">
      <w:pPr>
        <w:spacing w:after="240" w:line="240" w:lineRule="auto"/>
        <w:rPr>
          <w:bCs/>
        </w:rPr>
      </w:pPr>
      <w:r w:rsidRPr="00442689">
        <w:rPr>
          <w:bCs/>
        </w:rPr>
        <w:t>Within the Region, the following developments stand out with a higher proportion of protected classes:</w:t>
      </w:r>
    </w:p>
    <w:p w14:paraId="7F8C10AF" w14:textId="2298C8E6" w:rsidR="00453CE2" w:rsidRPr="00442689" w:rsidRDefault="00453CE2" w:rsidP="00442689">
      <w:pPr>
        <w:spacing w:after="240" w:line="240" w:lineRule="auto"/>
        <w:rPr>
          <w:bCs/>
        </w:rPr>
      </w:pPr>
      <w:r w:rsidRPr="00442689">
        <w:rPr>
          <w:bCs/>
        </w:rPr>
        <w:t>Elm and Franklin Street Apartments have 28% Black and 36% Asian populations.</w:t>
      </w:r>
    </w:p>
    <w:p w14:paraId="1ACB14EA" w14:textId="37035930" w:rsidR="00051C18" w:rsidRPr="006C51C0" w:rsidRDefault="00051C18" w:rsidP="006C51C0">
      <w:r w:rsidRPr="00442689">
        <w:rPr>
          <w:bCs/>
        </w:rPr>
        <w:t>Of the Voucher holders who can reside in both the Jurisdiction and the Region,</w:t>
      </w:r>
      <w:r w:rsidR="00442689" w:rsidRPr="00442689">
        <w:rPr>
          <w:bCs/>
        </w:rPr>
        <w:t xml:space="preserve"> over 60% have a dis</w:t>
      </w:r>
      <w:r w:rsidRPr="00442689">
        <w:rPr>
          <w:bCs/>
        </w:rPr>
        <w:t xml:space="preserve">ability. </w:t>
      </w:r>
      <w:r w:rsidR="00C24A9A">
        <w:t xml:space="preserve">According to the </w:t>
      </w:r>
      <w:r w:rsidR="00D74CF8">
        <w:t xml:space="preserve">HUD provided data in Table 22, </w:t>
      </w:r>
      <w:r w:rsidR="00C24A9A">
        <w:t>8.66% Blacks hold project based Section 8 vouchers in the Region as well as 8% Blacks in the Housing Choice Voucher program.</w:t>
      </w:r>
    </w:p>
    <w:p w14:paraId="15E704DE" w14:textId="0381E161" w:rsidR="00BB60F6" w:rsidRPr="00D7679C" w:rsidRDefault="5F884969" w:rsidP="00110795">
      <w:pPr>
        <w:spacing w:after="240" w:line="240" w:lineRule="auto"/>
        <w:rPr>
          <w:b/>
          <w:bCs/>
          <w:i/>
        </w:rPr>
      </w:pPr>
      <w:r w:rsidRPr="00D7679C">
        <w:rPr>
          <w:b/>
          <w:bCs/>
          <w:i/>
        </w:rPr>
        <w:t>Provide additional relevant information, if any, about occupancy, by protected class, in other types of publicly supported housing for the jurisdiction and region.</w:t>
      </w:r>
    </w:p>
    <w:p w14:paraId="4E53D41F" w14:textId="0E03B8E9" w:rsidR="00E62140" w:rsidRPr="00E62140" w:rsidRDefault="00E62140" w:rsidP="00E62140">
      <w:r>
        <w:t>The percentages of non-White persons living in Burlington Housing Authority  owned and managed buildings (over 30%) as well as voucher holders (almost 15%) are much greater the population in Burlington and the Burlington/South Burlington MSA.</w:t>
      </w:r>
    </w:p>
    <w:p w14:paraId="00FD8773" w14:textId="77777777" w:rsidR="00E62140" w:rsidRDefault="00E62140" w:rsidP="00E62140">
      <w:pPr>
        <w:rPr>
          <w:b/>
        </w:rPr>
      </w:pPr>
      <w:r>
        <w:rPr>
          <w:b/>
        </w:rPr>
        <w:t>BHA Residents and Voucher Holders: Race by Percent</w:t>
      </w:r>
    </w:p>
    <w:tbl>
      <w:tblPr>
        <w:tblStyle w:val="TableGrid"/>
        <w:tblW w:w="0" w:type="auto"/>
        <w:tblLook w:val="04A0" w:firstRow="1" w:lastRow="0" w:firstColumn="1" w:lastColumn="0" w:noHBand="0" w:noVBand="1"/>
      </w:tblPr>
      <w:tblGrid>
        <w:gridCol w:w="1875"/>
        <w:gridCol w:w="1428"/>
        <w:gridCol w:w="1429"/>
        <w:gridCol w:w="1428"/>
        <w:gridCol w:w="1429"/>
        <w:gridCol w:w="1429"/>
      </w:tblGrid>
      <w:tr w:rsidR="00E62140" w14:paraId="0198E40F" w14:textId="77777777" w:rsidTr="00BD6AD3">
        <w:tc>
          <w:tcPr>
            <w:tcW w:w="1875" w:type="dxa"/>
          </w:tcPr>
          <w:p w14:paraId="1942069E" w14:textId="77777777" w:rsidR="00E62140" w:rsidRDefault="00E62140" w:rsidP="00BD6AD3"/>
        </w:tc>
        <w:tc>
          <w:tcPr>
            <w:tcW w:w="1428" w:type="dxa"/>
            <w:vAlign w:val="bottom"/>
          </w:tcPr>
          <w:p w14:paraId="1504ABF3" w14:textId="77777777" w:rsidR="00E62140" w:rsidRPr="00FC7B05" w:rsidRDefault="00E62140" w:rsidP="00BD6AD3">
            <w:pPr>
              <w:jc w:val="center"/>
              <w:rPr>
                <w:rFonts w:ascii="Calibri" w:eastAsia="Times New Roman" w:hAnsi="Calibri" w:cs="Times New Roman"/>
                <w:b/>
                <w:color w:val="000000"/>
              </w:rPr>
            </w:pPr>
            <w:r w:rsidRPr="00FC7B05">
              <w:rPr>
                <w:rFonts w:ascii="Calibri" w:eastAsia="Times New Roman" w:hAnsi="Calibri" w:cs="Times New Roman"/>
                <w:b/>
                <w:color w:val="000000"/>
              </w:rPr>
              <w:t>White</w:t>
            </w:r>
          </w:p>
        </w:tc>
        <w:tc>
          <w:tcPr>
            <w:tcW w:w="1429" w:type="dxa"/>
            <w:vAlign w:val="bottom"/>
          </w:tcPr>
          <w:p w14:paraId="6F45525E" w14:textId="77777777" w:rsidR="00E62140" w:rsidRPr="00FC7B05" w:rsidRDefault="00E62140" w:rsidP="00BD6AD3">
            <w:pPr>
              <w:jc w:val="center"/>
              <w:rPr>
                <w:rFonts w:ascii="Calibri" w:eastAsia="Times New Roman" w:hAnsi="Calibri" w:cs="Times New Roman"/>
                <w:b/>
                <w:color w:val="000000"/>
              </w:rPr>
            </w:pPr>
            <w:r w:rsidRPr="00FC7B05">
              <w:rPr>
                <w:rFonts w:ascii="Calibri" w:eastAsia="Times New Roman" w:hAnsi="Calibri" w:cs="Times New Roman"/>
                <w:b/>
                <w:color w:val="000000"/>
              </w:rPr>
              <w:t>Black</w:t>
            </w:r>
          </w:p>
        </w:tc>
        <w:tc>
          <w:tcPr>
            <w:tcW w:w="1428" w:type="dxa"/>
            <w:vAlign w:val="bottom"/>
          </w:tcPr>
          <w:p w14:paraId="5175D479" w14:textId="77777777" w:rsidR="00E62140" w:rsidRPr="00FC7B05" w:rsidRDefault="00E62140" w:rsidP="00BD6AD3">
            <w:pPr>
              <w:jc w:val="center"/>
              <w:rPr>
                <w:rFonts w:ascii="Calibri" w:eastAsia="Times New Roman" w:hAnsi="Calibri" w:cs="Times New Roman"/>
                <w:b/>
                <w:color w:val="000000"/>
              </w:rPr>
            </w:pPr>
            <w:r w:rsidRPr="00FC7B05">
              <w:rPr>
                <w:rFonts w:ascii="Calibri" w:eastAsia="Times New Roman" w:hAnsi="Calibri" w:cs="Times New Roman"/>
                <w:b/>
                <w:color w:val="000000"/>
              </w:rPr>
              <w:t>Native American</w:t>
            </w:r>
          </w:p>
        </w:tc>
        <w:tc>
          <w:tcPr>
            <w:tcW w:w="1429" w:type="dxa"/>
            <w:vAlign w:val="bottom"/>
          </w:tcPr>
          <w:p w14:paraId="306512FB" w14:textId="77777777" w:rsidR="00E62140" w:rsidRPr="00FC7B05" w:rsidRDefault="00E62140" w:rsidP="00BD6AD3">
            <w:pPr>
              <w:jc w:val="center"/>
              <w:rPr>
                <w:rFonts w:ascii="Calibri" w:eastAsia="Times New Roman" w:hAnsi="Calibri" w:cs="Times New Roman"/>
                <w:b/>
                <w:color w:val="000000"/>
              </w:rPr>
            </w:pPr>
            <w:r w:rsidRPr="00FC7B05">
              <w:rPr>
                <w:rFonts w:ascii="Calibri" w:eastAsia="Times New Roman" w:hAnsi="Calibri" w:cs="Times New Roman"/>
                <w:b/>
                <w:color w:val="000000"/>
              </w:rPr>
              <w:t>Asian</w:t>
            </w:r>
          </w:p>
        </w:tc>
        <w:tc>
          <w:tcPr>
            <w:tcW w:w="1429" w:type="dxa"/>
            <w:vAlign w:val="bottom"/>
          </w:tcPr>
          <w:p w14:paraId="3095E5AD" w14:textId="77777777" w:rsidR="00E62140" w:rsidRPr="00FC7B05" w:rsidRDefault="00E62140" w:rsidP="00BD6AD3">
            <w:pPr>
              <w:jc w:val="center"/>
              <w:rPr>
                <w:rFonts w:ascii="Calibri" w:eastAsia="Times New Roman" w:hAnsi="Calibri" w:cs="Times New Roman"/>
                <w:b/>
                <w:color w:val="000000"/>
              </w:rPr>
            </w:pPr>
            <w:r w:rsidRPr="00FC7B05">
              <w:rPr>
                <w:rFonts w:ascii="Calibri" w:eastAsia="Times New Roman" w:hAnsi="Calibri" w:cs="Times New Roman"/>
                <w:b/>
                <w:color w:val="000000"/>
              </w:rPr>
              <w:t>Pacific Islander</w:t>
            </w:r>
          </w:p>
        </w:tc>
      </w:tr>
      <w:tr w:rsidR="00E62140" w14:paraId="5C0197F2" w14:textId="77777777" w:rsidTr="00BD6AD3">
        <w:tc>
          <w:tcPr>
            <w:tcW w:w="1875" w:type="dxa"/>
          </w:tcPr>
          <w:p w14:paraId="6171CE7E" w14:textId="77777777" w:rsidR="00E62140" w:rsidRDefault="00E62140" w:rsidP="00BD6AD3">
            <w:r>
              <w:t>BHA Residents</w:t>
            </w:r>
          </w:p>
        </w:tc>
        <w:tc>
          <w:tcPr>
            <w:tcW w:w="1428" w:type="dxa"/>
          </w:tcPr>
          <w:p w14:paraId="660B96B5" w14:textId="77777777" w:rsidR="00E62140" w:rsidRPr="00C40B30" w:rsidRDefault="00E62140" w:rsidP="00BD6AD3">
            <w:pPr>
              <w:jc w:val="right"/>
            </w:pPr>
            <w:r w:rsidRPr="00C40B30">
              <w:t>68.97%</w:t>
            </w:r>
          </w:p>
        </w:tc>
        <w:tc>
          <w:tcPr>
            <w:tcW w:w="1429" w:type="dxa"/>
            <w:vAlign w:val="bottom"/>
          </w:tcPr>
          <w:p w14:paraId="65A18860" w14:textId="77777777" w:rsidR="00E62140" w:rsidRPr="00C40B30" w:rsidRDefault="00E62140" w:rsidP="00BD6AD3">
            <w:pPr>
              <w:jc w:val="right"/>
              <w:rPr>
                <w:rFonts w:ascii="Calibri" w:hAnsi="Calibri"/>
                <w:bCs/>
                <w:color w:val="000000"/>
              </w:rPr>
            </w:pPr>
            <w:r w:rsidRPr="00C40B30">
              <w:rPr>
                <w:rFonts w:ascii="Calibri" w:hAnsi="Calibri"/>
                <w:bCs/>
                <w:color w:val="000000"/>
              </w:rPr>
              <w:t>15.18%</w:t>
            </w:r>
          </w:p>
        </w:tc>
        <w:tc>
          <w:tcPr>
            <w:tcW w:w="1428" w:type="dxa"/>
            <w:vAlign w:val="bottom"/>
          </w:tcPr>
          <w:p w14:paraId="00F9B6ED" w14:textId="77777777" w:rsidR="00E62140" w:rsidRPr="00C40B30" w:rsidRDefault="00E62140" w:rsidP="00BD6AD3">
            <w:pPr>
              <w:jc w:val="right"/>
              <w:rPr>
                <w:rFonts w:ascii="Calibri" w:hAnsi="Calibri"/>
                <w:bCs/>
                <w:color w:val="000000"/>
              </w:rPr>
            </w:pPr>
            <w:r w:rsidRPr="00C40B30">
              <w:rPr>
                <w:rFonts w:ascii="Calibri" w:hAnsi="Calibri"/>
                <w:bCs/>
                <w:color w:val="000000"/>
              </w:rPr>
              <w:t>1.69%</w:t>
            </w:r>
          </w:p>
        </w:tc>
        <w:tc>
          <w:tcPr>
            <w:tcW w:w="1429" w:type="dxa"/>
            <w:vAlign w:val="bottom"/>
          </w:tcPr>
          <w:p w14:paraId="06EB52BB" w14:textId="77777777" w:rsidR="00E62140" w:rsidRPr="00C40B30" w:rsidRDefault="00E62140" w:rsidP="00BD6AD3">
            <w:pPr>
              <w:jc w:val="right"/>
              <w:rPr>
                <w:rFonts w:ascii="Calibri" w:hAnsi="Calibri"/>
                <w:bCs/>
                <w:color w:val="000000"/>
              </w:rPr>
            </w:pPr>
            <w:r w:rsidRPr="00C40B30">
              <w:rPr>
                <w:rFonts w:ascii="Calibri" w:hAnsi="Calibri"/>
                <w:bCs/>
                <w:color w:val="000000"/>
              </w:rPr>
              <w:t>12.31%</w:t>
            </w:r>
          </w:p>
        </w:tc>
        <w:tc>
          <w:tcPr>
            <w:tcW w:w="1429" w:type="dxa"/>
            <w:vAlign w:val="bottom"/>
          </w:tcPr>
          <w:p w14:paraId="0CD17EFE" w14:textId="77777777" w:rsidR="00E62140" w:rsidRPr="00C40B30" w:rsidRDefault="00E62140" w:rsidP="00BD6AD3">
            <w:pPr>
              <w:jc w:val="right"/>
              <w:rPr>
                <w:rFonts w:ascii="Calibri" w:hAnsi="Calibri"/>
                <w:bCs/>
                <w:color w:val="000000"/>
              </w:rPr>
            </w:pPr>
            <w:r w:rsidRPr="00C40B30">
              <w:rPr>
                <w:rFonts w:ascii="Calibri" w:hAnsi="Calibri"/>
                <w:bCs/>
                <w:color w:val="000000"/>
              </w:rPr>
              <w:t>2.53%</w:t>
            </w:r>
          </w:p>
        </w:tc>
      </w:tr>
      <w:tr w:rsidR="00E62140" w14:paraId="063620CA" w14:textId="77777777" w:rsidTr="00BD6AD3">
        <w:tc>
          <w:tcPr>
            <w:tcW w:w="1875" w:type="dxa"/>
          </w:tcPr>
          <w:p w14:paraId="442F13EA" w14:textId="77777777" w:rsidR="00E62140" w:rsidRDefault="00E62140" w:rsidP="00BD6AD3">
            <w:r>
              <w:t>BHA Voucher Holders</w:t>
            </w:r>
          </w:p>
        </w:tc>
        <w:tc>
          <w:tcPr>
            <w:tcW w:w="1428" w:type="dxa"/>
            <w:vAlign w:val="bottom"/>
          </w:tcPr>
          <w:p w14:paraId="5D1BD6DE" w14:textId="77777777" w:rsidR="00E62140" w:rsidRPr="00C40B30" w:rsidRDefault="00E62140" w:rsidP="00BD6AD3">
            <w:pPr>
              <w:jc w:val="right"/>
              <w:rPr>
                <w:rFonts w:ascii="Calibri" w:eastAsia="Times New Roman" w:hAnsi="Calibri" w:cs="Times New Roman"/>
                <w:bCs/>
                <w:color w:val="000000"/>
              </w:rPr>
            </w:pPr>
            <w:r w:rsidRPr="00C40B30">
              <w:rPr>
                <w:rFonts w:ascii="Calibri" w:eastAsia="Times New Roman" w:hAnsi="Calibri" w:cs="Times New Roman"/>
                <w:bCs/>
                <w:color w:val="000000"/>
              </w:rPr>
              <w:t>85.86%</w:t>
            </w:r>
          </w:p>
        </w:tc>
        <w:tc>
          <w:tcPr>
            <w:tcW w:w="1429" w:type="dxa"/>
            <w:vAlign w:val="bottom"/>
          </w:tcPr>
          <w:p w14:paraId="100EDAD8" w14:textId="77777777" w:rsidR="00E62140" w:rsidRPr="00C40B30" w:rsidRDefault="00E62140" w:rsidP="00BD6AD3">
            <w:pPr>
              <w:jc w:val="right"/>
              <w:rPr>
                <w:rFonts w:ascii="Calibri" w:eastAsia="Times New Roman" w:hAnsi="Calibri" w:cs="Times New Roman"/>
                <w:bCs/>
                <w:color w:val="000000"/>
              </w:rPr>
            </w:pPr>
            <w:r w:rsidRPr="00C40B30">
              <w:rPr>
                <w:rFonts w:ascii="Calibri" w:eastAsia="Times New Roman" w:hAnsi="Calibri" w:cs="Times New Roman"/>
                <w:bCs/>
                <w:color w:val="000000"/>
              </w:rPr>
              <w:t>9.64%</w:t>
            </w:r>
          </w:p>
        </w:tc>
        <w:tc>
          <w:tcPr>
            <w:tcW w:w="1428" w:type="dxa"/>
            <w:vAlign w:val="bottom"/>
          </w:tcPr>
          <w:p w14:paraId="24EE3BEE" w14:textId="77777777" w:rsidR="00E62140" w:rsidRPr="00C40B30" w:rsidRDefault="00E62140" w:rsidP="00BD6AD3">
            <w:pPr>
              <w:jc w:val="right"/>
              <w:rPr>
                <w:rFonts w:ascii="Calibri" w:eastAsia="Times New Roman" w:hAnsi="Calibri" w:cs="Times New Roman"/>
                <w:bCs/>
                <w:color w:val="000000"/>
              </w:rPr>
            </w:pPr>
            <w:r w:rsidRPr="00C40B30">
              <w:rPr>
                <w:rFonts w:ascii="Calibri" w:eastAsia="Times New Roman" w:hAnsi="Calibri" w:cs="Times New Roman"/>
                <w:bCs/>
                <w:color w:val="000000"/>
              </w:rPr>
              <w:t>2.25%</w:t>
            </w:r>
          </w:p>
        </w:tc>
        <w:tc>
          <w:tcPr>
            <w:tcW w:w="1429" w:type="dxa"/>
            <w:vAlign w:val="bottom"/>
          </w:tcPr>
          <w:p w14:paraId="627DDA6C" w14:textId="77777777" w:rsidR="00E62140" w:rsidRPr="00C40B30" w:rsidRDefault="00E62140" w:rsidP="00BD6AD3">
            <w:pPr>
              <w:jc w:val="right"/>
              <w:rPr>
                <w:rFonts w:ascii="Calibri" w:eastAsia="Times New Roman" w:hAnsi="Calibri" w:cs="Times New Roman"/>
                <w:bCs/>
                <w:color w:val="000000"/>
              </w:rPr>
            </w:pPr>
            <w:r w:rsidRPr="00C40B30">
              <w:rPr>
                <w:rFonts w:ascii="Calibri" w:eastAsia="Times New Roman" w:hAnsi="Calibri" w:cs="Times New Roman"/>
                <w:bCs/>
                <w:color w:val="000000"/>
              </w:rPr>
              <w:t>3.80%</w:t>
            </w:r>
          </w:p>
        </w:tc>
        <w:tc>
          <w:tcPr>
            <w:tcW w:w="1429" w:type="dxa"/>
          </w:tcPr>
          <w:p w14:paraId="11314D95" w14:textId="77777777" w:rsidR="00E62140" w:rsidRDefault="00E62140" w:rsidP="00BD6AD3">
            <w:pPr>
              <w:jc w:val="right"/>
              <w:rPr>
                <w:rFonts w:ascii="Calibri" w:hAnsi="Calibri"/>
                <w:bCs/>
                <w:color w:val="000000"/>
              </w:rPr>
            </w:pPr>
          </w:p>
          <w:p w14:paraId="2B7A19A2" w14:textId="77777777" w:rsidR="00E62140" w:rsidRPr="00C40B30" w:rsidRDefault="00E62140" w:rsidP="00BD6AD3">
            <w:pPr>
              <w:jc w:val="right"/>
              <w:rPr>
                <w:rFonts w:ascii="Calibri" w:hAnsi="Calibri"/>
                <w:bCs/>
                <w:color w:val="000000"/>
              </w:rPr>
            </w:pPr>
            <w:r w:rsidRPr="00C40B30">
              <w:rPr>
                <w:rFonts w:ascii="Calibri" w:hAnsi="Calibri"/>
                <w:bCs/>
                <w:color w:val="000000"/>
              </w:rPr>
              <w:t>0.64%</w:t>
            </w:r>
          </w:p>
        </w:tc>
      </w:tr>
    </w:tbl>
    <w:p w14:paraId="47B73A0E" w14:textId="77777777" w:rsidR="007552C3" w:rsidRDefault="007552C3" w:rsidP="00110795">
      <w:pPr>
        <w:rPr>
          <w:b/>
        </w:rPr>
      </w:pPr>
    </w:p>
    <w:p w14:paraId="0EC4DB87" w14:textId="31ADE6B1" w:rsidR="00110795" w:rsidRDefault="00110795" w:rsidP="00110795">
      <w:r>
        <w:rPr>
          <w:rFonts w:eastAsia="Calibri"/>
          <w:bCs/>
        </w:rPr>
        <w:t>Housing units with more than 3 bedrooms are limited in the City, and often large houses are rented to groups of college students who can pay significantly higher rent than large families.</w:t>
      </w:r>
    </w:p>
    <w:p w14:paraId="3126889C" w14:textId="12B0835D" w:rsidR="00110795" w:rsidRDefault="00110795" w:rsidP="00110795">
      <w:r>
        <w:t xml:space="preserve">The two Burlington Housing Authority developments with units containing numerous bedrooms (4-5) are in located in Burlington’s New North End (Franklin Square) and Burlington’s Old North End (Riverside). Franklin Square has five 4-bedroom units and two 5-bedroom units; Riverside Apartments has five 4-bedroom units and one 5-bedroom unit. These thirteen units are primarily occupied by large minority refugee families. Because other developments do not have four and five bedrooms, these families are housed in these two developments with the unintended consequence of clustering of families. It should be noted, however, that both of these development are served by public transportation, have a number of amenities nearby, and have excellent schools. </w:t>
      </w:r>
    </w:p>
    <w:p w14:paraId="03F9BA75" w14:textId="347791D1" w:rsidR="007930F3" w:rsidRDefault="007930F3" w:rsidP="00110795">
      <w:r>
        <w:t>Of the 592 units available at BHA, 32 or 5.4% are accessible. This is significantly less than 50% of the population of those with disabilities.</w:t>
      </w:r>
    </w:p>
    <w:p w14:paraId="515FE436" w14:textId="6C271A35" w:rsidR="00110795" w:rsidRDefault="00110795" w:rsidP="00110795">
      <w:r>
        <w:t>Residents of Burlington Housing Authority (BHA) properties are more likely to speak a non-English and non-Spanish language (23.7%) as compared to voucher holders (3.37%). English is overwhelmingly spoken by voucher holders (96.52%).</w:t>
      </w:r>
    </w:p>
    <w:p w14:paraId="2BD3FBB4" w14:textId="54FA7FA4" w:rsidR="002C7408" w:rsidRPr="00C12F54" w:rsidRDefault="00C12F54" w:rsidP="00C12F54">
      <w:r>
        <w:t xml:space="preserve">Within our community survey, 57 respondents </w:t>
      </w:r>
      <w:r w:rsidR="00BB2CC7" w:rsidRPr="00C12F54">
        <w:t>57 Respondents indicated that they had used a Section 8 housing voucher in the last five years.</w:t>
      </w:r>
      <w:r>
        <w:t xml:space="preserve"> Of that group, </w:t>
      </w:r>
      <w:r w:rsidR="00BB2CC7" w:rsidRPr="00C12F54">
        <w:t>89% said their neighborhood cleanline</w:t>
      </w:r>
      <w:r>
        <w:t xml:space="preserve">ss was fair, good, or excellent. </w:t>
      </w:r>
      <w:r w:rsidR="00BB2CC7" w:rsidRPr="00C12F54">
        <w:t>68% said the condition or streets/sidewalks was fair, good, or excellent.</w:t>
      </w:r>
      <w:r>
        <w:t xml:space="preserve"> </w:t>
      </w:r>
      <w:r w:rsidR="00BB2CC7" w:rsidRPr="00C12F54">
        <w:t>95% said access to public transit was fair, good, or excellent.</w:t>
      </w:r>
      <w:r>
        <w:t xml:space="preserve"> </w:t>
      </w:r>
      <w:r w:rsidR="00BB2CC7" w:rsidRPr="00C12F54">
        <w:t>37% said availability of housing was poor.</w:t>
      </w:r>
      <w:r>
        <w:t xml:space="preserve"> </w:t>
      </w:r>
      <w:r w:rsidR="00BB2CC7" w:rsidRPr="00C12F54">
        <w:t xml:space="preserve">26% said </w:t>
      </w:r>
      <w:r w:rsidR="00BB2CC7" w:rsidRPr="00C12F54">
        <w:lastRenderedPageBreak/>
        <w:t>job availability in their neighborhood was poor.</w:t>
      </w:r>
      <w:r>
        <w:t xml:space="preserve"> </w:t>
      </w:r>
      <w:r w:rsidR="00BB2CC7" w:rsidRPr="00C12F54">
        <w:t>70% said neighborhood safety was fair, good, or excellent.</w:t>
      </w:r>
      <w:r>
        <w:t xml:space="preserve"> </w:t>
      </w:r>
      <w:r w:rsidR="00BB2CC7" w:rsidRPr="00C12F54">
        <w:t>91% said it was easy to access parks, playgrounds, or other green spaces.</w:t>
      </w:r>
      <w:r>
        <w:t xml:space="preserve"> </w:t>
      </w:r>
      <w:r w:rsidR="00BB2CC7" w:rsidRPr="00C12F54">
        <w:t>65% said they were somewhat or very satisfied with their current housing.</w:t>
      </w:r>
      <w:r>
        <w:t xml:space="preserve"> Of the </w:t>
      </w:r>
      <w:r w:rsidR="00597CDE">
        <w:t xml:space="preserve">2% who claimed they had difficult </w:t>
      </w:r>
      <w:proofErr w:type="spellStart"/>
      <w:r w:rsidR="00597CDE">
        <w:t>unsing</w:t>
      </w:r>
      <w:proofErr w:type="spellEnd"/>
      <w:r w:rsidR="00597CDE">
        <w:t xml:space="preserve"> a housing choice voucher the most cited reason was not being able to find a one bedroom within the price range. Other reasons included finding a quality 3 bedroom unit difficult, landlords not wanting to rent to Section 8, past offenses and lack of references and quality apartments.</w:t>
      </w:r>
    </w:p>
    <w:p w14:paraId="57A7169E" w14:textId="401B98A5" w:rsidR="00C12F54" w:rsidRPr="00110795" w:rsidRDefault="00C12F54" w:rsidP="00110795"/>
    <w:p w14:paraId="63DBD4DC" w14:textId="77777777" w:rsidR="009D1EC1" w:rsidRPr="0054009F" w:rsidRDefault="009D1EC1" w:rsidP="0054009F">
      <w:pPr>
        <w:spacing w:after="240" w:line="240" w:lineRule="auto"/>
        <w:rPr>
          <w:b/>
          <w:bCs/>
          <w:color w:val="FF0000"/>
        </w:rPr>
      </w:pPr>
    </w:p>
    <w:p w14:paraId="12486D7D" w14:textId="7F2710D1" w:rsidR="009D1EC1" w:rsidRPr="00DF409D" w:rsidRDefault="005E6ED5" w:rsidP="00BD4866">
      <w:pPr>
        <w:spacing w:after="240" w:line="240" w:lineRule="auto"/>
        <w:ind w:left="360"/>
        <w:rPr>
          <w:b/>
          <w:bCs/>
          <w:i/>
        </w:rPr>
      </w:pPr>
      <w:r w:rsidRPr="00DF409D">
        <w:rPr>
          <w:b/>
          <w:bCs/>
          <w:i/>
          <w:iCs/>
        </w:rPr>
        <w:t>C</w:t>
      </w:r>
      <w:r w:rsidR="5F884969" w:rsidRPr="00DF409D">
        <w:rPr>
          <w:b/>
          <w:bCs/>
          <w:i/>
        </w:rPr>
        <w:t>ompare the demographics of occupants of developments in the jurisdiction, for each category of publicly supported housing (public housing, project-based Section 8, Other Multifamily Assisted developments, properties converted under RAD, and LIHTC) to the demographic composition of the areas in which they are located.  For the jurisdiction, describe whether developments that are primarily occupied by one race/ethnicity are located in areas occupied largely by the same race/ethnicity. Describe any differences for housing that primarily serves families with children, elderly persons, or persons with disabilities.</w:t>
      </w:r>
    </w:p>
    <w:p w14:paraId="696BE348" w14:textId="432852AE" w:rsidR="0054009F" w:rsidRPr="00A12348" w:rsidRDefault="0054009F" w:rsidP="00A12348">
      <w:pPr>
        <w:ind w:left="360"/>
      </w:pPr>
      <w:r>
        <w:t>The percentages of non-White persons living in BHA owned and managed buildings (over 30%) as well as voucher holders (almost 15%) are much greater the population in Burlington</w:t>
      </w:r>
      <w:r w:rsidR="00A12348">
        <w:t>.</w:t>
      </w:r>
    </w:p>
    <w:p w14:paraId="6AFB29D4" w14:textId="77777777" w:rsidR="0054009F" w:rsidRDefault="0054009F" w:rsidP="0054009F">
      <w:pPr>
        <w:ind w:left="360"/>
        <w:rPr>
          <w:b/>
        </w:rPr>
      </w:pPr>
      <w:r>
        <w:rPr>
          <w:b/>
        </w:rPr>
        <w:t>BHA Residents and Voucher Holders: Race by Percent</w:t>
      </w:r>
    </w:p>
    <w:tbl>
      <w:tblPr>
        <w:tblStyle w:val="TableGrid"/>
        <w:tblW w:w="0" w:type="auto"/>
        <w:tblLook w:val="04A0" w:firstRow="1" w:lastRow="0" w:firstColumn="1" w:lastColumn="0" w:noHBand="0" w:noVBand="1"/>
      </w:tblPr>
      <w:tblGrid>
        <w:gridCol w:w="1875"/>
        <w:gridCol w:w="1428"/>
        <w:gridCol w:w="1429"/>
        <w:gridCol w:w="1450"/>
        <w:gridCol w:w="1429"/>
        <w:gridCol w:w="1429"/>
      </w:tblGrid>
      <w:tr w:rsidR="0054009F" w14:paraId="027DD41A" w14:textId="77777777" w:rsidTr="003E6114">
        <w:tc>
          <w:tcPr>
            <w:tcW w:w="1875" w:type="dxa"/>
          </w:tcPr>
          <w:p w14:paraId="4080A0B4" w14:textId="77777777" w:rsidR="0054009F" w:rsidRDefault="0054009F" w:rsidP="003E6114">
            <w:pPr>
              <w:ind w:left="360"/>
            </w:pPr>
          </w:p>
        </w:tc>
        <w:tc>
          <w:tcPr>
            <w:tcW w:w="1428" w:type="dxa"/>
            <w:vAlign w:val="bottom"/>
          </w:tcPr>
          <w:p w14:paraId="21A1E871" w14:textId="77777777" w:rsidR="0054009F" w:rsidRPr="00FC7B05" w:rsidRDefault="0054009F" w:rsidP="003E6114">
            <w:pPr>
              <w:ind w:left="360"/>
              <w:jc w:val="center"/>
              <w:rPr>
                <w:rFonts w:ascii="Calibri" w:eastAsia="Times New Roman" w:hAnsi="Calibri" w:cs="Times New Roman"/>
                <w:b/>
                <w:color w:val="000000"/>
              </w:rPr>
            </w:pPr>
            <w:r w:rsidRPr="00FC7B05">
              <w:rPr>
                <w:rFonts w:ascii="Calibri" w:eastAsia="Times New Roman" w:hAnsi="Calibri" w:cs="Times New Roman"/>
                <w:b/>
                <w:color w:val="000000"/>
              </w:rPr>
              <w:t>White</w:t>
            </w:r>
          </w:p>
        </w:tc>
        <w:tc>
          <w:tcPr>
            <w:tcW w:w="1429" w:type="dxa"/>
            <w:vAlign w:val="bottom"/>
          </w:tcPr>
          <w:p w14:paraId="5B5F02BA" w14:textId="77777777" w:rsidR="0054009F" w:rsidRPr="00FC7B05" w:rsidRDefault="0054009F" w:rsidP="003E6114">
            <w:pPr>
              <w:ind w:left="360"/>
              <w:jc w:val="center"/>
              <w:rPr>
                <w:rFonts w:ascii="Calibri" w:eastAsia="Times New Roman" w:hAnsi="Calibri" w:cs="Times New Roman"/>
                <w:b/>
                <w:color w:val="000000"/>
              </w:rPr>
            </w:pPr>
            <w:r w:rsidRPr="00FC7B05">
              <w:rPr>
                <w:rFonts w:ascii="Calibri" w:eastAsia="Times New Roman" w:hAnsi="Calibri" w:cs="Times New Roman"/>
                <w:b/>
                <w:color w:val="000000"/>
              </w:rPr>
              <w:t>Black</w:t>
            </w:r>
          </w:p>
        </w:tc>
        <w:tc>
          <w:tcPr>
            <w:tcW w:w="1428" w:type="dxa"/>
            <w:vAlign w:val="bottom"/>
          </w:tcPr>
          <w:p w14:paraId="66F884F1" w14:textId="77777777" w:rsidR="0054009F" w:rsidRPr="00FC7B05" w:rsidRDefault="0054009F" w:rsidP="003E6114">
            <w:pPr>
              <w:ind w:left="360"/>
              <w:jc w:val="center"/>
              <w:rPr>
                <w:rFonts w:ascii="Calibri" w:eastAsia="Times New Roman" w:hAnsi="Calibri" w:cs="Times New Roman"/>
                <w:b/>
                <w:color w:val="000000"/>
              </w:rPr>
            </w:pPr>
            <w:r w:rsidRPr="00FC7B05">
              <w:rPr>
                <w:rFonts w:ascii="Calibri" w:eastAsia="Times New Roman" w:hAnsi="Calibri" w:cs="Times New Roman"/>
                <w:b/>
                <w:color w:val="000000"/>
              </w:rPr>
              <w:t>Native American</w:t>
            </w:r>
          </w:p>
        </w:tc>
        <w:tc>
          <w:tcPr>
            <w:tcW w:w="1429" w:type="dxa"/>
            <w:vAlign w:val="bottom"/>
          </w:tcPr>
          <w:p w14:paraId="6710F68D" w14:textId="77777777" w:rsidR="0054009F" w:rsidRPr="00FC7B05" w:rsidRDefault="0054009F" w:rsidP="003E6114">
            <w:pPr>
              <w:ind w:left="360"/>
              <w:jc w:val="center"/>
              <w:rPr>
                <w:rFonts w:ascii="Calibri" w:eastAsia="Times New Roman" w:hAnsi="Calibri" w:cs="Times New Roman"/>
                <w:b/>
                <w:color w:val="000000"/>
              </w:rPr>
            </w:pPr>
            <w:r w:rsidRPr="00FC7B05">
              <w:rPr>
                <w:rFonts w:ascii="Calibri" w:eastAsia="Times New Roman" w:hAnsi="Calibri" w:cs="Times New Roman"/>
                <w:b/>
                <w:color w:val="000000"/>
              </w:rPr>
              <w:t>Asian</w:t>
            </w:r>
          </w:p>
        </w:tc>
        <w:tc>
          <w:tcPr>
            <w:tcW w:w="1429" w:type="dxa"/>
            <w:vAlign w:val="bottom"/>
          </w:tcPr>
          <w:p w14:paraId="10CF79BC" w14:textId="77777777" w:rsidR="0054009F" w:rsidRPr="00FC7B05" w:rsidRDefault="0054009F" w:rsidP="003E6114">
            <w:pPr>
              <w:ind w:left="360"/>
              <w:jc w:val="center"/>
              <w:rPr>
                <w:rFonts w:ascii="Calibri" w:eastAsia="Times New Roman" w:hAnsi="Calibri" w:cs="Times New Roman"/>
                <w:b/>
                <w:color w:val="000000"/>
              </w:rPr>
            </w:pPr>
            <w:r w:rsidRPr="00FC7B05">
              <w:rPr>
                <w:rFonts w:ascii="Calibri" w:eastAsia="Times New Roman" w:hAnsi="Calibri" w:cs="Times New Roman"/>
                <w:b/>
                <w:color w:val="000000"/>
              </w:rPr>
              <w:t>Pacific Islander</w:t>
            </w:r>
          </w:p>
        </w:tc>
      </w:tr>
      <w:tr w:rsidR="0054009F" w14:paraId="51D98E07" w14:textId="77777777" w:rsidTr="003E6114">
        <w:tc>
          <w:tcPr>
            <w:tcW w:w="1875" w:type="dxa"/>
          </w:tcPr>
          <w:p w14:paraId="303EA2C4" w14:textId="77777777" w:rsidR="0054009F" w:rsidRDefault="0054009F" w:rsidP="003E6114">
            <w:pPr>
              <w:ind w:left="360"/>
            </w:pPr>
            <w:r>
              <w:t>BHA Residents</w:t>
            </w:r>
          </w:p>
        </w:tc>
        <w:tc>
          <w:tcPr>
            <w:tcW w:w="1428" w:type="dxa"/>
          </w:tcPr>
          <w:p w14:paraId="6DF71152" w14:textId="77777777" w:rsidR="0054009F" w:rsidRPr="00C40B30" w:rsidRDefault="0054009F" w:rsidP="003E6114">
            <w:pPr>
              <w:ind w:left="360"/>
              <w:jc w:val="right"/>
            </w:pPr>
            <w:r w:rsidRPr="00C40B30">
              <w:t>68.97%</w:t>
            </w:r>
          </w:p>
        </w:tc>
        <w:tc>
          <w:tcPr>
            <w:tcW w:w="1429" w:type="dxa"/>
            <w:vAlign w:val="bottom"/>
          </w:tcPr>
          <w:p w14:paraId="3A6058A5" w14:textId="77777777" w:rsidR="0054009F" w:rsidRPr="00C40B30" w:rsidRDefault="0054009F" w:rsidP="003E6114">
            <w:pPr>
              <w:ind w:left="360"/>
              <w:jc w:val="right"/>
              <w:rPr>
                <w:rFonts w:ascii="Calibri" w:hAnsi="Calibri"/>
                <w:bCs/>
                <w:color w:val="000000"/>
              </w:rPr>
            </w:pPr>
            <w:r w:rsidRPr="00C40B30">
              <w:rPr>
                <w:rFonts w:ascii="Calibri" w:hAnsi="Calibri"/>
                <w:bCs/>
                <w:color w:val="000000"/>
              </w:rPr>
              <w:t>15.18%</w:t>
            </w:r>
          </w:p>
        </w:tc>
        <w:tc>
          <w:tcPr>
            <w:tcW w:w="1428" w:type="dxa"/>
            <w:vAlign w:val="bottom"/>
          </w:tcPr>
          <w:p w14:paraId="1D359479" w14:textId="77777777" w:rsidR="0054009F" w:rsidRPr="00C40B30" w:rsidRDefault="0054009F" w:rsidP="003E6114">
            <w:pPr>
              <w:ind w:left="360"/>
              <w:jc w:val="right"/>
              <w:rPr>
                <w:rFonts w:ascii="Calibri" w:hAnsi="Calibri"/>
                <w:bCs/>
                <w:color w:val="000000"/>
              </w:rPr>
            </w:pPr>
            <w:r w:rsidRPr="00C40B30">
              <w:rPr>
                <w:rFonts w:ascii="Calibri" w:hAnsi="Calibri"/>
                <w:bCs/>
                <w:color w:val="000000"/>
              </w:rPr>
              <w:t>1.69%</w:t>
            </w:r>
          </w:p>
        </w:tc>
        <w:tc>
          <w:tcPr>
            <w:tcW w:w="1429" w:type="dxa"/>
            <w:vAlign w:val="bottom"/>
          </w:tcPr>
          <w:p w14:paraId="2B8DBA54" w14:textId="77777777" w:rsidR="0054009F" w:rsidRPr="00C40B30" w:rsidRDefault="0054009F" w:rsidP="003E6114">
            <w:pPr>
              <w:ind w:left="360"/>
              <w:jc w:val="right"/>
              <w:rPr>
                <w:rFonts w:ascii="Calibri" w:hAnsi="Calibri"/>
                <w:bCs/>
                <w:color w:val="000000"/>
              </w:rPr>
            </w:pPr>
            <w:r w:rsidRPr="00C40B30">
              <w:rPr>
                <w:rFonts w:ascii="Calibri" w:hAnsi="Calibri"/>
                <w:bCs/>
                <w:color w:val="000000"/>
              </w:rPr>
              <w:t>12.31%</w:t>
            </w:r>
          </w:p>
        </w:tc>
        <w:tc>
          <w:tcPr>
            <w:tcW w:w="1429" w:type="dxa"/>
            <w:vAlign w:val="bottom"/>
          </w:tcPr>
          <w:p w14:paraId="7731F038" w14:textId="77777777" w:rsidR="0054009F" w:rsidRPr="00C40B30" w:rsidRDefault="0054009F" w:rsidP="003E6114">
            <w:pPr>
              <w:ind w:left="360"/>
              <w:jc w:val="right"/>
              <w:rPr>
                <w:rFonts w:ascii="Calibri" w:hAnsi="Calibri"/>
                <w:bCs/>
                <w:color w:val="000000"/>
              </w:rPr>
            </w:pPr>
            <w:r w:rsidRPr="00C40B30">
              <w:rPr>
                <w:rFonts w:ascii="Calibri" w:hAnsi="Calibri"/>
                <w:bCs/>
                <w:color w:val="000000"/>
              </w:rPr>
              <w:t>2.53%</w:t>
            </w:r>
          </w:p>
        </w:tc>
      </w:tr>
      <w:tr w:rsidR="0054009F" w14:paraId="4E51380F" w14:textId="77777777" w:rsidTr="003E6114">
        <w:tc>
          <w:tcPr>
            <w:tcW w:w="1875" w:type="dxa"/>
          </w:tcPr>
          <w:p w14:paraId="222A7BC9" w14:textId="77777777" w:rsidR="0054009F" w:rsidRDefault="0054009F" w:rsidP="003E6114">
            <w:pPr>
              <w:ind w:left="360"/>
            </w:pPr>
            <w:r>
              <w:t>BHA Voucher Holders</w:t>
            </w:r>
          </w:p>
        </w:tc>
        <w:tc>
          <w:tcPr>
            <w:tcW w:w="1428" w:type="dxa"/>
            <w:vAlign w:val="bottom"/>
          </w:tcPr>
          <w:p w14:paraId="52DB8E4F" w14:textId="77777777" w:rsidR="0054009F" w:rsidRPr="00C40B30" w:rsidRDefault="0054009F" w:rsidP="003E6114">
            <w:pPr>
              <w:ind w:left="360"/>
              <w:jc w:val="right"/>
              <w:rPr>
                <w:rFonts w:ascii="Calibri" w:eastAsia="Times New Roman" w:hAnsi="Calibri" w:cs="Times New Roman"/>
                <w:bCs/>
                <w:color w:val="000000"/>
              </w:rPr>
            </w:pPr>
            <w:r w:rsidRPr="00C40B30">
              <w:rPr>
                <w:rFonts w:ascii="Calibri" w:eastAsia="Times New Roman" w:hAnsi="Calibri" w:cs="Times New Roman"/>
                <w:bCs/>
                <w:color w:val="000000"/>
              </w:rPr>
              <w:t>85.86%</w:t>
            </w:r>
          </w:p>
        </w:tc>
        <w:tc>
          <w:tcPr>
            <w:tcW w:w="1429" w:type="dxa"/>
            <w:vAlign w:val="bottom"/>
          </w:tcPr>
          <w:p w14:paraId="4BEF40B2" w14:textId="77777777" w:rsidR="0054009F" w:rsidRPr="00C40B30" w:rsidRDefault="0054009F" w:rsidP="003E6114">
            <w:pPr>
              <w:ind w:left="360"/>
              <w:jc w:val="right"/>
              <w:rPr>
                <w:rFonts w:ascii="Calibri" w:eastAsia="Times New Roman" w:hAnsi="Calibri" w:cs="Times New Roman"/>
                <w:bCs/>
                <w:color w:val="000000"/>
              </w:rPr>
            </w:pPr>
            <w:r w:rsidRPr="00C40B30">
              <w:rPr>
                <w:rFonts w:ascii="Calibri" w:eastAsia="Times New Roman" w:hAnsi="Calibri" w:cs="Times New Roman"/>
                <w:bCs/>
                <w:color w:val="000000"/>
              </w:rPr>
              <w:t>9.64%</w:t>
            </w:r>
          </w:p>
        </w:tc>
        <w:tc>
          <w:tcPr>
            <w:tcW w:w="1428" w:type="dxa"/>
            <w:vAlign w:val="bottom"/>
          </w:tcPr>
          <w:p w14:paraId="3491B7E5" w14:textId="77777777" w:rsidR="0054009F" w:rsidRPr="00C40B30" w:rsidRDefault="0054009F" w:rsidP="003E6114">
            <w:pPr>
              <w:ind w:left="360"/>
              <w:jc w:val="right"/>
              <w:rPr>
                <w:rFonts w:ascii="Calibri" w:eastAsia="Times New Roman" w:hAnsi="Calibri" w:cs="Times New Roman"/>
                <w:bCs/>
                <w:color w:val="000000"/>
              </w:rPr>
            </w:pPr>
            <w:r w:rsidRPr="00C40B30">
              <w:rPr>
                <w:rFonts w:ascii="Calibri" w:eastAsia="Times New Roman" w:hAnsi="Calibri" w:cs="Times New Roman"/>
                <w:bCs/>
                <w:color w:val="000000"/>
              </w:rPr>
              <w:t>2.25%</w:t>
            </w:r>
          </w:p>
        </w:tc>
        <w:tc>
          <w:tcPr>
            <w:tcW w:w="1429" w:type="dxa"/>
            <w:vAlign w:val="bottom"/>
          </w:tcPr>
          <w:p w14:paraId="55488DC1" w14:textId="77777777" w:rsidR="0054009F" w:rsidRPr="00C40B30" w:rsidRDefault="0054009F" w:rsidP="003E6114">
            <w:pPr>
              <w:ind w:left="360"/>
              <w:jc w:val="right"/>
              <w:rPr>
                <w:rFonts w:ascii="Calibri" w:eastAsia="Times New Roman" w:hAnsi="Calibri" w:cs="Times New Roman"/>
                <w:bCs/>
                <w:color w:val="000000"/>
              </w:rPr>
            </w:pPr>
            <w:r w:rsidRPr="00C40B30">
              <w:rPr>
                <w:rFonts w:ascii="Calibri" w:eastAsia="Times New Roman" w:hAnsi="Calibri" w:cs="Times New Roman"/>
                <w:bCs/>
                <w:color w:val="000000"/>
              </w:rPr>
              <w:t>3.80%</w:t>
            </w:r>
          </w:p>
        </w:tc>
        <w:tc>
          <w:tcPr>
            <w:tcW w:w="1429" w:type="dxa"/>
          </w:tcPr>
          <w:p w14:paraId="5B72FC7A" w14:textId="77777777" w:rsidR="0054009F" w:rsidRDefault="0054009F" w:rsidP="003E6114">
            <w:pPr>
              <w:ind w:left="360"/>
              <w:jc w:val="right"/>
              <w:rPr>
                <w:rFonts w:ascii="Calibri" w:hAnsi="Calibri"/>
                <w:bCs/>
                <w:color w:val="000000"/>
              </w:rPr>
            </w:pPr>
          </w:p>
          <w:p w14:paraId="654CCC94" w14:textId="77777777" w:rsidR="0054009F" w:rsidRPr="00C40B30" w:rsidRDefault="0054009F" w:rsidP="003E6114">
            <w:pPr>
              <w:ind w:left="360"/>
              <w:jc w:val="right"/>
              <w:rPr>
                <w:rFonts w:ascii="Calibri" w:hAnsi="Calibri"/>
                <w:bCs/>
                <w:color w:val="000000"/>
              </w:rPr>
            </w:pPr>
            <w:r w:rsidRPr="00C40B30">
              <w:rPr>
                <w:rFonts w:ascii="Calibri" w:hAnsi="Calibri"/>
                <w:bCs/>
                <w:color w:val="000000"/>
              </w:rPr>
              <w:t>0.64%</w:t>
            </w:r>
          </w:p>
        </w:tc>
      </w:tr>
    </w:tbl>
    <w:p w14:paraId="764FEDC6" w14:textId="77777777" w:rsidR="00AA3475" w:rsidRDefault="00AA3475" w:rsidP="00AA3475">
      <w:pPr>
        <w:spacing w:after="240" w:line="240" w:lineRule="auto"/>
      </w:pPr>
    </w:p>
    <w:p w14:paraId="15D3E2BC" w14:textId="10F44BC6" w:rsidR="00D74CF8" w:rsidRPr="00AA3475" w:rsidRDefault="00A12348" w:rsidP="00AA3475">
      <w:pPr>
        <w:spacing w:after="240" w:line="240" w:lineRule="auto"/>
        <w:rPr>
          <w:b/>
          <w:bCs/>
          <w:color w:val="FF0000"/>
        </w:rPr>
      </w:pPr>
      <w:r>
        <w:t>BHA residents and voucher holders are more likely to be female; this is especially true for voucher holders (68% female versus 43% male). For BHA residents, 55% are female and 45% are male. Compare this to the Burlington demographics at 51% female and 49% male demonstrating that female heads of households have a higher rate of poverty than male heads of households.</w:t>
      </w:r>
    </w:p>
    <w:p w14:paraId="2349D1CA" w14:textId="77777777" w:rsidR="00AA3475" w:rsidRDefault="00AA3475" w:rsidP="00AA3475">
      <w:pPr>
        <w:ind w:left="360"/>
        <w:rPr>
          <w:b/>
        </w:rPr>
      </w:pPr>
      <w:r>
        <w:rPr>
          <w:b/>
        </w:rPr>
        <w:t>BHA Residents and Voucher Holders: Gender by Percent</w:t>
      </w:r>
    </w:p>
    <w:tbl>
      <w:tblPr>
        <w:tblStyle w:val="TableGrid"/>
        <w:tblW w:w="0" w:type="auto"/>
        <w:tblLook w:val="04A0" w:firstRow="1" w:lastRow="0" w:firstColumn="1" w:lastColumn="0" w:noHBand="0" w:noVBand="1"/>
      </w:tblPr>
      <w:tblGrid>
        <w:gridCol w:w="2358"/>
        <w:gridCol w:w="1620"/>
        <w:gridCol w:w="1620"/>
      </w:tblGrid>
      <w:tr w:rsidR="00AA3475" w14:paraId="3C9173B3" w14:textId="77777777" w:rsidTr="003E6114">
        <w:tc>
          <w:tcPr>
            <w:tcW w:w="2358" w:type="dxa"/>
          </w:tcPr>
          <w:p w14:paraId="6201FB96" w14:textId="77777777" w:rsidR="00AA3475" w:rsidRDefault="00AA3475" w:rsidP="003E6114">
            <w:pPr>
              <w:ind w:left="360"/>
              <w:rPr>
                <w:b/>
              </w:rPr>
            </w:pPr>
          </w:p>
        </w:tc>
        <w:tc>
          <w:tcPr>
            <w:tcW w:w="1620" w:type="dxa"/>
          </w:tcPr>
          <w:p w14:paraId="011D9518" w14:textId="77777777" w:rsidR="00AA3475" w:rsidRDefault="00AA3475" w:rsidP="003E6114">
            <w:pPr>
              <w:ind w:left="360"/>
              <w:jc w:val="center"/>
              <w:rPr>
                <w:b/>
              </w:rPr>
            </w:pPr>
            <w:r>
              <w:rPr>
                <w:b/>
              </w:rPr>
              <w:t>Female</w:t>
            </w:r>
          </w:p>
        </w:tc>
        <w:tc>
          <w:tcPr>
            <w:tcW w:w="1620" w:type="dxa"/>
          </w:tcPr>
          <w:p w14:paraId="66ED66E6" w14:textId="77777777" w:rsidR="00AA3475" w:rsidRDefault="00AA3475" w:rsidP="003E6114">
            <w:pPr>
              <w:ind w:left="360"/>
              <w:jc w:val="center"/>
              <w:rPr>
                <w:b/>
              </w:rPr>
            </w:pPr>
            <w:r>
              <w:rPr>
                <w:b/>
              </w:rPr>
              <w:t>Male</w:t>
            </w:r>
          </w:p>
        </w:tc>
      </w:tr>
      <w:tr w:rsidR="00AA3475" w14:paraId="2464BF2E" w14:textId="77777777" w:rsidTr="003E6114">
        <w:tc>
          <w:tcPr>
            <w:tcW w:w="2358" w:type="dxa"/>
          </w:tcPr>
          <w:p w14:paraId="33107FC8" w14:textId="77777777" w:rsidR="00AA3475" w:rsidRPr="00784CD5" w:rsidRDefault="00AA3475" w:rsidP="003E6114">
            <w:pPr>
              <w:ind w:left="360"/>
            </w:pPr>
            <w:r w:rsidRPr="00784CD5">
              <w:t>BHA Properties</w:t>
            </w:r>
          </w:p>
        </w:tc>
        <w:tc>
          <w:tcPr>
            <w:tcW w:w="1620" w:type="dxa"/>
          </w:tcPr>
          <w:p w14:paraId="1B02E8C3" w14:textId="77777777" w:rsidR="00AA3475" w:rsidRPr="00784CD5" w:rsidRDefault="00AA3475" w:rsidP="003E6114">
            <w:pPr>
              <w:ind w:left="360"/>
              <w:jc w:val="right"/>
            </w:pPr>
            <w:r w:rsidRPr="00784CD5">
              <w:t>55%</w:t>
            </w:r>
          </w:p>
        </w:tc>
        <w:tc>
          <w:tcPr>
            <w:tcW w:w="1620" w:type="dxa"/>
          </w:tcPr>
          <w:p w14:paraId="59A830CB" w14:textId="77777777" w:rsidR="00AA3475" w:rsidRPr="00784CD5" w:rsidRDefault="00AA3475" w:rsidP="003E6114">
            <w:pPr>
              <w:ind w:left="360"/>
              <w:jc w:val="right"/>
            </w:pPr>
            <w:r w:rsidRPr="00784CD5">
              <w:t>45%</w:t>
            </w:r>
          </w:p>
        </w:tc>
      </w:tr>
      <w:tr w:rsidR="00AA3475" w14:paraId="39C79764" w14:textId="77777777" w:rsidTr="003E6114">
        <w:tc>
          <w:tcPr>
            <w:tcW w:w="2358" w:type="dxa"/>
          </w:tcPr>
          <w:p w14:paraId="4806FC9C" w14:textId="77777777" w:rsidR="00AA3475" w:rsidRPr="00784CD5" w:rsidRDefault="00AA3475" w:rsidP="003E6114">
            <w:pPr>
              <w:ind w:left="360"/>
            </w:pPr>
            <w:r w:rsidRPr="00784CD5">
              <w:t>Section 8 Vouchers</w:t>
            </w:r>
          </w:p>
        </w:tc>
        <w:tc>
          <w:tcPr>
            <w:tcW w:w="1620" w:type="dxa"/>
          </w:tcPr>
          <w:p w14:paraId="4F15CFA7" w14:textId="77777777" w:rsidR="00AA3475" w:rsidRPr="00784CD5" w:rsidRDefault="00AA3475" w:rsidP="003E6114">
            <w:pPr>
              <w:ind w:left="360"/>
              <w:jc w:val="right"/>
            </w:pPr>
            <w:r w:rsidRPr="00784CD5">
              <w:t>68%</w:t>
            </w:r>
          </w:p>
        </w:tc>
        <w:tc>
          <w:tcPr>
            <w:tcW w:w="1620" w:type="dxa"/>
          </w:tcPr>
          <w:p w14:paraId="12CC117D" w14:textId="77777777" w:rsidR="00AA3475" w:rsidRPr="00784CD5" w:rsidRDefault="00AA3475" w:rsidP="003E6114">
            <w:pPr>
              <w:ind w:left="360"/>
              <w:jc w:val="right"/>
            </w:pPr>
            <w:r w:rsidRPr="00784CD5">
              <w:t>43%</w:t>
            </w:r>
          </w:p>
        </w:tc>
      </w:tr>
      <w:tr w:rsidR="00AA3475" w14:paraId="44306DE2" w14:textId="77777777" w:rsidTr="003E6114">
        <w:tc>
          <w:tcPr>
            <w:tcW w:w="2358" w:type="dxa"/>
          </w:tcPr>
          <w:p w14:paraId="3907ACE6" w14:textId="77777777" w:rsidR="00AA3475" w:rsidRDefault="00AA3475" w:rsidP="003E6114">
            <w:pPr>
              <w:ind w:left="360"/>
              <w:jc w:val="right"/>
              <w:rPr>
                <w:b/>
              </w:rPr>
            </w:pPr>
            <w:r>
              <w:rPr>
                <w:b/>
              </w:rPr>
              <w:t>GRAND TOTAL</w:t>
            </w:r>
          </w:p>
        </w:tc>
        <w:tc>
          <w:tcPr>
            <w:tcW w:w="1620" w:type="dxa"/>
          </w:tcPr>
          <w:p w14:paraId="7680B7A9" w14:textId="77777777" w:rsidR="00AA3475" w:rsidRPr="00784CD5" w:rsidRDefault="00AA3475" w:rsidP="003E6114">
            <w:pPr>
              <w:ind w:left="360"/>
              <w:jc w:val="right"/>
            </w:pPr>
            <w:r w:rsidRPr="00784CD5">
              <w:t>65%</w:t>
            </w:r>
          </w:p>
        </w:tc>
        <w:tc>
          <w:tcPr>
            <w:tcW w:w="1620" w:type="dxa"/>
          </w:tcPr>
          <w:p w14:paraId="4312D2DE" w14:textId="77777777" w:rsidR="00AA3475" w:rsidRPr="00784CD5" w:rsidRDefault="00AA3475" w:rsidP="003E6114">
            <w:pPr>
              <w:ind w:left="360"/>
              <w:jc w:val="right"/>
            </w:pPr>
            <w:r w:rsidRPr="00784CD5">
              <w:t>35%</w:t>
            </w:r>
          </w:p>
        </w:tc>
      </w:tr>
    </w:tbl>
    <w:p w14:paraId="7CAE0E3A" w14:textId="77777777" w:rsidR="00D74CF8" w:rsidRDefault="00D74CF8" w:rsidP="00D74CF8">
      <w:pPr>
        <w:ind w:left="360"/>
        <w:rPr>
          <w:b/>
        </w:rPr>
      </w:pPr>
    </w:p>
    <w:p w14:paraId="3C64AF4C" w14:textId="77777777" w:rsidR="00D74CF8" w:rsidRDefault="00D74CF8" w:rsidP="00D74CF8">
      <w:pPr>
        <w:ind w:left="360"/>
        <w:rPr>
          <w:b/>
        </w:rPr>
      </w:pPr>
    </w:p>
    <w:p w14:paraId="1F087C54" w14:textId="77777777" w:rsidR="00D74CF8" w:rsidRDefault="00D74CF8" w:rsidP="00D74CF8">
      <w:pPr>
        <w:ind w:left="360"/>
        <w:rPr>
          <w:b/>
        </w:rPr>
      </w:pPr>
      <w:r>
        <w:rPr>
          <w:b/>
        </w:rPr>
        <w:t>BHA Residents and Voucher Holders: Gender by Number</w:t>
      </w:r>
    </w:p>
    <w:tbl>
      <w:tblPr>
        <w:tblW w:w="5925" w:type="dxa"/>
        <w:tblInd w:w="100" w:type="dxa"/>
        <w:tblLayout w:type="fixed"/>
        <w:tblLook w:val="04A0" w:firstRow="1" w:lastRow="0" w:firstColumn="1" w:lastColumn="0" w:noHBand="0" w:noVBand="1"/>
      </w:tblPr>
      <w:tblGrid>
        <w:gridCol w:w="3240"/>
        <w:gridCol w:w="1425"/>
        <w:gridCol w:w="1260"/>
      </w:tblGrid>
      <w:tr w:rsidR="00D74CF8" w:rsidRPr="00784CD5" w14:paraId="30253EED" w14:textId="77777777" w:rsidTr="003E6114">
        <w:trPr>
          <w:trHeight w:val="288"/>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96758A" w14:textId="77777777" w:rsidR="00D74CF8" w:rsidRPr="00784CD5" w:rsidRDefault="00D74CF8" w:rsidP="003E6114">
            <w:pPr>
              <w:ind w:left="360"/>
              <w:rPr>
                <w:rFonts w:ascii="Calibri" w:eastAsia="Times New Roman" w:hAnsi="Calibri" w:cs="Times New Roman"/>
                <w:b/>
                <w:bCs/>
                <w:color w:val="000000"/>
              </w:rPr>
            </w:pPr>
          </w:p>
        </w:tc>
        <w:tc>
          <w:tcPr>
            <w:tcW w:w="1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27EC7F" w14:textId="77777777" w:rsidR="00D74CF8" w:rsidRPr="00784CD5" w:rsidRDefault="00D74CF8" w:rsidP="003E6114">
            <w:pPr>
              <w:ind w:left="360"/>
              <w:jc w:val="right"/>
              <w:rPr>
                <w:rFonts w:ascii="Calibri" w:eastAsia="Times New Roman" w:hAnsi="Calibri" w:cs="Times New Roman"/>
                <w:b/>
                <w:bCs/>
                <w:color w:val="000000"/>
              </w:rPr>
            </w:pPr>
            <w:r>
              <w:rPr>
                <w:rFonts w:ascii="Calibri" w:eastAsia="Times New Roman" w:hAnsi="Calibri" w:cs="Times New Roman"/>
                <w:b/>
                <w:bCs/>
                <w:color w:val="000000"/>
              </w:rPr>
              <w:t>Female</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A8BB46" w14:textId="77777777" w:rsidR="00D74CF8" w:rsidRPr="00784CD5" w:rsidRDefault="00D74CF8" w:rsidP="003E6114">
            <w:pPr>
              <w:ind w:left="360"/>
              <w:jc w:val="right"/>
              <w:rPr>
                <w:rFonts w:ascii="Calibri" w:eastAsia="Times New Roman" w:hAnsi="Calibri" w:cs="Times New Roman"/>
                <w:b/>
                <w:bCs/>
                <w:color w:val="000000"/>
              </w:rPr>
            </w:pPr>
            <w:r>
              <w:rPr>
                <w:rFonts w:ascii="Calibri" w:eastAsia="Times New Roman" w:hAnsi="Calibri" w:cs="Times New Roman"/>
                <w:b/>
                <w:bCs/>
                <w:color w:val="000000"/>
              </w:rPr>
              <w:t>Male</w:t>
            </w:r>
          </w:p>
        </w:tc>
      </w:tr>
      <w:tr w:rsidR="00D74CF8" w:rsidRPr="00784CD5" w14:paraId="21EF88C7" w14:textId="77777777" w:rsidTr="003E6114">
        <w:trPr>
          <w:trHeight w:val="288"/>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E05148" w14:textId="77777777" w:rsidR="00D74CF8" w:rsidRPr="00784CD5" w:rsidRDefault="00D74CF8" w:rsidP="003E6114">
            <w:pPr>
              <w:ind w:left="360"/>
              <w:rPr>
                <w:rFonts w:ascii="Calibri" w:eastAsia="Times New Roman" w:hAnsi="Calibri" w:cs="Times New Roman"/>
                <w:b/>
                <w:bCs/>
                <w:color w:val="000000"/>
              </w:rPr>
            </w:pPr>
            <w:r>
              <w:rPr>
                <w:rFonts w:ascii="Calibri" w:eastAsia="Times New Roman" w:hAnsi="Calibri" w:cs="Times New Roman"/>
                <w:b/>
                <w:bCs/>
                <w:color w:val="000000"/>
              </w:rPr>
              <w:t>TOTAL – BHA Properties</w:t>
            </w:r>
          </w:p>
        </w:tc>
        <w:tc>
          <w:tcPr>
            <w:tcW w:w="142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9AF100" w14:textId="77777777" w:rsidR="00D74CF8" w:rsidRPr="00784CD5" w:rsidRDefault="00D74CF8" w:rsidP="003E6114">
            <w:pPr>
              <w:ind w:left="360"/>
              <w:jc w:val="right"/>
              <w:rPr>
                <w:rFonts w:ascii="Calibri" w:eastAsia="Times New Roman" w:hAnsi="Calibri" w:cs="Times New Roman"/>
                <w:b/>
                <w:bCs/>
                <w:color w:val="000000"/>
              </w:rPr>
            </w:pPr>
            <w:r w:rsidRPr="00784CD5">
              <w:rPr>
                <w:rFonts w:ascii="Calibri" w:eastAsia="Times New Roman" w:hAnsi="Calibri" w:cs="Times New Roman"/>
                <w:b/>
                <w:bCs/>
                <w:color w:val="000000"/>
              </w:rPr>
              <w:t>326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1C6F89" w14:textId="77777777" w:rsidR="00D74CF8" w:rsidRPr="00784CD5" w:rsidRDefault="00D74CF8" w:rsidP="003E6114">
            <w:pPr>
              <w:ind w:left="360"/>
              <w:jc w:val="right"/>
              <w:rPr>
                <w:rFonts w:ascii="Calibri" w:eastAsia="Times New Roman" w:hAnsi="Calibri" w:cs="Times New Roman"/>
                <w:b/>
                <w:bCs/>
                <w:color w:val="000000"/>
              </w:rPr>
            </w:pPr>
            <w:r w:rsidRPr="00784CD5">
              <w:rPr>
                <w:rFonts w:ascii="Calibri" w:eastAsia="Times New Roman" w:hAnsi="Calibri" w:cs="Times New Roman"/>
                <w:b/>
                <w:bCs/>
                <w:color w:val="000000"/>
              </w:rPr>
              <w:t>267</w:t>
            </w:r>
          </w:p>
        </w:tc>
      </w:tr>
      <w:tr w:rsidR="00D74CF8" w:rsidRPr="00784CD5" w14:paraId="22A55F32" w14:textId="77777777" w:rsidTr="003E6114">
        <w:trPr>
          <w:trHeight w:val="288"/>
        </w:trPr>
        <w:tc>
          <w:tcPr>
            <w:tcW w:w="3240" w:type="dxa"/>
            <w:tcBorders>
              <w:top w:val="single" w:sz="4" w:space="0" w:color="auto"/>
              <w:left w:val="single" w:sz="4" w:space="0" w:color="auto"/>
              <w:bottom w:val="double" w:sz="4" w:space="0" w:color="auto"/>
              <w:right w:val="single" w:sz="4" w:space="0" w:color="auto"/>
            </w:tcBorders>
            <w:shd w:val="clear" w:color="000000" w:fill="FFFFFF"/>
            <w:noWrap/>
            <w:vAlign w:val="bottom"/>
            <w:hideMark/>
          </w:tcPr>
          <w:p w14:paraId="7D5F01FF" w14:textId="77777777" w:rsidR="00D74CF8" w:rsidRPr="00784CD5" w:rsidRDefault="00D74CF8" w:rsidP="003E6114">
            <w:pPr>
              <w:ind w:left="360"/>
              <w:rPr>
                <w:rFonts w:ascii="Calibri" w:eastAsia="Times New Roman" w:hAnsi="Calibri" w:cs="Times New Roman"/>
                <w:b/>
                <w:bCs/>
                <w:color w:val="000000"/>
              </w:rPr>
            </w:pPr>
            <w:r>
              <w:rPr>
                <w:rFonts w:ascii="Calibri" w:eastAsia="Times New Roman" w:hAnsi="Calibri" w:cs="Times New Roman"/>
                <w:b/>
                <w:bCs/>
                <w:color w:val="000000"/>
              </w:rPr>
              <w:t xml:space="preserve">TOTAL - </w:t>
            </w:r>
            <w:r w:rsidRPr="00784CD5">
              <w:rPr>
                <w:rFonts w:ascii="Calibri" w:eastAsia="Times New Roman" w:hAnsi="Calibri" w:cs="Times New Roman"/>
                <w:b/>
                <w:bCs/>
                <w:color w:val="000000"/>
              </w:rPr>
              <w:t>Section 8 Voucher</w:t>
            </w:r>
            <w:r>
              <w:rPr>
                <w:rFonts w:ascii="Calibri" w:eastAsia="Times New Roman" w:hAnsi="Calibri" w:cs="Times New Roman"/>
                <w:b/>
                <w:bCs/>
                <w:color w:val="000000"/>
              </w:rPr>
              <w:t>s</w:t>
            </w:r>
          </w:p>
        </w:tc>
        <w:tc>
          <w:tcPr>
            <w:tcW w:w="1425" w:type="dxa"/>
            <w:tcBorders>
              <w:top w:val="single" w:sz="4" w:space="0" w:color="auto"/>
              <w:left w:val="single" w:sz="4" w:space="0" w:color="auto"/>
              <w:bottom w:val="double" w:sz="4" w:space="0" w:color="auto"/>
              <w:right w:val="single" w:sz="4" w:space="0" w:color="auto"/>
            </w:tcBorders>
            <w:shd w:val="clear" w:color="000000" w:fill="FFFFFF"/>
            <w:noWrap/>
            <w:vAlign w:val="bottom"/>
            <w:hideMark/>
          </w:tcPr>
          <w:p w14:paraId="40DC8D52" w14:textId="77777777" w:rsidR="00D74CF8" w:rsidRPr="00784CD5" w:rsidRDefault="00D74CF8" w:rsidP="003E6114">
            <w:pPr>
              <w:ind w:left="360"/>
              <w:jc w:val="right"/>
              <w:rPr>
                <w:rFonts w:ascii="Calibri" w:eastAsia="Times New Roman" w:hAnsi="Calibri" w:cs="Times New Roman"/>
                <w:b/>
                <w:bCs/>
                <w:color w:val="000000"/>
              </w:rPr>
            </w:pPr>
            <w:r w:rsidRPr="00784CD5">
              <w:rPr>
                <w:rFonts w:ascii="Calibri" w:eastAsia="Times New Roman" w:hAnsi="Calibri" w:cs="Times New Roman"/>
                <w:b/>
                <w:bCs/>
                <w:color w:val="000000"/>
              </w:rPr>
              <w:t>1265</w:t>
            </w:r>
          </w:p>
        </w:tc>
        <w:tc>
          <w:tcPr>
            <w:tcW w:w="1260" w:type="dxa"/>
            <w:tcBorders>
              <w:top w:val="single" w:sz="4" w:space="0" w:color="auto"/>
              <w:left w:val="single" w:sz="4" w:space="0" w:color="auto"/>
              <w:bottom w:val="double" w:sz="4" w:space="0" w:color="auto"/>
              <w:right w:val="single" w:sz="4" w:space="0" w:color="auto"/>
            </w:tcBorders>
            <w:shd w:val="clear" w:color="000000" w:fill="FFFFFF"/>
            <w:noWrap/>
            <w:vAlign w:val="bottom"/>
            <w:hideMark/>
          </w:tcPr>
          <w:p w14:paraId="68265C07" w14:textId="77777777" w:rsidR="00D74CF8" w:rsidRPr="00784CD5" w:rsidRDefault="00D74CF8" w:rsidP="003E6114">
            <w:pPr>
              <w:ind w:left="360"/>
              <w:jc w:val="right"/>
              <w:rPr>
                <w:rFonts w:ascii="Calibri" w:eastAsia="Times New Roman" w:hAnsi="Calibri" w:cs="Times New Roman"/>
                <w:b/>
                <w:bCs/>
                <w:color w:val="000000"/>
              </w:rPr>
            </w:pPr>
            <w:r w:rsidRPr="00784CD5">
              <w:rPr>
                <w:rFonts w:ascii="Calibri" w:eastAsia="Times New Roman" w:hAnsi="Calibri" w:cs="Times New Roman"/>
                <w:b/>
                <w:bCs/>
                <w:color w:val="000000"/>
              </w:rPr>
              <w:t>601</w:t>
            </w:r>
          </w:p>
        </w:tc>
      </w:tr>
      <w:tr w:rsidR="00D74CF8" w:rsidRPr="00784CD5" w14:paraId="0821DACF" w14:textId="77777777" w:rsidTr="003E6114">
        <w:trPr>
          <w:trHeight w:val="288"/>
        </w:trPr>
        <w:tc>
          <w:tcPr>
            <w:tcW w:w="3240" w:type="dxa"/>
            <w:tcBorders>
              <w:top w:val="double" w:sz="4" w:space="0" w:color="auto"/>
              <w:left w:val="single" w:sz="4" w:space="0" w:color="auto"/>
              <w:bottom w:val="single" w:sz="4" w:space="0" w:color="auto"/>
              <w:right w:val="single" w:sz="4" w:space="0" w:color="auto"/>
            </w:tcBorders>
            <w:shd w:val="clear" w:color="000000" w:fill="FFFFFF"/>
            <w:noWrap/>
            <w:vAlign w:val="bottom"/>
            <w:hideMark/>
          </w:tcPr>
          <w:p w14:paraId="3D41D529" w14:textId="77777777" w:rsidR="00D74CF8" w:rsidRPr="00784CD5" w:rsidRDefault="00D74CF8" w:rsidP="003E6114">
            <w:pPr>
              <w:ind w:left="360"/>
              <w:jc w:val="right"/>
              <w:rPr>
                <w:rFonts w:ascii="Calibri" w:eastAsia="Times New Roman" w:hAnsi="Calibri" w:cs="Times New Roman"/>
                <w:b/>
                <w:bCs/>
                <w:color w:val="000000"/>
              </w:rPr>
            </w:pPr>
            <w:r w:rsidRPr="00784CD5">
              <w:rPr>
                <w:rFonts w:ascii="Calibri" w:eastAsia="Times New Roman" w:hAnsi="Calibri" w:cs="Times New Roman"/>
                <w:b/>
                <w:bCs/>
                <w:color w:val="000000"/>
              </w:rPr>
              <w:t>GRAND TOTAL</w:t>
            </w:r>
          </w:p>
        </w:tc>
        <w:tc>
          <w:tcPr>
            <w:tcW w:w="1425" w:type="dxa"/>
            <w:tcBorders>
              <w:top w:val="double" w:sz="4" w:space="0" w:color="auto"/>
              <w:left w:val="single" w:sz="4" w:space="0" w:color="auto"/>
              <w:bottom w:val="single" w:sz="4" w:space="0" w:color="auto"/>
              <w:right w:val="single" w:sz="4" w:space="0" w:color="auto"/>
            </w:tcBorders>
            <w:shd w:val="clear" w:color="000000" w:fill="FFFFFF"/>
            <w:noWrap/>
            <w:vAlign w:val="bottom"/>
            <w:hideMark/>
          </w:tcPr>
          <w:p w14:paraId="219B5120" w14:textId="77777777" w:rsidR="00D74CF8" w:rsidRPr="00784CD5" w:rsidRDefault="00D74CF8" w:rsidP="003E6114">
            <w:pPr>
              <w:ind w:left="360"/>
              <w:jc w:val="right"/>
              <w:rPr>
                <w:rFonts w:ascii="Calibri" w:eastAsia="Times New Roman" w:hAnsi="Calibri" w:cs="Times New Roman"/>
                <w:b/>
                <w:bCs/>
                <w:color w:val="000000"/>
              </w:rPr>
            </w:pPr>
            <w:r w:rsidRPr="00784CD5">
              <w:rPr>
                <w:rFonts w:ascii="Calibri" w:eastAsia="Times New Roman" w:hAnsi="Calibri" w:cs="Times New Roman"/>
                <w:b/>
                <w:bCs/>
                <w:color w:val="000000"/>
              </w:rPr>
              <w:t>1591</w:t>
            </w:r>
          </w:p>
        </w:tc>
        <w:tc>
          <w:tcPr>
            <w:tcW w:w="1260" w:type="dxa"/>
            <w:tcBorders>
              <w:top w:val="double" w:sz="4" w:space="0" w:color="auto"/>
              <w:left w:val="single" w:sz="4" w:space="0" w:color="auto"/>
              <w:bottom w:val="single" w:sz="4" w:space="0" w:color="auto"/>
              <w:right w:val="single" w:sz="4" w:space="0" w:color="auto"/>
            </w:tcBorders>
            <w:shd w:val="clear" w:color="000000" w:fill="FFFFFF"/>
            <w:noWrap/>
            <w:vAlign w:val="bottom"/>
            <w:hideMark/>
          </w:tcPr>
          <w:p w14:paraId="5E83FA30" w14:textId="77777777" w:rsidR="00D74CF8" w:rsidRPr="00784CD5" w:rsidRDefault="00D74CF8" w:rsidP="003E6114">
            <w:pPr>
              <w:ind w:left="360"/>
              <w:jc w:val="right"/>
              <w:rPr>
                <w:rFonts w:ascii="Calibri" w:eastAsia="Times New Roman" w:hAnsi="Calibri" w:cs="Times New Roman"/>
                <w:b/>
                <w:bCs/>
                <w:color w:val="000000"/>
              </w:rPr>
            </w:pPr>
            <w:r w:rsidRPr="00784CD5">
              <w:rPr>
                <w:rFonts w:ascii="Calibri" w:eastAsia="Times New Roman" w:hAnsi="Calibri" w:cs="Times New Roman"/>
                <w:b/>
                <w:bCs/>
                <w:color w:val="000000"/>
              </w:rPr>
              <w:t>868</w:t>
            </w:r>
          </w:p>
        </w:tc>
      </w:tr>
    </w:tbl>
    <w:p w14:paraId="5595093B" w14:textId="77777777" w:rsidR="002D4E01" w:rsidRDefault="002D4E01" w:rsidP="5F884969">
      <w:pPr>
        <w:spacing w:after="240" w:line="240" w:lineRule="auto"/>
        <w:ind w:left="360"/>
        <w:rPr>
          <w:b/>
          <w:bCs/>
          <w:color w:val="FF0000"/>
        </w:rPr>
      </w:pPr>
    </w:p>
    <w:p w14:paraId="75746399" w14:textId="056AA26B" w:rsidR="00A12348" w:rsidRPr="00E70FD5" w:rsidRDefault="00A12348" w:rsidP="00A12348">
      <w:pPr>
        <w:ind w:left="360"/>
      </w:pPr>
      <w:r>
        <w:t>When considering the number of families</w:t>
      </w:r>
      <w:r w:rsidR="00AA3475">
        <w:t xml:space="preserve"> with children</w:t>
      </w:r>
      <w:r>
        <w:t>, data shows that BHA is serving a significant number of female-headed households with children – the most vulnerable families in our society.</w:t>
      </w:r>
    </w:p>
    <w:p w14:paraId="16FA0E72" w14:textId="68B5D7CC" w:rsidR="002D4E01" w:rsidRPr="004B7381" w:rsidRDefault="005270CC" w:rsidP="004B7381">
      <w:pPr>
        <w:ind w:left="360"/>
      </w:pPr>
      <w:r w:rsidRPr="00A73972">
        <w:t xml:space="preserve">As one would expect, those living in senior developments do not have children; those living in family developments have children. </w:t>
      </w:r>
      <w:r>
        <w:t>For vouchers, BHA has a number of specialized vouchers for single people (over age 62 with a disability) thereby further reducing the number of families with children. Our PHA serves 36% of both BHA proper</w:t>
      </w:r>
      <w:r w:rsidR="00492B3D">
        <w:t>ties and Section 8 vouchers of</w:t>
      </w:r>
      <w:r>
        <w:t xml:space="preserve"> families with children compared to the Jurisdiction </w:t>
      </w:r>
      <w:r w:rsidR="00567BF0">
        <w:t xml:space="preserve">46% </w:t>
      </w:r>
      <w:r>
        <w:t>family population</w:t>
      </w:r>
      <w:r w:rsidR="00567BF0">
        <w:t xml:space="preserve">. </w:t>
      </w:r>
    </w:p>
    <w:p w14:paraId="412AE6FF" w14:textId="77777777" w:rsidR="004B7381" w:rsidRDefault="004B7381" w:rsidP="004B7381">
      <w:pPr>
        <w:ind w:left="360"/>
      </w:pPr>
      <w:r>
        <w:rPr>
          <w:b/>
        </w:rPr>
        <w:t>BHA Residents and Voucher Holders: Number of Children in Family</w:t>
      </w:r>
    </w:p>
    <w:tbl>
      <w:tblPr>
        <w:tblW w:w="9967" w:type="dxa"/>
        <w:tblInd w:w="100" w:type="dxa"/>
        <w:tblLayout w:type="fixed"/>
        <w:tblLook w:val="04A0" w:firstRow="1" w:lastRow="0" w:firstColumn="1" w:lastColumn="0" w:noHBand="0" w:noVBand="1"/>
      </w:tblPr>
      <w:tblGrid>
        <w:gridCol w:w="2105"/>
        <w:gridCol w:w="1106"/>
        <w:gridCol w:w="1014"/>
        <w:gridCol w:w="1014"/>
        <w:gridCol w:w="1014"/>
        <w:gridCol w:w="829"/>
        <w:gridCol w:w="829"/>
        <w:gridCol w:w="804"/>
        <w:gridCol w:w="630"/>
        <w:gridCol w:w="608"/>
        <w:gridCol w:w="6"/>
        <w:gridCol w:w="8"/>
      </w:tblGrid>
      <w:tr w:rsidR="004B7381" w:rsidRPr="00385632" w14:paraId="27655E14" w14:textId="77777777" w:rsidTr="00A22E9A">
        <w:trPr>
          <w:trHeight w:val="655"/>
        </w:trPr>
        <w:tc>
          <w:tcPr>
            <w:tcW w:w="2105" w:type="dxa"/>
            <w:vMerge w:val="restart"/>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5ECAB37" w14:textId="77777777" w:rsidR="004B7381" w:rsidRPr="00385632" w:rsidRDefault="004B7381" w:rsidP="003E6114">
            <w:pPr>
              <w:ind w:left="360"/>
              <w:rPr>
                <w:rFonts w:ascii="Calibri" w:eastAsia="Times New Roman" w:hAnsi="Calibri" w:cs="Times New Roman"/>
                <w:b/>
                <w:bCs/>
                <w:color w:val="000000"/>
              </w:rPr>
            </w:pPr>
          </w:p>
        </w:tc>
        <w:tc>
          <w:tcPr>
            <w:tcW w:w="786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12A03" w14:textId="77777777" w:rsidR="004B7381" w:rsidRPr="00385632" w:rsidRDefault="004B7381" w:rsidP="003E6114">
            <w:pPr>
              <w:ind w:left="360"/>
              <w:jc w:val="center"/>
              <w:rPr>
                <w:rFonts w:ascii="Calibri" w:eastAsia="Times New Roman" w:hAnsi="Calibri" w:cs="Times New Roman"/>
                <w:b/>
                <w:bCs/>
                <w:color w:val="000000"/>
              </w:rPr>
            </w:pPr>
            <w:r>
              <w:rPr>
                <w:rFonts w:ascii="Calibri" w:eastAsia="Times New Roman" w:hAnsi="Calibri" w:cs="Times New Roman"/>
                <w:b/>
                <w:bCs/>
                <w:color w:val="000000"/>
              </w:rPr>
              <w:t>Number of Children in Family*</w:t>
            </w:r>
          </w:p>
        </w:tc>
      </w:tr>
      <w:tr w:rsidR="00A22E9A" w:rsidRPr="00385632" w14:paraId="7E024CF6" w14:textId="77777777" w:rsidTr="00A22E9A">
        <w:trPr>
          <w:gridAfter w:val="2"/>
          <w:wAfter w:w="14" w:type="dxa"/>
          <w:trHeight w:val="295"/>
        </w:trPr>
        <w:tc>
          <w:tcPr>
            <w:tcW w:w="2105" w:type="dxa"/>
            <w:vMerge/>
            <w:tcBorders>
              <w:left w:val="single" w:sz="4" w:space="0" w:color="auto"/>
              <w:bottom w:val="double" w:sz="4" w:space="0" w:color="auto"/>
              <w:right w:val="single" w:sz="4" w:space="0" w:color="auto"/>
            </w:tcBorders>
            <w:shd w:val="clear" w:color="auto" w:fill="auto"/>
            <w:noWrap/>
            <w:vAlign w:val="bottom"/>
            <w:hideMark/>
          </w:tcPr>
          <w:p w14:paraId="76D6E673" w14:textId="77777777" w:rsidR="004B7381" w:rsidRPr="00385632" w:rsidRDefault="004B7381" w:rsidP="003E6114">
            <w:pPr>
              <w:ind w:left="360"/>
              <w:rPr>
                <w:rFonts w:ascii="Calibri" w:eastAsia="Times New Roman" w:hAnsi="Calibri" w:cs="Times New Roman"/>
                <w:b/>
                <w:bCs/>
                <w:color w:val="000000"/>
              </w:rPr>
            </w:pP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D53CB08" w14:textId="77777777" w:rsidR="004B7381" w:rsidRPr="00385632" w:rsidRDefault="004B7381" w:rsidP="003E6114">
            <w:pPr>
              <w:ind w:left="360"/>
              <w:jc w:val="center"/>
              <w:rPr>
                <w:rFonts w:ascii="Calibri" w:eastAsia="Times New Roman" w:hAnsi="Calibri" w:cs="Times New Roman"/>
                <w:b/>
                <w:bCs/>
                <w:color w:val="000000"/>
              </w:rPr>
            </w:pPr>
            <w:r w:rsidRPr="00385632">
              <w:rPr>
                <w:rFonts w:ascii="Calibri" w:eastAsia="Times New Roman" w:hAnsi="Calibri" w:cs="Times New Roman"/>
                <w:b/>
                <w:bCs/>
                <w:color w:val="000000"/>
              </w:rPr>
              <w:t>0</w:t>
            </w:r>
          </w:p>
        </w:tc>
        <w:tc>
          <w:tcPr>
            <w:tcW w:w="101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2A0B220" w14:textId="77777777" w:rsidR="004B7381" w:rsidRPr="00385632" w:rsidRDefault="004B7381" w:rsidP="003E6114">
            <w:pPr>
              <w:ind w:left="360"/>
              <w:jc w:val="center"/>
              <w:rPr>
                <w:rFonts w:ascii="Calibri" w:eastAsia="Times New Roman" w:hAnsi="Calibri" w:cs="Times New Roman"/>
                <w:b/>
                <w:bCs/>
                <w:color w:val="000000"/>
              </w:rPr>
            </w:pPr>
            <w:r w:rsidRPr="00385632">
              <w:rPr>
                <w:rFonts w:ascii="Calibri" w:eastAsia="Times New Roman" w:hAnsi="Calibri" w:cs="Times New Roman"/>
                <w:b/>
                <w:bCs/>
                <w:color w:val="000000"/>
              </w:rPr>
              <w:t>1</w:t>
            </w:r>
          </w:p>
        </w:tc>
        <w:tc>
          <w:tcPr>
            <w:tcW w:w="101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9DE1C49" w14:textId="77777777" w:rsidR="004B7381" w:rsidRPr="00385632" w:rsidRDefault="004B7381" w:rsidP="003E6114">
            <w:pPr>
              <w:ind w:left="360"/>
              <w:jc w:val="center"/>
              <w:rPr>
                <w:rFonts w:ascii="Calibri" w:eastAsia="Times New Roman" w:hAnsi="Calibri" w:cs="Times New Roman"/>
                <w:b/>
                <w:bCs/>
                <w:color w:val="000000"/>
              </w:rPr>
            </w:pPr>
            <w:r w:rsidRPr="00385632">
              <w:rPr>
                <w:rFonts w:ascii="Calibri" w:eastAsia="Times New Roman" w:hAnsi="Calibri" w:cs="Times New Roman"/>
                <w:b/>
                <w:bCs/>
                <w:color w:val="000000"/>
              </w:rPr>
              <w:t>2</w:t>
            </w:r>
          </w:p>
        </w:tc>
        <w:tc>
          <w:tcPr>
            <w:tcW w:w="101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8F0123D" w14:textId="77777777" w:rsidR="004B7381" w:rsidRPr="00385632" w:rsidRDefault="004B7381" w:rsidP="003E6114">
            <w:pPr>
              <w:ind w:left="360"/>
              <w:jc w:val="center"/>
              <w:rPr>
                <w:rFonts w:ascii="Calibri" w:eastAsia="Times New Roman" w:hAnsi="Calibri" w:cs="Times New Roman"/>
                <w:b/>
                <w:bCs/>
                <w:color w:val="000000"/>
              </w:rPr>
            </w:pPr>
            <w:r w:rsidRPr="00385632">
              <w:rPr>
                <w:rFonts w:ascii="Calibri" w:eastAsia="Times New Roman" w:hAnsi="Calibri" w:cs="Times New Roman"/>
                <w:b/>
                <w:bCs/>
                <w:color w:val="000000"/>
              </w:rPr>
              <w:t>3</w:t>
            </w:r>
          </w:p>
        </w:tc>
        <w:tc>
          <w:tcPr>
            <w:tcW w:w="82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CF85FFC" w14:textId="77777777" w:rsidR="004B7381" w:rsidRPr="00385632" w:rsidRDefault="004B7381" w:rsidP="003E6114">
            <w:pPr>
              <w:ind w:left="360"/>
              <w:jc w:val="center"/>
              <w:rPr>
                <w:rFonts w:ascii="Calibri" w:eastAsia="Times New Roman" w:hAnsi="Calibri" w:cs="Times New Roman"/>
                <w:b/>
                <w:bCs/>
                <w:color w:val="000000"/>
              </w:rPr>
            </w:pPr>
            <w:r w:rsidRPr="00385632">
              <w:rPr>
                <w:rFonts w:ascii="Calibri" w:eastAsia="Times New Roman" w:hAnsi="Calibri" w:cs="Times New Roman"/>
                <w:b/>
                <w:bCs/>
                <w:color w:val="000000"/>
              </w:rPr>
              <w:t>4</w:t>
            </w:r>
          </w:p>
        </w:tc>
        <w:tc>
          <w:tcPr>
            <w:tcW w:w="82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F873EBB" w14:textId="77777777" w:rsidR="004B7381" w:rsidRPr="00385632" w:rsidRDefault="004B7381" w:rsidP="003E6114">
            <w:pPr>
              <w:ind w:left="360"/>
              <w:jc w:val="center"/>
              <w:rPr>
                <w:rFonts w:ascii="Calibri" w:eastAsia="Times New Roman" w:hAnsi="Calibri" w:cs="Times New Roman"/>
                <w:b/>
                <w:bCs/>
                <w:color w:val="000000"/>
              </w:rPr>
            </w:pPr>
            <w:r w:rsidRPr="00385632">
              <w:rPr>
                <w:rFonts w:ascii="Calibri" w:eastAsia="Times New Roman" w:hAnsi="Calibri" w:cs="Times New Roman"/>
                <w:b/>
                <w:bCs/>
                <w:color w:val="000000"/>
              </w:rPr>
              <w:t>5</w:t>
            </w:r>
          </w:p>
        </w:tc>
        <w:tc>
          <w:tcPr>
            <w:tcW w:w="80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27E7342" w14:textId="77777777" w:rsidR="004B7381" w:rsidRPr="00385632" w:rsidRDefault="004B7381" w:rsidP="003E6114">
            <w:pPr>
              <w:ind w:left="360"/>
              <w:jc w:val="center"/>
              <w:rPr>
                <w:rFonts w:ascii="Calibri" w:eastAsia="Times New Roman" w:hAnsi="Calibri" w:cs="Times New Roman"/>
                <w:b/>
                <w:bCs/>
                <w:color w:val="000000"/>
              </w:rPr>
            </w:pPr>
            <w:r w:rsidRPr="00385632">
              <w:rPr>
                <w:rFonts w:ascii="Calibri" w:eastAsia="Times New Roman" w:hAnsi="Calibri" w:cs="Times New Roman"/>
                <w:b/>
                <w:bCs/>
                <w:color w:val="000000"/>
              </w:rPr>
              <w:t>6</w:t>
            </w:r>
          </w:p>
        </w:tc>
        <w:tc>
          <w:tcPr>
            <w:tcW w:w="63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8189753" w14:textId="77777777" w:rsidR="004B7381" w:rsidRPr="00385632" w:rsidRDefault="004B7381" w:rsidP="003E6114">
            <w:pPr>
              <w:ind w:left="360"/>
              <w:jc w:val="center"/>
              <w:rPr>
                <w:rFonts w:ascii="Calibri" w:eastAsia="Times New Roman" w:hAnsi="Calibri" w:cs="Times New Roman"/>
                <w:b/>
                <w:bCs/>
                <w:color w:val="000000"/>
              </w:rPr>
            </w:pPr>
            <w:r w:rsidRPr="00385632">
              <w:rPr>
                <w:rFonts w:ascii="Calibri" w:eastAsia="Times New Roman" w:hAnsi="Calibri" w:cs="Times New Roman"/>
                <w:b/>
                <w:bCs/>
                <w:color w:val="000000"/>
              </w:rPr>
              <w:t>7</w:t>
            </w:r>
          </w:p>
        </w:tc>
        <w:tc>
          <w:tcPr>
            <w:tcW w:w="60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27217A7" w14:textId="77777777" w:rsidR="004B7381" w:rsidRPr="00385632" w:rsidRDefault="004B7381" w:rsidP="00A22E9A">
            <w:pPr>
              <w:ind w:left="360"/>
              <w:rPr>
                <w:rFonts w:ascii="Calibri" w:eastAsia="Times New Roman" w:hAnsi="Calibri" w:cs="Times New Roman"/>
                <w:b/>
                <w:bCs/>
                <w:color w:val="000000"/>
              </w:rPr>
            </w:pPr>
            <w:r w:rsidRPr="00385632">
              <w:rPr>
                <w:rFonts w:ascii="Calibri" w:eastAsia="Times New Roman" w:hAnsi="Calibri" w:cs="Times New Roman"/>
                <w:b/>
                <w:bCs/>
                <w:color w:val="000000"/>
              </w:rPr>
              <w:t>9</w:t>
            </w:r>
          </w:p>
        </w:tc>
      </w:tr>
      <w:tr w:rsidR="00A22E9A" w:rsidRPr="00385632" w14:paraId="1269028B" w14:textId="77777777" w:rsidTr="00A22E9A">
        <w:trPr>
          <w:gridAfter w:val="2"/>
          <w:wAfter w:w="14" w:type="dxa"/>
          <w:trHeight w:val="295"/>
        </w:trPr>
        <w:tc>
          <w:tcPr>
            <w:tcW w:w="210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94F7DC4" w14:textId="77777777" w:rsidR="004B7381" w:rsidRPr="0062492A" w:rsidRDefault="004B7381" w:rsidP="003E6114">
            <w:pPr>
              <w:ind w:left="360"/>
              <w:rPr>
                <w:rFonts w:ascii="Calibri" w:eastAsia="Times New Roman" w:hAnsi="Calibri" w:cs="Times New Roman"/>
                <w:b/>
                <w:bCs/>
                <w:color w:val="000000"/>
                <w:sz w:val="18"/>
                <w:szCs w:val="18"/>
              </w:rPr>
            </w:pPr>
            <w:r w:rsidRPr="0062492A">
              <w:rPr>
                <w:rFonts w:ascii="Calibri" w:eastAsia="Times New Roman" w:hAnsi="Calibri" w:cs="Times New Roman"/>
                <w:b/>
                <w:bCs/>
                <w:color w:val="000000"/>
                <w:sz w:val="18"/>
                <w:szCs w:val="18"/>
              </w:rPr>
              <w:t>TOTAL – BHA Properties</w:t>
            </w:r>
          </w:p>
        </w:tc>
        <w:tc>
          <w:tcPr>
            <w:tcW w:w="1106"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998A08B"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414</w:t>
            </w:r>
          </w:p>
        </w:tc>
        <w:tc>
          <w:tcPr>
            <w:tcW w:w="101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F53D441"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79</w:t>
            </w:r>
          </w:p>
        </w:tc>
        <w:tc>
          <w:tcPr>
            <w:tcW w:w="101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E02A0B3"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49</w:t>
            </w:r>
          </w:p>
        </w:tc>
        <w:tc>
          <w:tcPr>
            <w:tcW w:w="101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5DBB9C3"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25</w:t>
            </w:r>
          </w:p>
        </w:tc>
        <w:tc>
          <w:tcPr>
            <w:tcW w:w="82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972334C"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11</w:t>
            </w:r>
          </w:p>
        </w:tc>
        <w:tc>
          <w:tcPr>
            <w:tcW w:w="829"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D26D310"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5</w:t>
            </w:r>
          </w:p>
        </w:tc>
        <w:tc>
          <w:tcPr>
            <w:tcW w:w="804"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57BC83C"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7</w:t>
            </w:r>
          </w:p>
        </w:tc>
        <w:tc>
          <w:tcPr>
            <w:tcW w:w="63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8BD5AD9"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3</w:t>
            </w:r>
          </w:p>
        </w:tc>
        <w:tc>
          <w:tcPr>
            <w:tcW w:w="608"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3530163"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 </w:t>
            </w:r>
          </w:p>
        </w:tc>
      </w:tr>
      <w:tr w:rsidR="00A22E9A" w:rsidRPr="00385632" w14:paraId="2E3277D8" w14:textId="77777777" w:rsidTr="00A22E9A">
        <w:trPr>
          <w:gridAfter w:val="2"/>
          <w:wAfter w:w="14" w:type="dxa"/>
          <w:trHeight w:val="295"/>
        </w:trPr>
        <w:tc>
          <w:tcPr>
            <w:tcW w:w="2105"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61933E39" w14:textId="77777777" w:rsidR="004B7381" w:rsidRPr="0062492A" w:rsidRDefault="004B7381" w:rsidP="003E6114">
            <w:pPr>
              <w:ind w:left="360"/>
              <w:rPr>
                <w:rFonts w:ascii="Calibri" w:eastAsia="Times New Roman" w:hAnsi="Calibri" w:cs="Times New Roman"/>
                <w:b/>
                <w:bCs/>
                <w:color w:val="000000"/>
                <w:sz w:val="18"/>
                <w:szCs w:val="18"/>
              </w:rPr>
            </w:pPr>
            <w:r w:rsidRPr="0062492A">
              <w:rPr>
                <w:rFonts w:ascii="Calibri" w:eastAsia="Times New Roman" w:hAnsi="Calibri" w:cs="Times New Roman"/>
                <w:b/>
                <w:bCs/>
                <w:color w:val="000000"/>
                <w:sz w:val="18"/>
                <w:szCs w:val="18"/>
              </w:rPr>
              <w:t>TOTAL - Section 8 Vouchers</w:t>
            </w:r>
          </w:p>
        </w:tc>
        <w:tc>
          <w:tcPr>
            <w:tcW w:w="1106"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68C70598"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1136</w:t>
            </w:r>
          </w:p>
        </w:tc>
        <w:tc>
          <w:tcPr>
            <w:tcW w:w="1014"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362E7FD8"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338</w:t>
            </w:r>
          </w:p>
        </w:tc>
        <w:tc>
          <w:tcPr>
            <w:tcW w:w="1014"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30EB6354"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217</w:t>
            </w:r>
          </w:p>
        </w:tc>
        <w:tc>
          <w:tcPr>
            <w:tcW w:w="1014"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514E4988"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111</w:t>
            </w:r>
          </w:p>
        </w:tc>
        <w:tc>
          <w:tcPr>
            <w:tcW w:w="829"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4367D334"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38</w:t>
            </w:r>
          </w:p>
        </w:tc>
        <w:tc>
          <w:tcPr>
            <w:tcW w:w="829"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011E41D8"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17</w:t>
            </w:r>
          </w:p>
        </w:tc>
        <w:tc>
          <w:tcPr>
            <w:tcW w:w="804"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00D0A7AE"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7</w:t>
            </w:r>
          </w:p>
        </w:tc>
        <w:tc>
          <w:tcPr>
            <w:tcW w:w="630"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5FBD7821"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2</w:t>
            </w:r>
          </w:p>
        </w:tc>
        <w:tc>
          <w:tcPr>
            <w:tcW w:w="608"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02B67EFE"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1</w:t>
            </w:r>
          </w:p>
        </w:tc>
      </w:tr>
      <w:tr w:rsidR="00A22E9A" w:rsidRPr="00385632" w14:paraId="60425E98" w14:textId="77777777" w:rsidTr="00A22E9A">
        <w:trPr>
          <w:gridAfter w:val="2"/>
          <w:wAfter w:w="14" w:type="dxa"/>
          <w:trHeight w:val="295"/>
        </w:trPr>
        <w:tc>
          <w:tcPr>
            <w:tcW w:w="2105"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2C5B55" w14:textId="77777777" w:rsidR="004B7381" w:rsidRPr="0062492A" w:rsidRDefault="004B7381" w:rsidP="003E6114">
            <w:pPr>
              <w:ind w:left="360"/>
              <w:jc w:val="right"/>
              <w:rPr>
                <w:rFonts w:ascii="Calibri" w:eastAsia="Times New Roman" w:hAnsi="Calibri" w:cs="Times New Roman"/>
                <w:b/>
                <w:bCs/>
                <w:color w:val="000000"/>
                <w:sz w:val="18"/>
                <w:szCs w:val="18"/>
              </w:rPr>
            </w:pPr>
            <w:r w:rsidRPr="0062492A">
              <w:rPr>
                <w:rFonts w:ascii="Calibri" w:eastAsia="Times New Roman" w:hAnsi="Calibri" w:cs="Times New Roman"/>
                <w:b/>
                <w:bCs/>
                <w:color w:val="000000"/>
                <w:sz w:val="18"/>
                <w:szCs w:val="18"/>
              </w:rPr>
              <w:t>GRAND TOTAL</w:t>
            </w:r>
          </w:p>
        </w:tc>
        <w:tc>
          <w:tcPr>
            <w:tcW w:w="1106"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B8AFC1"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1550</w:t>
            </w:r>
          </w:p>
        </w:tc>
        <w:tc>
          <w:tcPr>
            <w:tcW w:w="1014"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3B8430"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417</w:t>
            </w:r>
          </w:p>
        </w:tc>
        <w:tc>
          <w:tcPr>
            <w:tcW w:w="1014"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4AEFB1"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266</w:t>
            </w:r>
          </w:p>
        </w:tc>
        <w:tc>
          <w:tcPr>
            <w:tcW w:w="1014"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DA335C"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136</w:t>
            </w:r>
          </w:p>
        </w:tc>
        <w:tc>
          <w:tcPr>
            <w:tcW w:w="829"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F15D5C"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49</w:t>
            </w:r>
          </w:p>
        </w:tc>
        <w:tc>
          <w:tcPr>
            <w:tcW w:w="829"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9785E4"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22</w:t>
            </w:r>
          </w:p>
        </w:tc>
        <w:tc>
          <w:tcPr>
            <w:tcW w:w="804"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F82BC9"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14</w:t>
            </w:r>
          </w:p>
        </w:tc>
        <w:tc>
          <w:tcPr>
            <w:tcW w:w="630"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B47B16"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5</w:t>
            </w:r>
          </w:p>
        </w:tc>
        <w:tc>
          <w:tcPr>
            <w:tcW w:w="608" w:type="dxa"/>
            <w:tcBorders>
              <w:top w:val="doub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E2D641" w14:textId="77777777" w:rsidR="004B7381" w:rsidRPr="0062492A" w:rsidRDefault="004B7381" w:rsidP="003E6114">
            <w:pPr>
              <w:ind w:left="360"/>
              <w:jc w:val="right"/>
              <w:rPr>
                <w:rFonts w:ascii="Calibri" w:eastAsia="Times New Roman" w:hAnsi="Calibri" w:cs="Times New Roman"/>
                <w:b/>
                <w:bCs/>
                <w:color w:val="000000"/>
              </w:rPr>
            </w:pPr>
            <w:r w:rsidRPr="0062492A">
              <w:rPr>
                <w:rFonts w:ascii="Calibri" w:eastAsia="Times New Roman" w:hAnsi="Calibri" w:cs="Times New Roman"/>
                <w:b/>
                <w:bCs/>
                <w:color w:val="000000"/>
              </w:rPr>
              <w:t>1</w:t>
            </w:r>
          </w:p>
        </w:tc>
      </w:tr>
      <w:tr w:rsidR="004B7381" w:rsidRPr="00385632" w14:paraId="761D9F7B" w14:textId="77777777" w:rsidTr="00A22E9A">
        <w:trPr>
          <w:gridAfter w:val="1"/>
          <w:wAfter w:w="8" w:type="dxa"/>
          <w:trHeight w:val="295"/>
        </w:trPr>
        <w:tc>
          <w:tcPr>
            <w:tcW w:w="9959"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33C51B" w14:textId="77777777" w:rsidR="004B7381" w:rsidRPr="00920CAD" w:rsidRDefault="004B7381" w:rsidP="003E6114">
            <w:pPr>
              <w:ind w:left="360"/>
              <w:rPr>
                <w:rFonts w:ascii="Calibri" w:eastAsia="Times New Roman" w:hAnsi="Calibri" w:cs="Times New Roman"/>
                <w:bCs/>
                <w:color w:val="000000"/>
                <w:sz w:val="20"/>
                <w:szCs w:val="20"/>
              </w:rPr>
            </w:pPr>
            <w:r w:rsidRPr="00920CAD">
              <w:rPr>
                <w:rFonts w:ascii="Calibri" w:eastAsia="Times New Roman" w:hAnsi="Calibri" w:cs="Times New Roman"/>
                <w:bCs/>
                <w:color w:val="000000"/>
                <w:sz w:val="20"/>
                <w:szCs w:val="20"/>
              </w:rPr>
              <w:t>*Note: There are no families with 8 children.</w:t>
            </w:r>
          </w:p>
        </w:tc>
      </w:tr>
    </w:tbl>
    <w:p w14:paraId="2384BF83" w14:textId="77777777" w:rsidR="009D1EC1" w:rsidRDefault="009D1EC1" w:rsidP="00D74CF8">
      <w:pPr>
        <w:spacing w:after="240" w:line="240" w:lineRule="auto"/>
        <w:rPr>
          <w:b/>
          <w:bCs/>
          <w:color w:val="FF0000"/>
        </w:rPr>
      </w:pPr>
    </w:p>
    <w:p w14:paraId="69A1594B" w14:textId="5BE0DA6D" w:rsidR="006628D3" w:rsidRPr="006628D3" w:rsidRDefault="006628D3" w:rsidP="006628D3">
      <w:r>
        <w:t xml:space="preserve">Residents of BHA properties are more likely to speak a non-English and non-Spanish language (23.7%) as compared to voucher holders (3.37%). English is overwhelmingly spoken by voucher holders (96.52%). According to the demographics of the </w:t>
      </w:r>
      <w:proofErr w:type="spellStart"/>
      <w:r>
        <w:t>Jurisidiction</w:t>
      </w:r>
      <w:proofErr w:type="spellEnd"/>
      <w:r>
        <w:t xml:space="preserve">, approximately 5.5 % of the population has limited English Proficiency, a significantly smaller amount than that of the BHA population, </w:t>
      </w:r>
    </w:p>
    <w:p w14:paraId="7C3F526B" w14:textId="5C287DFC" w:rsidR="006628D3" w:rsidRPr="00FE57B5" w:rsidRDefault="006628D3" w:rsidP="006628D3">
      <w:r>
        <w:t xml:space="preserve">According to data </w:t>
      </w:r>
      <w:r w:rsidRPr="00FE57B5">
        <w:t xml:space="preserve">collected </w:t>
      </w:r>
      <w:r>
        <w:t>from BHA housing applicants</w:t>
      </w:r>
      <w:r w:rsidRPr="00FE57B5">
        <w:t xml:space="preserve">, 207 </w:t>
      </w:r>
      <w:r>
        <w:t>people</w:t>
      </w:r>
      <w:r w:rsidRPr="00FE57B5">
        <w:t xml:space="preserve"> were identified as possibly having limited English proficiency based on self-reported ability to speak English. The identified households were contacted by mail and in-person by a representative of BHA to determine LEP status. Of the 207 households surveyed, 42 reported speaking English, 143 reported not speaking English, and 22 did not respond to the survey or declined to participate in the interview. Overall, 25 languages other than English were identified </w:t>
      </w:r>
      <w:r>
        <w:t xml:space="preserve">as spoken </w:t>
      </w:r>
      <w:r w:rsidRPr="00FE57B5">
        <w:t>in LEP households.</w:t>
      </w:r>
    </w:p>
    <w:p w14:paraId="322ADB07" w14:textId="18760617" w:rsidR="006628D3" w:rsidRPr="006628D3" w:rsidRDefault="006628D3" w:rsidP="006628D3">
      <w:pPr>
        <w:rPr>
          <w:b/>
        </w:rPr>
      </w:pPr>
      <w:r w:rsidRPr="00FE57B5">
        <w:t xml:space="preserve">Of the 143 households that reported having an LEP status, the largest language group was Nepali, spoken by 29 households, reflecting the influx of refugee populations being resettled in Vermont, </w:t>
      </w:r>
      <w:r w:rsidRPr="00FE57B5">
        <w:lastRenderedPageBreak/>
        <w:t xml:space="preserve">predominately in Chittenden County. This number represents just 1% of the population that is currently being served by BHA. It should be noted that the 22 households that did not participate in the survey were from 7 different countries with differing primary languages, and are not considered to have had a statistically significant impact on the results by remaining unknown. </w:t>
      </w:r>
      <w:r>
        <w:t xml:space="preserve"> (Source: BHA </w:t>
      </w:r>
      <w:r w:rsidRPr="00EE7841">
        <w:rPr>
          <w:i/>
        </w:rPr>
        <w:t>Language Access Plan (LAP) for Limited English Proficiency (LEP)</w:t>
      </w:r>
      <w:r w:rsidRPr="00EE7841">
        <w:t xml:space="preserve">, </w:t>
      </w:r>
      <w:r>
        <w:t xml:space="preserve">August 8, 2014). </w:t>
      </w:r>
    </w:p>
    <w:p w14:paraId="468E3B74" w14:textId="6BFA924D" w:rsidR="004B7381" w:rsidRPr="0071716E" w:rsidRDefault="004B7381" w:rsidP="0071716E">
      <w:pPr>
        <w:spacing w:after="240" w:line="240" w:lineRule="auto"/>
        <w:rPr>
          <w:bCs/>
        </w:rPr>
      </w:pPr>
      <w:r w:rsidRPr="004B7381">
        <w:rPr>
          <w:bCs/>
        </w:rPr>
        <w:t>The majority of persons served with vouchers are served in the City of Burlington, at 49% and the remainder of those are served i</w:t>
      </w:r>
      <w:r w:rsidR="0071716E">
        <w:rPr>
          <w:bCs/>
        </w:rPr>
        <w:t xml:space="preserve">n the surrounding communities. </w:t>
      </w:r>
    </w:p>
    <w:p w14:paraId="290C8567" w14:textId="77777777" w:rsidR="004B7381" w:rsidRDefault="004B7381" w:rsidP="004B7381">
      <w:pPr>
        <w:ind w:left="360"/>
      </w:pPr>
      <w:r>
        <w:rPr>
          <w:b/>
        </w:rPr>
        <w:t>BHA Voucher Holders: Municipality of Residence</w:t>
      </w:r>
    </w:p>
    <w:tbl>
      <w:tblPr>
        <w:tblStyle w:val="TableGrid"/>
        <w:tblW w:w="0" w:type="auto"/>
        <w:tblLook w:val="04A0" w:firstRow="1" w:lastRow="0" w:firstColumn="1" w:lastColumn="0" w:noHBand="0" w:noVBand="1"/>
      </w:tblPr>
      <w:tblGrid>
        <w:gridCol w:w="2808"/>
        <w:gridCol w:w="1890"/>
        <w:gridCol w:w="1980"/>
      </w:tblGrid>
      <w:tr w:rsidR="004B7381" w:rsidRPr="007E467A" w14:paraId="310CE8C5" w14:textId="77777777" w:rsidTr="003E6114">
        <w:tc>
          <w:tcPr>
            <w:tcW w:w="2808" w:type="dxa"/>
          </w:tcPr>
          <w:p w14:paraId="60668C2B"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center"/>
              <w:rPr>
                <w:rFonts w:ascii="Calibri" w:eastAsia="Times New Roman" w:hAnsi="Calibri" w:cs="Times New Roman"/>
                <w:b/>
                <w:bCs/>
                <w:color w:val="000000"/>
              </w:rPr>
            </w:pPr>
            <w:r w:rsidRPr="007E467A">
              <w:rPr>
                <w:rFonts w:ascii="Calibri" w:eastAsia="Times New Roman" w:hAnsi="Calibri" w:cs="Times New Roman"/>
                <w:b/>
                <w:bCs/>
                <w:color w:val="000000"/>
              </w:rPr>
              <w:t>Municipality</w:t>
            </w:r>
          </w:p>
        </w:tc>
        <w:tc>
          <w:tcPr>
            <w:tcW w:w="1890" w:type="dxa"/>
          </w:tcPr>
          <w:p w14:paraId="591C3FF6"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center"/>
              <w:rPr>
                <w:rFonts w:ascii="Calibri" w:eastAsia="Times New Roman" w:hAnsi="Calibri" w:cs="Times New Roman"/>
                <w:b/>
                <w:bCs/>
                <w:color w:val="000000"/>
              </w:rPr>
            </w:pPr>
            <w:r w:rsidRPr="007E467A">
              <w:rPr>
                <w:rFonts w:ascii="Calibri" w:eastAsia="Times New Roman" w:hAnsi="Calibri" w:cs="Times New Roman"/>
                <w:b/>
                <w:bCs/>
                <w:color w:val="000000"/>
              </w:rPr>
              <w:t>Number of Voucher Holders</w:t>
            </w:r>
          </w:p>
        </w:tc>
        <w:tc>
          <w:tcPr>
            <w:tcW w:w="1980" w:type="dxa"/>
          </w:tcPr>
          <w:p w14:paraId="2BCEA140"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center"/>
              <w:rPr>
                <w:rFonts w:ascii="Calibri" w:eastAsia="Times New Roman" w:hAnsi="Calibri" w:cs="Times New Roman"/>
                <w:b/>
                <w:bCs/>
                <w:color w:val="000000"/>
              </w:rPr>
            </w:pPr>
            <w:r>
              <w:rPr>
                <w:rFonts w:ascii="Calibri" w:eastAsia="Times New Roman" w:hAnsi="Calibri" w:cs="Times New Roman"/>
                <w:b/>
                <w:bCs/>
                <w:color w:val="000000"/>
              </w:rPr>
              <w:t>Percent Voucher Holders by Municipality</w:t>
            </w:r>
          </w:p>
        </w:tc>
      </w:tr>
      <w:tr w:rsidR="004B7381" w:rsidRPr="007E467A" w14:paraId="7F723546" w14:textId="77777777" w:rsidTr="003E6114">
        <w:tc>
          <w:tcPr>
            <w:tcW w:w="2808" w:type="dxa"/>
          </w:tcPr>
          <w:p w14:paraId="574AA335"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rPr>
                <w:rFonts w:ascii="Calibri" w:eastAsia="Times New Roman" w:hAnsi="Calibri" w:cs="Times New Roman"/>
                <w:bCs/>
                <w:color w:val="000000"/>
              </w:rPr>
            </w:pPr>
            <w:r w:rsidRPr="007E467A">
              <w:rPr>
                <w:rFonts w:ascii="Calibri" w:eastAsia="Times New Roman" w:hAnsi="Calibri" w:cs="Times New Roman"/>
                <w:bCs/>
                <w:color w:val="000000"/>
              </w:rPr>
              <w:t>Burlington</w:t>
            </w:r>
            <w:r w:rsidRPr="007E467A">
              <w:rPr>
                <w:rFonts w:ascii="Calibri" w:eastAsia="Times New Roman" w:hAnsi="Calibri" w:cs="Times New Roman"/>
                <w:bCs/>
                <w:color w:val="000000"/>
              </w:rPr>
              <w:tab/>
            </w:r>
          </w:p>
        </w:tc>
        <w:tc>
          <w:tcPr>
            <w:tcW w:w="1890" w:type="dxa"/>
          </w:tcPr>
          <w:p w14:paraId="656419B2"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sidRPr="007E467A">
              <w:rPr>
                <w:rFonts w:ascii="Calibri" w:eastAsia="Times New Roman" w:hAnsi="Calibri" w:cs="Times New Roman"/>
                <w:bCs/>
                <w:color w:val="000000"/>
              </w:rPr>
              <w:t>789</w:t>
            </w:r>
          </w:p>
        </w:tc>
        <w:tc>
          <w:tcPr>
            <w:tcW w:w="1980" w:type="dxa"/>
          </w:tcPr>
          <w:p w14:paraId="4C3A9BA7"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Pr>
                <w:rFonts w:ascii="Calibri" w:eastAsia="Times New Roman" w:hAnsi="Calibri" w:cs="Times New Roman"/>
                <w:bCs/>
                <w:color w:val="000000"/>
              </w:rPr>
              <w:t>42%</w:t>
            </w:r>
          </w:p>
        </w:tc>
      </w:tr>
      <w:tr w:rsidR="004B7381" w:rsidRPr="007E467A" w14:paraId="6B919722" w14:textId="77777777" w:rsidTr="003E6114">
        <w:tc>
          <w:tcPr>
            <w:tcW w:w="2808" w:type="dxa"/>
          </w:tcPr>
          <w:p w14:paraId="5B72B5F0"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rPr>
                <w:rFonts w:ascii="Calibri" w:eastAsia="Times New Roman" w:hAnsi="Calibri" w:cs="Times New Roman"/>
                <w:bCs/>
                <w:color w:val="000000"/>
              </w:rPr>
            </w:pPr>
            <w:r w:rsidRPr="007E467A">
              <w:rPr>
                <w:rFonts w:ascii="Calibri" w:eastAsia="Times New Roman" w:hAnsi="Calibri" w:cs="Times New Roman"/>
                <w:bCs/>
                <w:color w:val="000000"/>
              </w:rPr>
              <w:t>Burlington - New North End</w:t>
            </w:r>
          </w:p>
        </w:tc>
        <w:tc>
          <w:tcPr>
            <w:tcW w:w="1890" w:type="dxa"/>
          </w:tcPr>
          <w:p w14:paraId="5ABAAD99"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sidRPr="007E467A">
              <w:rPr>
                <w:rFonts w:ascii="Calibri" w:eastAsia="Times New Roman" w:hAnsi="Calibri" w:cs="Times New Roman"/>
                <w:bCs/>
                <w:color w:val="000000"/>
              </w:rPr>
              <w:t>124</w:t>
            </w:r>
          </w:p>
        </w:tc>
        <w:tc>
          <w:tcPr>
            <w:tcW w:w="1980" w:type="dxa"/>
          </w:tcPr>
          <w:p w14:paraId="46A2B89F"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Pr>
                <w:rFonts w:ascii="Calibri" w:eastAsia="Times New Roman" w:hAnsi="Calibri" w:cs="Times New Roman"/>
                <w:bCs/>
                <w:color w:val="000000"/>
              </w:rPr>
              <w:t>7%</w:t>
            </w:r>
          </w:p>
        </w:tc>
      </w:tr>
      <w:tr w:rsidR="004B7381" w:rsidRPr="007E467A" w14:paraId="7E2833C4" w14:textId="77777777" w:rsidTr="003E6114">
        <w:tc>
          <w:tcPr>
            <w:tcW w:w="2808" w:type="dxa"/>
          </w:tcPr>
          <w:p w14:paraId="4B5FD85B"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rPr>
                <w:rFonts w:ascii="Calibri" w:eastAsia="Times New Roman" w:hAnsi="Calibri" w:cs="Times New Roman"/>
                <w:bCs/>
                <w:color w:val="000000"/>
              </w:rPr>
            </w:pPr>
            <w:r w:rsidRPr="007E467A">
              <w:rPr>
                <w:rFonts w:ascii="Calibri" w:eastAsia="Times New Roman" w:hAnsi="Calibri" w:cs="Times New Roman"/>
                <w:bCs/>
                <w:color w:val="000000"/>
              </w:rPr>
              <w:t>S. Burlington</w:t>
            </w:r>
            <w:r w:rsidRPr="007E467A">
              <w:rPr>
                <w:rFonts w:ascii="Calibri" w:eastAsia="Times New Roman" w:hAnsi="Calibri" w:cs="Times New Roman"/>
                <w:bCs/>
                <w:color w:val="000000"/>
              </w:rPr>
              <w:tab/>
            </w:r>
          </w:p>
        </w:tc>
        <w:tc>
          <w:tcPr>
            <w:tcW w:w="1890" w:type="dxa"/>
          </w:tcPr>
          <w:p w14:paraId="36FBEF34"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sidRPr="007E467A">
              <w:rPr>
                <w:rFonts w:ascii="Calibri" w:eastAsia="Times New Roman" w:hAnsi="Calibri" w:cs="Times New Roman"/>
                <w:bCs/>
                <w:color w:val="000000"/>
              </w:rPr>
              <w:t>227</w:t>
            </w:r>
          </w:p>
        </w:tc>
        <w:tc>
          <w:tcPr>
            <w:tcW w:w="1980" w:type="dxa"/>
          </w:tcPr>
          <w:p w14:paraId="7A14770D"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Pr>
                <w:rFonts w:ascii="Calibri" w:eastAsia="Times New Roman" w:hAnsi="Calibri" w:cs="Times New Roman"/>
                <w:bCs/>
                <w:color w:val="000000"/>
              </w:rPr>
              <w:t>12%</w:t>
            </w:r>
          </w:p>
        </w:tc>
      </w:tr>
      <w:tr w:rsidR="004B7381" w:rsidRPr="007E467A" w14:paraId="2C508110" w14:textId="77777777" w:rsidTr="003E6114">
        <w:tc>
          <w:tcPr>
            <w:tcW w:w="2808" w:type="dxa"/>
          </w:tcPr>
          <w:p w14:paraId="6756E4C1"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rPr>
                <w:rFonts w:ascii="Calibri" w:eastAsia="Times New Roman" w:hAnsi="Calibri" w:cs="Times New Roman"/>
                <w:bCs/>
                <w:color w:val="000000"/>
              </w:rPr>
            </w:pPr>
            <w:r w:rsidRPr="007E467A">
              <w:rPr>
                <w:rFonts w:ascii="Calibri" w:eastAsia="Times New Roman" w:hAnsi="Calibri" w:cs="Times New Roman"/>
                <w:bCs/>
                <w:color w:val="000000"/>
              </w:rPr>
              <w:t>Winooski</w:t>
            </w:r>
            <w:r w:rsidRPr="007E467A">
              <w:rPr>
                <w:rFonts w:ascii="Calibri" w:eastAsia="Times New Roman" w:hAnsi="Calibri" w:cs="Times New Roman"/>
                <w:bCs/>
                <w:color w:val="000000"/>
              </w:rPr>
              <w:tab/>
            </w:r>
          </w:p>
        </w:tc>
        <w:tc>
          <w:tcPr>
            <w:tcW w:w="1890" w:type="dxa"/>
          </w:tcPr>
          <w:p w14:paraId="0B92B860"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sidRPr="007E467A">
              <w:rPr>
                <w:rFonts w:ascii="Calibri" w:eastAsia="Times New Roman" w:hAnsi="Calibri" w:cs="Times New Roman"/>
                <w:bCs/>
                <w:color w:val="000000"/>
              </w:rPr>
              <w:t>246</w:t>
            </w:r>
          </w:p>
        </w:tc>
        <w:tc>
          <w:tcPr>
            <w:tcW w:w="1980" w:type="dxa"/>
          </w:tcPr>
          <w:p w14:paraId="16B802CF"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Pr>
                <w:rFonts w:ascii="Calibri" w:eastAsia="Times New Roman" w:hAnsi="Calibri" w:cs="Times New Roman"/>
                <w:bCs/>
                <w:color w:val="000000"/>
              </w:rPr>
              <w:t>13%</w:t>
            </w:r>
          </w:p>
        </w:tc>
      </w:tr>
      <w:tr w:rsidR="004B7381" w:rsidRPr="007E467A" w14:paraId="08E70FC9" w14:textId="77777777" w:rsidTr="003E6114">
        <w:tc>
          <w:tcPr>
            <w:tcW w:w="2808" w:type="dxa"/>
          </w:tcPr>
          <w:p w14:paraId="27740FB1"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rPr>
                <w:rFonts w:ascii="Calibri" w:eastAsia="Times New Roman" w:hAnsi="Calibri" w:cs="Times New Roman"/>
                <w:bCs/>
                <w:color w:val="000000"/>
              </w:rPr>
            </w:pPr>
            <w:r w:rsidRPr="007E467A">
              <w:rPr>
                <w:rFonts w:ascii="Calibri" w:eastAsia="Times New Roman" w:hAnsi="Calibri" w:cs="Times New Roman"/>
                <w:bCs/>
                <w:color w:val="000000"/>
              </w:rPr>
              <w:t>Colchester</w:t>
            </w:r>
            <w:r w:rsidRPr="007E467A">
              <w:rPr>
                <w:rFonts w:ascii="Calibri" w:eastAsia="Times New Roman" w:hAnsi="Calibri" w:cs="Times New Roman"/>
                <w:bCs/>
                <w:color w:val="000000"/>
              </w:rPr>
              <w:tab/>
            </w:r>
          </w:p>
        </w:tc>
        <w:tc>
          <w:tcPr>
            <w:tcW w:w="1890" w:type="dxa"/>
          </w:tcPr>
          <w:p w14:paraId="2A8ABAB7"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sidRPr="007E467A">
              <w:rPr>
                <w:rFonts w:ascii="Calibri" w:eastAsia="Times New Roman" w:hAnsi="Calibri" w:cs="Times New Roman"/>
                <w:bCs/>
                <w:color w:val="000000"/>
              </w:rPr>
              <w:t>183</w:t>
            </w:r>
          </w:p>
        </w:tc>
        <w:tc>
          <w:tcPr>
            <w:tcW w:w="1980" w:type="dxa"/>
          </w:tcPr>
          <w:p w14:paraId="2729C7E9"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Pr>
                <w:rFonts w:ascii="Calibri" w:eastAsia="Times New Roman" w:hAnsi="Calibri" w:cs="Times New Roman"/>
                <w:bCs/>
                <w:color w:val="000000"/>
              </w:rPr>
              <w:t>10%</w:t>
            </w:r>
          </w:p>
        </w:tc>
      </w:tr>
      <w:tr w:rsidR="004B7381" w:rsidRPr="007E467A" w14:paraId="44363469" w14:textId="77777777" w:rsidTr="003E6114">
        <w:tc>
          <w:tcPr>
            <w:tcW w:w="2808" w:type="dxa"/>
          </w:tcPr>
          <w:p w14:paraId="23555934"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rPr>
                <w:rFonts w:ascii="Calibri" w:eastAsia="Times New Roman" w:hAnsi="Calibri" w:cs="Times New Roman"/>
                <w:bCs/>
                <w:color w:val="000000"/>
              </w:rPr>
            </w:pPr>
            <w:r w:rsidRPr="007E467A">
              <w:rPr>
                <w:rFonts w:ascii="Calibri" w:eastAsia="Times New Roman" w:hAnsi="Calibri" w:cs="Times New Roman"/>
                <w:bCs/>
                <w:color w:val="000000"/>
              </w:rPr>
              <w:t>Essex</w:t>
            </w:r>
            <w:r w:rsidRPr="007E467A">
              <w:rPr>
                <w:rFonts w:ascii="Calibri" w:eastAsia="Times New Roman" w:hAnsi="Calibri" w:cs="Times New Roman"/>
                <w:bCs/>
                <w:color w:val="000000"/>
              </w:rPr>
              <w:tab/>
            </w:r>
          </w:p>
        </w:tc>
        <w:tc>
          <w:tcPr>
            <w:tcW w:w="1890" w:type="dxa"/>
          </w:tcPr>
          <w:p w14:paraId="1C4BE8CC"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sidRPr="007E467A">
              <w:rPr>
                <w:rFonts w:ascii="Calibri" w:eastAsia="Times New Roman" w:hAnsi="Calibri" w:cs="Times New Roman"/>
                <w:bCs/>
                <w:color w:val="000000"/>
              </w:rPr>
              <w:t>171</w:t>
            </w:r>
          </w:p>
        </w:tc>
        <w:tc>
          <w:tcPr>
            <w:tcW w:w="1980" w:type="dxa"/>
          </w:tcPr>
          <w:p w14:paraId="272EA9D6" w14:textId="77777777" w:rsidR="004B7381"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Pr>
                <w:rFonts w:ascii="Calibri" w:eastAsia="Times New Roman" w:hAnsi="Calibri" w:cs="Times New Roman"/>
                <w:bCs/>
                <w:color w:val="000000"/>
              </w:rPr>
              <w:t>9%</w:t>
            </w:r>
          </w:p>
        </w:tc>
      </w:tr>
      <w:tr w:rsidR="004B7381" w:rsidRPr="007E467A" w14:paraId="43FE9879" w14:textId="77777777" w:rsidTr="003E6114">
        <w:tc>
          <w:tcPr>
            <w:tcW w:w="2808" w:type="dxa"/>
          </w:tcPr>
          <w:p w14:paraId="6E85666D"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rPr>
                <w:rFonts w:ascii="Calibri" w:eastAsia="Times New Roman" w:hAnsi="Calibri" w:cs="Times New Roman"/>
                <w:bCs/>
                <w:color w:val="000000"/>
              </w:rPr>
            </w:pPr>
            <w:r w:rsidRPr="007E467A">
              <w:rPr>
                <w:rFonts w:ascii="Calibri" w:eastAsia="Times New Roman" w:hAnsi="Calibri" w:cs="Times New Roman"/>
                <w:bCs/>
                <w:color w:val="000000"/>
              </w:rPr>
              <w:t>Richmond</w:t>
            </w:r>
            <w:r w:rsidRPr="007E467A">
              <w:rPr>
                <w:rFonts w:ascii="Calibri" w:eastAsia="Times New Roman" w:hAnsi="Calibri" w:cs="Times New Roman"/>
                <w:bCs/>
                <w:color w:val="000000"/>
              </w:rPr>
              <w:tab/>
            </w:r>
          </w:p>
        </w:tc>
        <w:tc>
          <w:tcPr>
            <w:tcW w:w="1890" w:type="dxa"/>
          </w:tcPr>
          <w:p w14:paraId="0EB74BFA"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sidRPr="007E467A">
              <w:rPr>
                <w:rFonts w:ascii="Calibri" w:eastAsia="Times New Roman" w:hAnsi="Calibri" w:cs="Times New Roman"/>
                <w:bCs/>
                <w:color w:val="000000"/>
              </w:rPr>
              <w:t>1</w:t>
            </w:r>
          </w:p>
        </w:tc>
        <w:tc>
          <w:tcPr>
            <w:tcW w:w="1980" w:type="dxa"/>
          </w:tcPr>
          <w:p w14:paraId="28EA6A59"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Pr>
                <w:rFonts w:ascii="Calibri" w:eastAsia="Times New Roman" w:hAnsi="Calibri" w:cs="Times New Roman"/>
                <w:bCs/>
                <w:color w:val="000000"/>
              </w:rPr>
              <w:t>0%</w:t>
            </w:r>
          </w:p>
        </w:tc>
      </w:tr>
      <w:tr w:rsidR="004B7381" w:rsidRPr="007E467A" w14:paraId="36F2E90E" w14:textId="77777777" w:rsidTr="003E6114">
        <w:tc>
          <w:tcPr>
            <w:tcW w:w="2808" w:type="dxa"/>
          </w:tcPr>
          <w:p w14:paraId="192C2005"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rPr>
                <w:rFonts w:ascii="Calibri" w:eastAsia="Times New Roman" w:hAnsi="Calibri" w:cs="Times New Roman"/>
                <w:bCs/>
                <w:color w:val="000000"/>
              </w:rPr>
            </w:pPr>
            <w:r w:rsidRPr="007E467A">
              <w:rPr>
                <w:rFonts w:ascii="Calibri" w:eastAsia="Times New Roman" w:hAnsi="Calibri" w:cs="Times New Roman"/>
                <w:bCs/>
                <w:color w:val="000000"/>
              </w:rPr>
              <w:t>Shelburne</w:t>
            </w:r>
            <w:r w:rsidRPr="007E467A">
              <w:rPr>
                <w:rFonts w:ascii="Calibri" w:eastAsia="Times New Roman" w:hAnsi="Calibri" w:cs="Times New Roman"/>
                <w:bCs/>
                <w:color w:val="000000"/>
              </w:rPr>
              <w:tab/>
            </w:r>
          </w:p>
        </w:tc>
        <w:tc>
          <w:tcPr>
            <w:tcW w:w="1890" w:type="dxa"/>
          </w:tcPr>
          <w:p w14:paraId="4CD50CEC"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sidRPr="007E467A">
              <w:rPr>
                <w:rFonts w:ascii="Calibri" w:eastAsia="Times New Roman" w:hAnsi="Calibri" w:cs="Times New Roman"/>
                <w:bCs/>
                <w:color w:val="000000"/>
              </w:rPr>
              <w:t>40</w:t>
            </w:r>
          </w:p>
        </w:tc>
        <w:tc>
          <w:tcPr>
            <w:tcW w:w="1980" w:type="dxa"/>
          </w:tcPr>
          <w:p w14:paraId="245DA0EA"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Pr>
                <w:rFonts w:ascii="Calibri" w:eastAsia="Times New Roman" w:hAnsi="Calibri" w:cs="Times New Roman"/>
                <w:bCs/>
                <w:color w:val="000000"/>
              </w:rPr>
              <w:t>2%</w:t>
            </w:r>
          </w:p>
        </w:tc>
      </w:tr>
      <w:tr w:rsidR="004B7381" w:rsidRPr="007E467A" w14:paraId="38620D84" w14:textId="77777777" w:rsidTr="003E6114">
        <w:tc>
          <w:tcPr>
            <w:tcW w:w="2808" w:type="dxa"/>
          </w:tcPr>
          <w:p w14:paraId="1FE392D5"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rPr>
                <w:rFonts w:ascii="Calibri" w:eastAsia="Times New Roman" w:hAnsi="Calibri" w:cs="Times New Roman"/>
                <w:bCs/>
                <w:color w:val="000000"/>
              </w:rPr>
            </w:pPr>
            <w:r w:rsidRPr="007E467A">
              <w:rPr>
                <w:rFonts w:ascii="Calibri" w:eastAsia="Times New Roman" w:hAnsi="Calibri" w:cs="Times New Roman"/>
                <w:bCs/>
                <w:color w:val="000000"/>
              </w:rPr>
              <w:t>Williston</w:t>
            </w:r>
            <w:r w:rsidRPr="007E467A">
              <w:rPr>
                <w:rFonts w:ascii="Calibri" w:eastAsia="Times New Roman" w:hAnsi="Calibri" w:cs="Times New Roman"/>
                <w:bCs/>
                <w:color w:val="000000"/>
              </w:rPr>
              <w:tab/>
            </w:r>
          </w:p>
        </w:tc>
        <w:tc>
          <w:tcPr>
            <w:tcW w:w="1890" w:type="dxa"/>
          </w:tcPr>
          <w:p w14:paraId="7884B98F"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sidRPr="007E467A">
              <w:rPr>
                <w:rFonts w:ascii="Calibri" w:eastAsia="Times New Roman" w:hAnsi="Calibri" w:cs="Times New Roman"/>
                <w:bCs/>
                <w:color w:val="000000"/>
              </w:rPr>
              <w:t>68</w:t>
            </w:r>
          </w:p>
        </w:tc>
        <w:tc>
          <w:tcPr>
            <w:tcW w:w="1980" w:type="dxa"/>
          </w:tcPr>
          <w:p w14:paraId="16CFAE65"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rFonts w:ascii="Calibri" w:eastAsia="Times New Roman" w:hAnsi="Calibri" w:cs="Times New Roman"/>
                <w:bCs/>
                <w:color w:val="000000"/>
              </w:rPr>
            </w:pPr>
            <w:r>
              <w:rPr>
                <w:rFonts w:ascii="Calibri" w:eastAsia="Times New Roman" w:hAnsi="Calibri" w:cs="Times New Roman"/>
                <w:bCs/>
                <w:color w:val="000000"/>
              </w:rPr>
              <w:t>4%</w:t>
            </w:r>
          </w:p>
        </w:tc>
      </w:tr>
      <w:tr w:rsidR="004B7381" w:rsidRPr="007E467A" w14:paraId="3574AF72" w14:textId="77777777" w:rsidTr="003E6114">
        <w:tc>
          <w:tcPr>
            <w:tcW w:w="2808" w:type="dxa"/>
          </w:tcPr>
          <w:p w14:paraId="24AD5CF8"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pPr>
            <w:r w:rsidRPr="007E467A">
              <w:t>Out of State</w:t>
            </w:r>
          </w:p>
        </w:tc>
        <w:tc>
          <w:tcPr>
            <w:tcW w:w="1890" w:type="dxa"/>
          </w:tcPr>
          <w:p w14:paraId="29D44BAB"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pPr>
            <w:r w:rsidRPr="007E467A">
              <w:t>18</w:t>
            </w:r>
          </w:p>
        </w:tc>
        <w:tc>
          <w:tcPr>
            <w:tcW w:w="1980" w:type="dxa"/>
          </w:tcPr>
          <w:p w14:paraId="5067B417"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pPr>
            <w:r>
              <w:t>1%</w:t>
            </w:r>
          </w:p>
        </w:tc>
      </w:tr>
      <w:tr w:rsidR="004B7381" w:rsidRPr="007E467A" w14:paraId="4473DBD4" w14:textId="77777777" w:rsidTr="003E6114">
        <w:tc>
          <w:tcPr>
            <w:tcW w:w="2808" w:type="dxa"/>
          </w:tcPr>
          <w:p w14:paraId="587B8121"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b/>
              </w:rPr>
            </w:pPr>
            <w:r w:rsidRPr="007E467A">
              <w:rPr>
                <w:b/>
              </w:rPr>
              <w:t>TOTAL</w:t>
            </w:r>
          </w:p>
        </w:tc>
        <w:tc>
          <w:tcPr>
            <w:tcW w:w="1890" w:type="dxa"/>
          </w:tcPr>
          <w:p w14:paraId="1515AB3A"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right"/>
              <w:rPr>
                <w:b/>
              </w:rPr>
            </w:pPr>
            <w:r w:rsidRPr="007E467A">
              <w:rPr>
                <w:b/>
              </w:rPr>
              <w:fldChar w:fldCharType="begin"/>
            </w:r>
            <w:r w:rsidRPr="007E467A">
              <w:rPr>
                <w:b/>
              </w:rPr>
              <w:instrText xml:space="preserve"> =SUM(ABOVE) </w:instrText>
            </w:r>
            <w:r w:rsidRPr="007E467A">
              <w:rPr>
                <w:b/>
              </w:rPr>
              <w:fldChar w:fldCharType="separate"/>
            </w:r>
            <w:r>
              <w:rPr>
                <w:b/>
                <w:noProof/>
              </w:rPr>
              <w:t>1867</w:t>
            </w:r>
            <w:r w:rsidRPr="007E467A">
              <w:rPr>
                <w:b/>
              </w:rPr>
              <w:fldChar w:fldCharType="end"/>
            </w:r>
          </w:p>
        </w:tc>
        <w:tc>
          <w:tcPr>
            <w:tcW w:w="1980" w:type="dxa"/>
          </w:tcPr>
          <w:p w14:paraId="7B569A8C" w14:textId="77777777" w:rsidR="004B7381" w:rsidRPr="007E467A" w:rsidRDefault="004B7381" w:rsidP="003E6114">
            <w:pPr>
              <w:tabs>
                <w:tab w:val="left" w:pos="1092"/>
                <w:tab w:val="left" w:pos="2377"/>
                <w:tab w:val="left" w:pos="3371"/>
                <w:tab w:val="left" w:pos="4463"/>
                <w:tab w:val="left" w:pos="5129"/>
                <w:tab w:val="left" w:pos="6183"/>
                <w:tab w:val="left" w:pos="7245"/>
                <w:tab w:val="left" w:pos="8203"/>
              </w:tabs>
              <w:ind w:left="360"/>
              <w:jc w:val="center"/>
              <w:rPr>
                <w:b/>
              </w:rPr>
            </w:pPr>
            <w:r>
              <w:rPr>
                <w:b/>
              </w:rPr>
              <w:t>100%</w:t>
            </w:r>
          </w:p>
        </w:tc>
      </w:tr>
    </w:tbl>
    <w:p w14:paraId="0267924E" w14:textId="77777777" w:rsidR="004B7381" w:rsidRPr="004D1A4A" w:rsidRDefault="004B7381" w:rsidP="00D74CF8">
      <w:pPr>
        <w:spacing w:after="240" w:line="240" w:lineRule="auto"/>
        <w:rPr>
          <w:b/>
          <w:bCs/>
          <w:color w:val="FF0000"/>
        </w:rPr>
      </w:pPr>
    </w:p>
    <w:p w14:paraId="7E26A87E" w14:textId="5A642602" w:rsidR="0025019A" w:rsidRDefault="000F55FC" w:rsidP="5F884969">
      <w:pPr>
        <w:spacing w:after="0"/>
        <w:rPr>
          <w:sz w:val="20"/>
          <w:szCs w:val="20"/>
        </w:rPr>
      </w:pPr>
      <w:r w:rsidRPr="0071716E">
        <w:rPr>
          <w:b/>
          <w:bCs/>
          <w:i/>
          <w:iCs/>
          <w:sz w:val="20"/>
          <w:szCs w:val="20"/>
        </w:rPr>
        <w:t>Table 25</w:t>
      </w:r>
      <w:r w:rsidR="5F884969" w:rsidRPr="0071716E">
        <w:rPr>
          <w:b/>
          <w:bCs/>
          <w:i/>
          <w:iCs/>
          <w:sz w:val="20"/>
          <w:szCs w:val="20"/>
        </w:rPr>
        <w:t>:</w:t>
      </w:r>
      <w:r w:rsidR="5F884969" w:rsidRPr="0071716E">
        <w:rPr>
          <w:sz w:val="20"/>
          <w:szCs w:val="20"/>
        </w:rPr>
        <w:t xml:space="preserve"> </w:t>
      </w:r>
      <w:r w:rsidR="5F884969" w:rsidRPr="5F884969">
        <w:rPr>
          <w:sz w:val="20"/>
          <w:szCs w:val="20"/>
        </w:rPr>
        <w:t xml:space="preserve">Demographics of Publicly Supported Housing by Program Category in Burlington, VT. Source: APSH. </w:t>
      </w:r>
    </w:p>
    <w:tbl>
      <w:tblPr>
        <w:tblW w:w="9355" w:type="dxa"/>
        <w:tblInd w:w="-5" w:type="dxa"/>
        <w:tblLook w:val="04A0" w:firstRow="1" w:lastRow="0" w:firstColumn="1" w:lastColumn="0" w:noHBand="0" w:noVBand="1"/>
      </w:tblPr>
      <w:tblGrid>
        <w:gridCol w:w="1620"/>
        <w:gridCol w:w="720"/>
        <w:gridCol w:w="1080"/>
        <w:gridCol w:w="810"/>
        <w:gridCol w:w="996"/>
        <w:gridCol w:w="950"/>
        <w:gridCol w:w="1121"/>
        <w:gridCol w:w="1079"/>
        <w:gridCol w:w="979"/>
      </w:tblGrid>
      <w:tr w:rsidR="0025019A" w:rsidRPr="002750D4" w14:paraId="3CB62BFF" w14:textId="77777777" w:rsidTr="5F884969">
        <w:trPr>
          <w:trHeight w:val="620"/>
        </w:trPr>
        <w:tc>
          <w:tcPr>
            <w:tcW w:w="935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F1786" w14:textId="4F7D4DBD" w:rsidR="0025019A" w:rsidRPr="002750D4" w:rsidRDefault="009A139C" w:rsidP="5F884969">
            <w:pPr>
              <w:spacing w:after="0" w:line="240" w:lineRule="auto"/>
              <w:rPr>
                <w:rFonts w:ascii="Calibri" w:eastAsia="Times New Roman" w:hAnsi="Calibri" w:cs="Times New Roman"/>
                <w:b/>
                <w:bCs/>
                <w:color w:val="000000" w:themeColor="text1"/>
              </w:rPr>
            </w:pPr>
            <w:r>
              <w:rPr>
                <w:rFonts w:ascii="Calibri" w:eastAsia="Times New Roman" w:hAnsi="Calibri" w:cs="Times New Roman"/>
                <w:b/>
                <w:bCs/>
                <w:color w:val="000000" w:themeColor="text1"/>
              </w:rPr>
              <w:t>Table 25</w:t>
            </w:r>
            <w:r w:rsidR="5F884969" w:rsidRPr="5F884969">
              <w:rPr>
                <w:rFonts w:ascii="Calibri" w:eastAsia="Times New Roman" w:hAnsi="Calibri" w:cs="Times New Roman"/>
                <w:b/>
                <w:bCs/>
                <w:color w:val="000000" w:themeColor="text1"/>
              </w:rPr>
              <w:t>: Publicly Supported Housing by Program Category: Units by Number of Bedrooms and Number of Children</w:t>
            </w:r>
          </w:p>
        </w:tc>
      </w:tr>
      <w:tr w:rsidR="0025019A" w:rsidRPr="002750D4" w14:paraId="3058234F" w14:textId="77777777" w:rsidTr="5F884969">
        <w:trPr>
          <w:trHeight w:val="44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3C2B7F2" w14:textId="77777777" w:rsidR="0025019A" w:rsidRPr="002750D4"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7735" w:type="dxa"/>
            <w:gridSpan w:val="8"/>
            <w:tcBorders>
              <w:top w:val="single" w:sz="4" w:space="0" w:color="auto"/>
              <w:left w:val="nil"/>
              <w:bottom w:val="single" w:sz="4" w:space="0" w:color="auto"/>
              <w:right w:val="single" w:sz="4" w:space="0" w:color="auto"/>
            </w:tcBorders>
            <w:shd w:val="clear" w:color="auto" w:fill="auto"/>
            <w:vAlign w:val="bottom"/>
            <w:hideMark/>
          </w:tcPr>
          <w:p w14:paraId="50177E61"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 VT Jurisdiction</w:t>
            </w:r>
          </w:p>
        </w:tc>
      </w:tr>
      <w:tr w:rsidR="0025019A" w:rsidRPr="002750D4" w14:paraId="47FB3F0C" w14:textId="77777777" w:rsidTr="5F884969">
        <w:trPr>
          <w:trHeight w:val="89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04F5FE5" w14:textId="77777777" w:rsidR="0025019A" w:rsidRPr="002750D4"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1800" w:type="dxa"/>
            <w:gridSpan w:val="2"/>
            <w:tcBorders>
              <w:top w:val="single" w:sz="4" w:space="0" w:color="auto"/>
              <w:left w:val="nil"/>
              <w:bottom w:val="single" w:sz="4" w:space="0" w:color="auto"/>
              <w:right w:val="single" w:sz="4" w:space="0" w:color="auto"/>
            </w:tcBorders>
            <w:shd w:val="clear" w:color="auto" w:fill="auto"/>
            <w:vAlign w:val="bottom"/>
            <w:hideMark/>
          </w:tcPr>
          <w:p w14:paraId="401EB7FF"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xml:space="preserve">Households in 0-1 Bedroom </w:t>
            </w:r>
            <w:r w:rsidR="0025019A">
              <w:br/>
            </w:r>
            <w:r w:rsidRPr="5F884969">
              <w:rPr>
                <w:rFonts w:ascii="Calibri" w:eastAsia="Times New Roman" w:hAnsi="Calibri" w:cs="Times New Roman"/>
                <w:b/>
                <w:bCs/>
                <w:color w:val="000000" w:themeColor="text1"/>
              </w:rPr>
              <w:t>Units</w:t>
            </w:r>
          </w:p>
        </w:tc>
        <w:tc>
          <w:tcPr>
            <w:tcW w:w="1806" w:type="dxa"/>
            <w:gridSpan w:val="2"/>
            <w:tcBorders>
              <w:top w:val="single" w:sz="4" w:space="0" w:color="auto"/>
              <w:left w:val="nil"/>
              <w:bottom w:val="single" w:sz="4" w:space="0" w:color="auto"/>
              <w:right w:val="single" w:sz="4" w:space="0" w:color="auto"/>
            </w:tcBorders>
            <w:shd w:val="clear" w:color="auto" w:fill="auto"/>
            <w:vAlign w:val="bottom"/>
            <w:hideMark/>
          </w:tcPr>
          <w:p w14:paraId="75858960"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xml:space="preserve">Households in 2 Bedroom </w:t>
            </w:r>
            <w:r w:rsidR="0025019A">
              <w:br/>
            </w:r>
            <w:r w:rsidRPr="5F884969">
              <w:rPr>
                <w:rFonts w:ascii="Calibri" w:eastAsia="Times New Roman" w:hAnsi="Calibri" w:cs="Times New Roman"/>
                <w:b/>
                <w:bCs/>
                <w:color w:val="000000" w:themeColor="text1"/>
              </w:rPr>
              <w:t>Units</w:t>
            </w:r>
          </w:p>
        </w:tc>
        <w:tc>
          <w:tcPr>
            <w:tcW w:w="2071" w:type="dxa"/>
            <w:gridSpan w:val="2"/>
            <w:tcBorders>
              <w:top w:val="single" w:sz="4" w:space="0" w:color="auto"/>
              <w:left w:val="nil"/>
              <w:bottom w:val="single" w:sz="4" w:space="0" w:color="auto"/>
              <w:right w:val="single" w:sz="4" w:space="0" w:color="auto"/>
            </w:tcBorders>
            <w:shd w:val="clear" w:color="auto" w:fill="auto"/>
            <w:vAlign w:val="bottom"/>
            <w:hideMark/>
          </w:tcPr>
          <w:p w14:paraId="1EF41C9E"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xml:space="preserve">Households in 3+ Bedroom </w:t>
            </w:r>
            <w:r w:rsidR="0025019A">
              <w:br/>
            </w:r>
            <w:r w:rsidRPr="5F884969">
              <w:rPr>
                <w:rFonts w:ascii="Calibri" w:eastAsia="Times New Roman" w:hAnsi="Calibri" w:cs="Times New Roman"/>
                <w:b/>
                <w:bCs/>
                <w:color w:val="000000" w:themeColor="text1"/>
              </w:rPr>
              <w:t>Units</w:t>
            </w:r>
          </w:p>
        </w:tc>
        <w:tc>
          <w:tcPr>
            <w:tcW w:w="2058" w:type="dxa"/>
            <w:gridSpan w:val="2"/>
            <w:tcBorders>
              <w:top w:val="single" w:sz="4" w:space="0" w:color="auto"/>
              <w:left w:val="nil"/>
              <w:bottom w:val="single" w:sz="4" w:space="0" w:color="auto"/>
              <w:right w:val="single" w:sz="4" w:space="0" w:color="auto"/>
            </w:tcBorders>
            <w:shd w:val="clear" w:color="auto" w:fill="auto"/>
            <w:vAlign w:val="bottom"/>
            <w:hideMark/>
          </w:tcPr>
          <w:p w14:paraId="15FA8CE1"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Households with Children</w:t>
            </w:r>
          </w:p>
        </w:tc>
      </w:tr>
      <w:tr w:rsidR="0025019A" w:rsidRPr="002750D4" w14:paraId="60E45589" w14:textId="77777777" w:rsidTr="5F884969">
        <w:trPr>
          <w:trHeight w:val="420"/>
        </w:trPr>
        <w:tc>
          <w:tcPr>
            <w:tcW w:w="1620" w:type="dxa"/>
            <w:tcBorders>
              <w:top w:val="nil"/>
              <w:left w:val="single" w:sz="4" w:space="0" w:color="auto"/>
              <w:bottom w:val="single" w:sz="4" w:space="0" w:color="auto"/>
              <w:right w:val="single" w:sz="4" w:space="0" w:color="auto"/>
            </w:tcBorders>
            <w:shd w:val="clear" w:color="auto" w:fill="DCE6F1"/>
            <w:noWrap/>
            <w:vAlign w:val="bottom"/>
            <w:hideMark/>
          </w:tcPr>
          <w:p w14:paraId="0CAE88C1" w14:textId="77777777" w:rsidR="0025019A" w:rsidRPr="002750D4"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Housing Type</w:t>
            </w:r>
          </w:p>
        </w:tc>
        <w:tc>
          <w:tcPr>
            <w:tcW w:w="720" w:type="dxa"/>
            <w:tcBorders>
              <w:top w:val="nil"/>
              <w:left w:val="nil"/>
              <w:bottom w:val="single" w:sz="4" w:space="0" w:color="auto"/>
              <w:right w:val="single" w:sz="4" w:space="0" w:color="auto"/>
            </w:tcBorders>
            <w:shd w:val="clear" w:color="auto" w:fill="DCE6F1"/>
            <w:noWrap/>
            <w:vAlign w:val="bottom"/>
            <w:hideMark/>
          </w:tcPr>
          <w:p w14:paraId="1EC0FBFA"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1080" w:type="dxa"/>
            <w:tcBorders>
              <w:top w:val="nil"/>
              <w:left w:val="nil"/>
              <w:bottom w:val="single" w:sz="4" w:space="0" w:color="auto"/>
              <w:right w:val="single" w:sz="4" w:space="0" w:color="auto"/>
            </w:tcBorders>
            <w:shd w:val="clear" w:color="auto" w:fill="DCE6F1"/>
            <w:noWrap/>
            <w:vAlign w:val="bottom"/>
            <w:hideMark/>
          </w:tcPr>
          <w:p w14:paraId="6C8F7192"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810" w:type="dxa"/>
            <w:tcBorders>
              <w:top w:val="nil"/>
              <w:left w:val="nil"/>
              <w:bottom w:val="single" w:sz="4" w:space="0" w:color="auto"/>
              <w:right w:val="single" w:sz="4" w:space="0" w:color="auto"/>
            </w:tcBorders>
            <w:shd w:val="clear" w:color="auto" w:fill="DCE6F1"/>
            <w:noWrap/>
            <w:vAlign w:val="bottom"/>
            <w:hideMark/>
          </w:tcPr>
          <w:p w14:paraId="5604E061"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96" w:type="dxa"/>
            <w:tcBorders>
              <w:top w:val="nil"/>
              <w:left w:val="nil"/>
              <w:bottom w:val="single" w:sz="4" w:space="0" w:color="auto"/>
              <w:right w:val="single" w:sz="4" w:space="0" w:color="auto"/>
            </w:tcBorders>
            <w:shd w:val="clear" w:color="auto" w:fill="DCE6F1"/>
            <w:noWrap/>
            <w:vAlign w:val="bottom"/>
            <w:hideMark/>
          </w:tcPr>
          <w:p w14:paraId="1420CA46"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50" w:type="dxa"/>
            <w:tcBorders>
              <w:top w:val="nil"/>
              <w:left w:val="nil"/>
              <w:bottom w:val="single" w:sz="4" w:space="0" w:color="auto"/>
              <w:right w:val="single" w:sz="4" w:space="0" w:color="auto"/>
            </w:tcBorders>
            <w:shd w:val="clear" w:color="auto" w:fill="DCE6F1"/>
            <w:noWrap/>
            <w:vAlign w:val="bottom"/>
            <w:hideMark/>
          </w:tcPr>
          <w:p w14:paraId="48FC9B86"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1121" w:type="dxa"/>
            <w:tcBorders>
              <w:top w:val="nil"/>
              <w:left w:val="nil"/>
              <w:bottom w:val="single" w:sz="4" w:space="0" w:color="auto"/>
              <w:right w:val="single" w:sz="4" w:space="0" w:color="auto"/>
            </w:tcBorders>
            <w:shd w:val="clear" w:color="auto" w:fill="DCE6F1"/>
            <w:noWrap/>
            <w:vAlign w:val="bottom"/>
            <w:hideMark/>
          </w:tcPr>
          <w:p w14:paraId="1DE73115"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1079" w:type="dxa"/>
            <w:tcBorders>
              <w:top w:val="nil"/>
              <w:left w:val="nil"/>
              <w:bottom w:val="single" w:sz="4" w:space="0" w:color="auto"/>
              <w:right w:val="single" w:sz="4" w:space="0" w:color="auto"/>
            </w:tcBorders>
            <w:shd w:val="clear" w:color="auto" w:fill="DCE6F1"/>
            <w:noWrap/>
            <w:vAlign w:val="bottom"/>
            <w:hideMark/>
          </w:tcPr>
          <w:p w14:paraId="4952BE75"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979" w:type="dxa"/>
            <w:tcBorders>
              <w:top w:val="nil"/>
              <w:left w:val="nil"/>
              <w:bottom w:val="single" w:sz="4" w:space="0" w:color="auto"/>
              <w:right w:val="single" w:sz="4" w:space="0" w:color="auto"/>
            </w:tcBorders>
            <w:shd w:val="clear" w:color="auto" w:fill="DCE6F1"/>
            <w:noWrap/>
            <w:vAlign w:val="bottom"/>
            <w:hideMark/>
          </w:tcPr>
          <w:p w14:paraId="06616174" w14:textId="77777777" w:rsidR="0025019A" w:rsidRPr="002750D4"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r>
      <w:tr w:rsidR="0025019A" w:rsidRPr="002750D4" w14:paraId="6DD1C9B4" w14:textId="77777777" w:rsidTr="5F884969">
        <w:trPr>
          <w:trHeight w:val="51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2B26407" w14:textId="77777777" w:rsidR="0025019A" w:rsidRPr="002750D4"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Public Housing</w:t>
            </w:r>
          </w:p>
        </w:tc>
        <w:tc>
          <w:tcPr>
            <w:tcW w:w="720" w:type="dxa"/>
            <w:tcBorders>
              <w:top w:val="nil"/>
              <w:left w:val="nil"/>
              <w:bottom w:val="single" w:sz="4" w:space="0" w:color="auto"/>
              <w:right w:val="single" w:sz="4" w:space="0" w:color="auto"/>
            </w:tcBorders>
            <w:shd w:val="clear" w:color="auto" w:fill="auto"/>
            <w:noWrap/>
            <w:vAlign w:val="bottom"/>
            <w:hideMark/>
          </w:tcPr>
          <w:p w14:paraId="00B432AB"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1080" w:type="dxa"/>
            <w:tcBorders>
              <w:top w:val="nil"/>
              <w:left w:val="nil"/>
              <w:bottom w:val="single" w:sz="4" w:space="0" w:color="auto"/>
              <w:right w:val="single" w:sz="4" w:space="0" w:color="auto"/>
            </w:tcBorders>
            <w:shd w:val="clear" w:color="auto" w:fill="auto"/>
            <w:noWrap/>
            <w:vAlign w:val="bottom"/>
            <w:hideMark/>
          </w:tcPr>
          <w:p w14:paraId="1C088099"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c>
          <w:tcPr>
            <w:tcW w:w="810" w:type="dxa"/>
            <w:tcBorders>
              <w:top w:val="nil"/>
              <w:left w:val="nil"/>
              <w:bottom w:val="single" w:sz="4" w:space="0" w:color="auto"/>
              <w:right w:val="single" w:sz="4" w:space="0" w:color="auto"/>
            </w:tcBorders>
            <w:shd w:val="clear" w:color="auto" w:fill="auto"/>
            <w:noWrap/>
            <w:vAlign w:val="bottom"/>
            <w:hideMark/>
          </w:tcPr>
          <w:p w14:paraId="0D3A2316"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996" w:type="dxa"/>
            <w:tcBorders>
              <w:top w:val="nil"/>
              <w:left w:val="nil"/>
              <w:bottom w:val="single" w:sz="4" w:space="0" w:color="auto"/>
              <w:right w:val="single" w:sz="4" w:space="0" w:color="auto"/>
            </w:tcBorders>
            <w:shd w:val="clear" w:color="auto" w:fill="auto"/>
            <w:noWrap/>
            <w:vAlign w:val="bottom"/>
            <w:hideMark/>
          </w:tcPr>
          <w:p w14:paraId="0A60B622"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c>
          <w:tcPr>
            <w:tcW w:w="950" w:type="dxa"/>
            <w:tcBorders>
              <w:top w:val="nil"/>
              <w:left w:val="nil"/>
              <w:bottom w:val="single" w:sz="4" w:space="0" w:color="auto"/>
              <w:right w:val="single" w:sz="4" w:space="0" w:color="auto"/>
            </w:tcBorders>
            <w:shd w:val="clear" w:color="auto" w:fill="auto"/>
            <w:noWrap/>
            <w:vAlign w:val="bottom"/>
            <w:hideMark/>
          </w:tcPr>
          <w:p w14:paraId="3B37FBD9"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1121" w:type="dxa"/>
            <w:tcBorders>
              <w:top w:val="nil"/>
              <w:left w:val="nil"/>
              <w:bottom w:val="single" w:sz="4" w:space="0" w:color="auto"/>
              <w:right w:val="single" w:sz="4" w:space="0" w:color="auto"/>
            </w:tcBorders>
            <w:shd w:val="clear" w:color="auto" w:fill="auto"/>
            <w:noWrap/>
            <w:vAlign w:val="bottom"/>
            <w:hideMark/>
          </w:tcPr>
          <w:p w14:paraId="6DC58C95"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c>
          <w:tcPr>
            <w:tcW w:w="1079" w:type="dxa"/>
            <w:tcBorders>
              <w:top w:val="nil"/>
              <w:left w:val="nil"/>
              <w:bottom w:val="single" w:sz="4" w:space="0" w:color="auto"/>
              <w:right w:val="single" w:sz="4" w:space="0" w:color="auto"/>
            </w:tcBorders>
            <w:shd w:val="clear" w:color="auto" w:fill="auto"/>
            <w:noWrap/>
            <w:vAlign w:val="bottom"/>
            <w:hideMark/>
          </w:tcPr>
          <w:p w14:paraId="4EAF2311"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979" w:type="dxa"/>
            <w:tcBorders>
              <w:top w:val="nil"/>
              <w:left w:val="nil"/>
              <w:bottom w:val="single" w:sz="4" w:space="0" w:color="auto"/>
              <w:right w:val="single" w:sz="4" w:space="0" w:color="auto"/>
            </w:tcBorders>
            <w:shd w:val="clear" w:color="auto" w:fill="auto"/>
            <w:noWrap/>
            <w:vAlign w:val="bottom"/>
            <w:hideMark/>
          </w:tcPr>
          <w:p w14:paraId="2FE13598"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r>
      <w:tr w:rsidR="0025019A" w:rsidRPr="002750D4" w14:paraId="74A3D587" w14:textId="77777777" w:rsidTr="5F884969">
        <w:trPr>
          <w:trHeight w:val="51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2433F527" w14:textId="77777777" w:rsidR="0025019A" w:rsidRPr="002750D4"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Project-Based Section 8</w:t>
            </w:r>
          </w:p>
        </w:tc>
        <w:tc>
          <w:tcPr>
            <w:tcW w:w="720" w:type="dxa"/>
            <w:tcBorders>
              <w:top w:val="nil"/>
              <w:left w:val="nil"/>
              <w:bottom w:val="single" w:sz="4" w:space="0" w:color="auto"/>
              <w:right w:val="single" w:sz="4" w:space="0" w:color="auto"/>
            </w:tcBorders>
            <w:shd w:val="clear" w:color="auto" w:fill="auto"/>
            <w:noWrap/>
            <w:vAlign w:val="bottom"/>
            <w:hideMark/>
          </w:tcPr>
          <w:p w14:paraId="7850AF42"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347</w:t>
            </w:r>
          </w:p>
        </w:tc>
        <w:tc>
          <w:tcPr>
            <w:tcW w:w="1080" w:type="dxa"/>
            <w:tcBorders>
              <w:top w:val="nil"/>
              <w:left w:val="nil"/>
              <w:bottom w:val="single" w:sz="4" w:space="0" w:color="auto"/>
              <w:right w:val="single" w:sz="4" w:space="0" w:color="auto"/>
            </w:tcBorders>
            <w:shd w:val="clear" w:color="auto" w:fill="auto"/>
            <w:noWrap/>
            <w:vAlign w:val="bottom"/>
            <w:hideMark/>
          </w:tcPr>
          <w:p w14:paraId="4A606BDD"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58.03%</w:t>
            </w:r>
          </w:p>
        </w:tc>
        <w:tc>
          <w:tcPr>
            <w:tcW w:w="810" w:type="dxa"/>
            <w:tcBorders>
              <w:top w:val="nil"/>
              <w:left w:val="nil"/>
              <w:bottom w:val="single" w:sz="4" w:space="0" w:color="auto"/>
              <w:right w:val="single" w:sz="4" w:space="0" w:color="auto"/>
            </w:tcBorders>
            <w:shd w:val="clear" w:color="auto" w:fill="auto"/>
            <w:noWrap/>
            <w:vAlign w:val="bottom"/>
            <w:hideMark/>
          </w:tcPr>
          <w:p w14:paraId="7016E4E9"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175</w:t>
            </w:r>
          </w:p>
        </w:tc>
        <w:tc>
          <w:tcPr>
            <w:tcW w:w="996" w:type="dxa"/>
            <w:tcBorders>
              <w:top w:val="nil"/>
              <w:left w:val="nil"/>
              <w:bottom w:val="single" w:sz="4" w:space="0" w:color="auto"/>
              <w:right w:val="single" w:sz="4" w:space="0" w:color="auto"/>
            </w:tcBorders>
            <w:shd w:val="clear" w:color="auto" w:fill="auto"/>
            <w:noWrap/>
            <w:vAlign w:val="bottom"/>
            <w:hideMark/>
          </w:tcPr>
          <w:p w14:paraId="3958A080"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29.26%</w:t>
            </w:r>
          </w:p>
        </w:tc>
        <w:tc>
          <w:tcPr>
            <w:tcW w:w="950" w:type="dxa"/>
            <w:tcBorders>
              <w:top w:val="nil"/>
              <w:left w:val="nil"/>
              <w:bottom w:val="single" w:sz="4" w:space="0" w:color="auto"/>
              <w:right w:val="single" w:sz="4" w:space="0" w:color="auto"/>
            </w:tcBorders>
            <w:shd w:val="clear" w:color="auto" w:fill="auto"/>
            <w:noWrap/>
            <w:vAlign w:val="bottom"/>
            <w:hideMark/>
          </w:tcPr>
          <w:p w14:paraId="18123109"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62</w:t>
            </w:r>
          </w:p>
        </w:tc>
        <w:tc>
          <w:tcPr>
            <w:tcW w:w="1121" w:type="dxa"/>
            <w:tcBorders>
              <w:top w:val="nil"/>
              <w:left w:val="nil"/>
              <w:bottom w:val="single" w:sz="4" w:space="0" w:color="auto"/>
              <w:right w:val="single" w:sz="4" w:space="0" w:color="auto"/>
            </w:tcBorders>
            <w:shd w:val="clear" w:color="auto" w:fill="auto"/>
            <w:noWrap/>
            <w:vAlign w:val="bottom"/>
            <w:hideMark/>
          </w:tcPr>
          <w:p w14:paraId="0CEFD447"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10.37%</w:t>
            </w:r>
          </w:p>
        </w:tc>
        <w:tc>
          <w:tcPr>
            <w:tcW w:w="1079" w:type="dxa"/>
            <w:tcBorders>
              <w:top w:val="nil"/>
              <w:left w:val="nil"/>
              <w:bottom w:val="single" w:sz="4" w:space="0" w:color="auto"/>
              <w:right w:val="single" w:sz="4" w:space="0" w:color="auto"/>
            </w:tcBorders>
            <w:shd w:val="clear" w:color="auto" w:fill="auto"/>
            <w:noWrap/>
            <w:vAlign w:val="bottom"/>
            <w:hideMark/>
          </w:tcPr>
          <w:p w14:paraId="67AF6F7F"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151</w:t>
            </w:r>
          </w:p>
        </w:tc>
        <w:tc>
          <w:tcPr>
            <w:tcW w:w="979" w:type="dxa"/>
            <w:tcBorders>
              <w:top w:val="nil"/>
              <w:left w:val="nil"/>
              <w:bottom w:val="single" w:sz="4" w:space="0" w:color="auto"/>
              <w:right w:val="single" w:sz="4" w:space="0" w:color="auto"/>
            </w:tcBorders>
            <w:shd w:val="clear" w:color="auto" w:fill="auto"/>
            <w:noWrap/>
            <w:vAlign w:val="bottom"/>
            <w:hideMark/>
          </w:tcPr>
          <w:p w14:paraId="505554D2"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25.25%</w:t>
            </w:r>
          </w:p>
        </w:tc>
      </w:tr>
      <w:tr w:rsidR="0025019A" w:rsidRPr="002750D4" w14:paraId="465B48B3" w14:textId="77777777" w:rsidTr="5F884969">
        <w:trPr>
          <w:trHeight w:val="51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C4382B2" w14:textId="77777777" w:rsidR="0025019A" w:rsidRPr="002750D4"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Other Multifamily</w:t>
            </w:r>
          </w:p>
        </w:tc>
        <w:tc>
          <w:tcPr>
            <w:tcW w:w="720" w:type="dxa"/>
            <w:tcBorders>
              <w:top w:val="nil"/>
              <w:left w:val="nil"/>
              <w:bottom w:val="single" w:sz="4" w:space="0" w:color="auto"/>
              <w:right w:val="single" w:sz="4" w:space="0" w:color="auto"/>
            </w:tcBorders>
            <w:shd w:val="clear" w:color="auto" w:fill="auto"/>
            <w:noWrap/>
            <w:vAlign w:val="bottom"/>
            <w:hideMark/>
          </w:tcPr>
          <w:p w14:paraId="54F9BACF"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43</w:t>
            </w:r>
          </w:p>
        </w:tc>
        <w:tc>
          <w:tcPr>
            <w:tcW w:w="1080" w:type="dxa"/>
            <w:tcBorders>
              <w:top w:val="nil"/>
              <w:left w:val="nil"/>
              <w:bottom w:val="single" w:sz="4" w:space="0" w:color="auto"/>
              <w:right w:val="single" w:sz="4" w:space="0" w:color="auto"/>
            </w:tcBorders>
            <w:shd w:val="clear" w:color="auto" w:fill="auto"/>
            <w:noWrap/>
            <w:vAlign w:val="bottom"/>
            <w:hideMark/>
          </w:tcPr>
          <w:p w14:paraId="0B80705E"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72.88%</w:t>
            </w:r>
          </w:p>
        </w:tc>
        <w:tc>
          <w:tcPr>
            <w:tcW w:w="810" w:type="dxa"/>
            <w:tcBorders>
              <w:top w:val="nil"/>
              <w:left w:val="nil"/>
              <w:bottom w:val="single" w:sz="4" w:space="0" w:color="auto"/>
              <w:right w:val="single" w:sz="4" w:space="0" w:color="auto"/>
            </w:tcBorders>
            <w:shd w:val="clear" w:color="auto" w:fill="auto"/>
            <w:noWrap/>
            <w:vAlign w:val="bottom"/>
            <w:hideMark/>
          </w:tcPr>
          <w:p w14:paraId="59637F78"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996" w:type="dxa"/>
            <w:tcBorders>
              <w:top w:val="nil"/>
              <w:left w:val="nil"/>
              <w:bottom w:val="single" w:sz="4" w:space="0" w:color="auto"/>
              <w:right w:val="single" w:sz="4" w:space="0" w:color="auto"/>
            </w:tcBorders>
            <w:shd w:val="clear" w:color="auto" w:fill="auto"/>
            <w:noWrap/>
            <w:vAlign w:val="bottom"/>
            <w:hideMark/>
          </w:tcPr>
          <w:p w14:paraId="591DF6B5"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c>
          <w:tcPr>
            <w:tcW w:w="950" w:type="dxa"/>
            <w:tcBorders>
              <w:top w:val="nil"/>
              <w:left w:val="nil"/>
              <w:bottom w:val="single" w:sz="4" w:space="0" w:color="auto"/>
              <w:right w:val="single" w:sz="4" w:space="0" w:color="auto"/>
            </w:tcBorders>
            <w:shd w:val="clear" w:color="auto" w:fill="auto"/>
            <w:noWrap/>
            <w:vAlign w:val="bottom"/>
            <w:hideMark/>
          </w:tcPr>
          <w:p w14:paraId="6D8E6EF8"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1121" w:type="dxa"/>
            <w:tcBorders>
              <w:top w:val="nil"/>
              <w:left w:val="nil"/>
              <w:bottom w:val="single" w:sz="4" w:space="0" w:color="auto"/>
              <w:right w:val="single" w:sz="4" w:space="0" w:color="auto"/>
            </w:tcBorders>
            <w:shd w:val="clear" w:color="auto" w:fill="auto"/>
            <w:noWrap/>
            <w:vAlign w:val="bottom"/>
            <w:hideMark/>
          </w:tcPr>
          <w:p w14:paraId="0C440B8B"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c>
          <w:tcPr>
            <w:tcW w:w="1079" w:type="dxa"/>
            <w:tcBorders>
              <w:top w:val="nil"/>
              <w:left w:val="nil"/>
              <w:bottom w:val="single" w:sz="4" w:space="0" w:color="auto"/>
              <w:right w:val="single" w:sz="4" w:space="0" w:color="auto"/>
            </w:tcBorders>
            <w:shd w:val="clear" w:color="auto" w:fill="auto"/>
            <w:noWrap/>
            <w:vAlign w:val="bottom"/>
            <w:hideMark/>
          </w:tcPr>
          <w:p w14:paraId="297B9942"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w:t>
            </w:r>
          </w:p>
        </w:tc>
        <w:tc>
          <w:tcPr>
            <w:tcW w:w="979" w:type="dxa"/>
            <w:tcBorders>
              <w:top w:val="nil"/>
              <w:left w:val="nil"/>
              <w:bottom w:val="single" w:sz="4" w:space="0" w:color="auto"/>
              <w:right w:val="single" w:sz="4" w:space="0" w:color="auto"/>
            </w:tcBorders>
            <w:shd w:val="clear" w:color="auto" w:fill="auto"/>
            <w:noWrap/>
            <w:vAlign w:val="bottom"/>
            <w:hideMark/>
          </w:tcPr>
          <w:p w14:paraId="05B33094"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0.00%</w:t>
            </w:r>
          </w:p>
        </w:tc>
      </w:tr>
      <w:tr w:rsidR="0025019A" w:rsidRPr="002750D4" w14:paraId="4F2EEED7" w14:textId="77777777" w:rsidTr="5F884969">
        <w:trPr>
          <w:trHeight w:val="35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700D7F0" w14:textId="77777777" w:rsidR="0025019A" w:rsidRPr="002750D4"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HCV Program</w:t>
            </w:r>
          </w:p>
        </w:tc>
        <w:tc>
          <w:tcPr>
            <w:tcW w:w="720" w:type="dxa"/>
            <w:tcBorders>
              <w:top w:val="nil"/>
              <w:left w:val="nil"/>
              <w:bottom w:val="single" w:sz="4" w:space="0" w:color="auto"/>
              <w:right w:val="single" w:sz="4" w:space="0" w:color="auto"/>
            </w:tcBorders>
            <w:shd w:val="clear" w:color="auto" w:fill="auto"/>
            <w:noWrap/>
            <w:vAlign w:val="bottom"/>
            <w:hideMark/>
          </w:tcPr>
          <w:p w14:paraId="3668F505"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691</w:t>
            </w:r>
          </w:p>
        </w:tc>
        <w:tc>
          <w:tcPr>
            <w:tcW w:w="1080" w:type="dxa"/>
            <w:tcBorders>
              <w:top w:val="nil"/>
              <w:left w:val="nil"/>
              <w:bottom w:val="single" w:sz="4" w:space="0" w:color="auto"/>
              <w:right w:val="single" w:sz="4" w:space="0" w:color="auto"/>
            </w:tcBorders>
            <w:shd w:val="clear" w:color="auto" w:fill="auto"/>
            <w:noWrap/>
            <w:vAlign w:val="bottom"/>
            <w:hideMark/>
          </w:tcPr>
          <w:p w14:paraId="738C8AB1"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48.66%</w:t>
            </w:r>
          </w:p>
        </w:tc>
        <w:tc>
          <w:tcPr>
            <w:tcW w:w="810" w:type="dxa"/>
            <w:tcBorders>
              <w:top w:val="nil"/>
              <w:left w:val="nil"/>
              <w:bottom w:val="single" w:sz="4" w:space="0" w:color="auto"/>
              <w:right w:val="single" w:sz="4" w:space="0" w:color="auto"/>
            </w:tcBorders>
            <w:shd w:val="clear" w:color="auto" w:fill="auto"/>
            <w:noWrap/>
            <w:vAlign w:val="bottom"/>
            <w:hideMark/>
          </w:tcPr>
          <w:p w14:paraId="71B1AC3F"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430</w:t>
            </w:r>
          </w:p>
        </w:tc>
        <w:tc>
          <w:tcPr>
            <w:tcW w:w="996" w:type="dxa"/>
            <w:tcBorders>
              <w:top w:val="nil"/>
              <w:left w:val="nil"/>
              <w:bottom w:val="single" w:sz="4" w:space="0" w:color="auto"/>
              <w:right w:val="single" w:sz="4" w:space="0" w:color="auto"/>
            </w:tcBorders>
            <w:shd w:val="clear" w:color="auto" w:fill="auto"/>
            <w:noWrap/>
            <w:vAlign w:val="bottom"/>
            <w:hideMark/>
          </w:tcPr>
          <w:p w14:paraId="4829E825"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30.28%</w:t>
            </w:r>
          </w:p>
        </w:tc>
        <w:tc>
          <w:tcPr>
            <w:tcW w:w="950" w:type="dxa"/>
            <w:tcBorders>
              <w:top w:val="nil"/>
              <w:left w:val="nil"/>
              <w:bottom w:val="single" w:sz="4" w:space="0" w:color="auto"/>
              <w:right w:val="single" w:sz="4" w:space="0" w:color="auto"/>
            </w:tcBorders>
            <w:shd w:val="clear" w:color="auto" w:fill="auto"/>
            <w:noWrap/>
            <w:vAlign w:val="bottom"/>
            <w:hideMark/>
          </w:tcPr>
          <w:p w14:paraId="0ABBA5A4"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281</w:t>
            </w:r>
          </w:p>
        </w:tc>
        <w:tc>
          <w:tcPr>
            <w:tcW w:w="1121" w:type="dxa"/>
            <w:tcBorders>
              <w:top w:val="nil"/>
              <w:left w:val="nil"/>
              <w:bottom w:val="single" w:sz="4" w:space="0" w:color="auto"/>
              <w:right w:val="single" w:sz="4" w:space="0" w:color="auto"/>
            </w:tcBorders>
            <w:shd w:val="clear" w:color="auto" w:fill="auto"/>
            <w:noWrap/>
            <w:vAlign w:val="bottom"/>
            <w:hideMark/>
          </w:tcPr>
          <w:p w14:paraId="5BCE4205"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19.79%</w:t>
            </w:r>
          </w:p>
        </w:tc>
        <w:tc>
          <w:tcPr>
            <w:tcW w:w="1079" w:type="dxa"/>
            <w:tcBorders>
              <w:top w:val="nil"/>
              <w:left w:val="nil"/>
              <w:bottom w:val="single" w:sz="4" w:space="0" w:color="auto"/>
              <w:right w:val="single" w:sz="4" w:space="0" w:color="auto"/>
            </w:tcBorders>
            <w:shd w:val="clear" w:color="auto" w:fill="auto"/>
            <w:noWrap/>
            <w:vAlign w:val="bottom"/>
            <w:hideMark/>
          </w:tcPr>
          <w:p w14:paraId="12C7918F"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492</w:t>
            </w:r>
          </w:p>
        </w:tc>
        <w:tc>
          <w:tcPr>
            <w:tcW w:w="979" w:type="dxa"/>
            <w:tcBorders>
              <w:top w:val="nil"/>
              <w:left w:val="nil"/>
              <w:bottom w:val="single" w:sz="4" w:space="0" w:color="auto"/>
              <w:right w:val="single" w:sz="4" w:space="0" w:color="auto"/>
            </w:tcBorders>
            <w:shd w:val="clear" w:color="auto" w:fill="auto"/>
            <w:noWrap/>
            <w:vAlign w:val="bottom"/>
            <w:hideMark/>
          </w:tcPr>
          <w:p w14:paraId="0D27E954" w14:textId="77777777" w:rsidR="0025019A" w:rsidRPr="002750D4"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34.65%</w:t>
            </w:r>
          </w:p>
        </w:tc>
      </w:tr>
    </w:tbl>
    <w:p w14:paraId="20FA8D2C" w14:textId="77777777" w:rsidR="0025019A" w:rsidRPr="0025019A" w:rsidRDefault="0025019A" w:rsidP="0025019A">
      <w:pPr>
        <w:spacing w:after="0"/>
        <w:rPr>
          <w:sz w:val="20"/>
          <w:szCs w:val="20"/>
        </w:rPr>
      </w:pPr>
    </w:p>
    <w:p w14:paraId="3BAD631B" w14:textId="7B8002EE" w:rsidR="00A12348" w:rsidRPr="00A12348" w:rsidRDefault="00A12348" w:rsidP="002F7C2E">
      <w:pPr>
        <w:spacing w:after="240" w:line="240" w:lineRule="auto"/>
        <w:ind w:left="360"/>
        <w:outlineLvl w:val="0"/>
        <w:rPr>
          <w:b/>
          <w:i/>
          <w:iCs/>
        </w:rPr>
      </w:pPr>
      <w:r w:rsidRPr="00A12348">
        <w:rPr>
          <w:b/>
          <w:i/>
          <w:iCs/>
        </w:rPr>
        <w:lastRenderedPageBreak/>
        <w:t>Burlington/South Burlington Region</w:t>
      </w:r>
    </w:p>
    <w:p w14:paraId="78FD6CD4" w14:textId="77777777" w:rsidR="00A12348" w:rsidRDefault="00A12348" w:rsidP="00A12348">
      <w:pPr>
        <w:numPr>
          <w:ilvl w:val="0"/>
          <w:numId w:val="29"/>
        </w:numPr>
        <w:spacing w:after="0" w:line="240" w:lineRule="auto"/>
        <w:ind w:left="1440"/>
      </w:pPr>
      <w:r>
        <w:t xml:space="preserve">77% of WHA clients are white only, compared to 94% in the region. </w:t>
      </w:r>
    </w:p>
    <w:p w14:paraId="2D44F156" w14:textId="77777777" w:rsidR="00A12348" w:rsidRDefault="00A12348" w:rsidP="00A12348">
      <w:pPr>
        <w:numPr>
          <w:ilvl w:val="0"/>
          <w:numId w:val="29"/>
        </w:numPr>
        <w:spacing w:after="0" w:line="240" w:lineRule="auto"/>
        <w:ind w:left="1440"/>
      </w:pPr>
      <w:r>
        <w:t>9% of WHA clients are Black/African American only compared to 3% in the region.</w:t>
      </w:r>
    </w:p>
    <w:p w14:paraId="48EB2E82" w14:textId="77777777" w:rsidR="00A12348" w:rsidRDefault="00A12348" w:rsidP="00A12348">
      <w:pPr>
        <w:numPr>
          <w:ilvl w:val="0"/>
          <w:numId w:val="29"/>
        </w:numPr>
        <w:spacing w:after="0" w:line="240" w:lineRule="auto"/>
        <w:ind w:left="1440"/>
      </w:pPr>
      <w:r>
        <w:t xml:space="preserve">12% of WHA clients are Asian </w:t>
      </w:r>
      <w:proofErr w:type="gramStart"/>
      <w:r>
        <w:t>Only</w:t>
      </w:r>
      <w:proofErr w:type="gramEnd"/>
      <w:r>
        <w:t>, compared to 2% in the region.</w:t>
      </w:r>
    </w:p>
    <w:p w14:paraId="016408E6" w14:textId="77777777" w:rsidR="00A12348" w:rsidRDefault="00A12348" w:rsidP="00A12348">
      <w:pPr>
        <w:numPr>
          <w:ilvl w:val="0"/>
          <w:numId w:val="29"/>
        </w:numPr>
        <w:spacing w:after="0" w:line="240" w:lineRule="auto"/>
        <w:ind w:left="1440"/>
      </w:pPr>
      <w:r>
        <w:t>2% of WHA’s clients are Hispanic or Latin, compared to 1% in the region.</w:t>
      </w:r>
    </w:p>
    <w:p w14:paraId="05BFD9BB" w14:textId="77777777" w:rsidR="00A12348" w:rsidRDefault="00A12348" w:rsidP="002F7C2E">
      <w:pPr>
        <w:spacing w:after="240" w:line="240" w:lineRule="auto"/>
        <w:ind w:left="360"/>
        <w:outlineLvl w:val="0"/>
        <w:rPr>
          <w:i/>
          <w:iCs/>
          <w:u w:val="single"/>
        </w:rPr>
      </w:pPr>
    </w:p>
    <w:p w14:paraId="2C108306" w14:textId="77777777" w:rsidR="00A12348" w:rsidRDefault="00A12348" w:rsidP="002F7C2E">
      <w:pPr>
        <w:spacing w:after="240" w:line="240" w:lineRule="auto"/>
        <w:ind w:left="360"/>
        <w:outlineLvl w:val="0"/>
        <w:rPr>
          <w:i/>
          <w:iCs/>
          <w:u w:val="single"/>
        </w:rPr>
      </w:pPr>
    </w:p>
    <w:p w14:paraId="107F377A" w14:textId="77777777" w:rsidR="00A12348" w:rsidRDefault="00A12348" w:rsidP="002F7C2E">
      <w:pPr>
        <w:spacing w:after="240" w:line="240" w:lineRule="auto"/>
        <w:ind w:left="360"/>
        <w:outlineLvl w:val="0"/>
        <w:rPr>
          <w:i/>
          <w:iCs/>
          <w:u w:val="single"/>
        </w:rPr>
      </w:pPr>
    </w:p>
    <w:p w14:paraId="18C86AA0" w14:textId="1C227051" w:rsidR="004659AE" w:rsidRPr="008B69A7" w:rsidRDefault="5F884969" w:rsidP="002F7C2E">
      <w:pPr>
        <w:spacing w:after="240" w:line="240" w:lineRule="auto"/>
        <w:ind w:left="360"/>
        <w:outlineLvl w:val="0"/>
        <w:rPr>
          <w:b/>
          <w:i/>
          <w:iCs/>
        </w:rPr>
      </w:pPr>
      <w:r w:rsidRPr="008B69A7">
        <w:rPr>
          <w:b/>
          <w:i/>
          <w:iCs/>
        </w:rPr>
        <w:t>Disparities in Access to Opportunity</w:t>
      </w:r>
    </w:p>
    <w:p w14:paraId="366F693E" w14:textId="7992400A" w:rsidR="00A32BB9" w:rsidRPr="003E6114" w:rsidRDefault="5F884969" w:rsidP="5F884969">
      <w:pPr>
        <w:spacing w:after="240" w:line="240" w:lineRule="auto"/>
        <w:ind w:left="360"/>
        <w:rPr>
          <w:bCs/>
        </w:rPr>
      </w:pPr>
      <w:r w:rsidRPr="003E6114">
        <w:rPr>
          <w:bCs/>
        </w:rPr>
        <w:t>Describe any disparities in access to opportunity for residents of publicly supported housing in the jurisdiction and region, including within different program categories (public housing, project-based Section 8, Other Multifamily Assisted Developments, HCV, and LIHTC) and between types (housing primarily serving families with children, elderly persons, and persons with disabilities) of publicly supported housing.</w:t>
      </w:r>
    </w:p>
    <w:p w14:paraId="785DF5CF" w14:textId="77777777" w:rsidR="00C87A95" w:rsidRDefault="00C87A95" w:rsidP="002F7C2E">
      <w:pPr>
        <w:spacing w:after="240" w:line="240" w:lineRule="auto"/>
        <w:ind w:left="360"/>
        <w:outlineLvl w:val="0"/>
        <w:rPr>
          <w:b/>
          <w:i/>
        </w:rPr>
      </w:pPr>
    </w:p>
    <w:p w14:paraId="47ABF205" w14:textId="77777777" w:rsidR="00C87A95" w:rsidRDefault="00C87A95" w:rsidP="002F7C2E">
      <w:pPr>
        <w:spacing w:after="240" w:line="240" w:lineRule="auto"/>
        <w:ind w:left="360"/>
        <w:outlineLvl w:val="0"/>
        <w:rPr>
          <w:b/>
          <w:i/>
        </w:rPr>
      </w:pPr>
    </w:p>
    <w:p w14:paraId="6D05FB3E" w14:textId="3A7420A8" w:rsidR="00A32BB9" w:rsidRPr="008B69A7" w:rsidRDefault="003900FD" w:rsidP="002F7C2E">
      <w:pPr>
        <w:spacing w:after="240" w:line="240" w:lineRule="auto"/>
        <w:ind w:left="360"/>
        <w:outlineLvl w:val="0"/>
        <w:rPr>
          <w:b/>
          <w:i/>
        </w:rPr>
      </w:pPr>
      <w:r w:rsidRPr="008B69A7">
        <w:rPr>
          <w:b/>
          <w:i/>
        </w:rPr>
        <w:t>Burlington</w:t>
      </w:r>
    </w:p>
    <w:p w14:paraId="6A7EDA3E" w14:textId="77777777" w:rsidR="003E6114" w:rsidRPr="00A81D43" w:rsidRDefault="003026AF" w:rsidP="003E6114">
      <w:pPr>
        <w:spacing w:after="240" w:line="240" w:lineRule="auto"/>
        <w:ind w:left="360"/>
        <w:outlineLvl w:val="0"/>
        <w:rPr>
          <w:b/>
          <w:color w:val="FF0000"/>
        </w:rPr>
      </w:pPr>
      <w:r w:rsidRPr="00A12348">
        <w:t xml:space="preserve">Residents in Burlington have access to sufficient public transportation except if working on second or third shifts. With the school choice program, there is access to proficient schools. </w:t>
      </w:r>
      <w:r w:rsidR="00892275" w:rsidRPr="00A12348">
        <w:t xml:space="preserve">Although there is a low unemployment rate in Burlington, often low wage jobs are those that are available thereby limiting economic opportunities. </w:t>
      </w:r>
      <w:r w:rsidR="003E6114">
        <w:rPr>
          <w:bCs/>
        </w:rPr>
        <w:t>Additionally, Burlington is home to many nonprofits and this service enriched environment makes it attractive to live in BHA managed properties or use vouchers within the Jurisdiction.</w:t>
      </w:r>
    </w:p>
    <w:p w14:paraId="78ED160E" w14:textId="63FA125C" w:rsidR="003900FD" w:rsidRPr="003E6114" w:rsidRDefault="003900FD" w:rsidP="00A32BB9">
      <w:pPr>
        <w:spacing w:after="240" w:line="240" w:lineRule="auto"/>
        <w:ind w:left="360"/>
      </w:pPr>
    </w:p>
    <w:p w14:paraId="14159364" w14:textId="4943413C" w:rsidR="003900FD" w:rsidRPr="003E6114" w:rsidRDefault="003900FD" w:rsidP="002F7C2E">
      <w:pPr>
        <w:spacing w:after="240" w:line="240" w:lineRule="auto"/>
        <w:ind w:left="360"/>
        <w:outlineLvl w:val="0"/>
        <w:rPr>
          <w:b/>
        </w:rPr>
      </w:pPr>
      <w:r w:rsidRPr="003E6114">
        <w:rPr>
          <w:b/>
        </w:rPr>
        <w:t xml:space="preserve">Burlington/South Burlington </w:t>
      </w:r>
    </w:p>
    <w:p w14:paraId="6699B6E9" w14:textId="250C78B1" w:rsidR="003E6114" w:rsidRPr="00A81D43" w:rsidRDefault="003E6114" w:rsidP="002F7C2E">
      <w:pPr>
        <w:spacing w:after="240" w:line="240" w:lineRule="auto"/>
        <w:ind w:left="360"/>
        <w:outlineLvl w:val="0"/>
        <w:rPr>
          <w:b/>
          <w:color w:val="FF0000"/>
        </w:rPr>
      </w:pPr>
      <w:r w:rsidRPr="003E6114">
        <w:rPr>
          <w:b/>
        </w:rPr>
        <w:t xml:space="preserve">For residents of </w:t>
      </w:r>
      <w:r w:rsidRPr="003E6114">
        <w:rPr>
          <w:bCs/>
        </w:rPr>
        <w:t>publicly supported</w:t>
      </w:r>
      <w:r>
        <w:rPr>
          <w:bCs/>
        </w:rPr>
        <w:t xml:space="preserve"> housing in the</w:t>
      </w:r>
      <w:r w:rsidRPr="003E6114">
        <w:rPr>
          <w:bCs/>
        </w:rPr>
        <w:t xml:space="preserve"> region,</w:t>
      </w:r>
      <w:r>
        <w:rPr>
          <w:bCs/>
        </w:rPr>
        <w:t xml:space="preserve"> once out of the urban core of Burlington/South Burlington/Winooski, access to employment and public transportation becomes limited. Although employment opportunities are widespread in manufacturing in the Region, shift work might preclude public transportation. </w:t>
      </w:r>
    </w:p>
    <w:p w14:paraId="28667996" w14:textId="74BC8477" w:rsidR="0008134A" w:rsidRPr="00B5104B" w:rsidRDefault="5F884969" w:rsidP="5F884969">
      <w:pPr>
        <w:spacing w:after="240" w:line="240" w:lineRule="auto"/>
        <w:ind w:left="360"/>
        <w:rPr>
          <w:b/>
          <w:bCs/>
          <w:i/>
        </w:rPr>
      </w:pPr>
      <w:r w:rsidRPr="00B5104B">
        <w:rPr>
          <w:b/>
          <w:bCs/>
          <w:i/>
        </w:rPr>
        <w:t>The program participant may also describe other information relevant to its assessment of publicly supported housing.  Information may include relevant programs, actions, or activities, such as tenant self-sufficiency, place-based investments, or geographic mobility programs.</w:t>
      </w:r>
    </w:p>
    <w:p w14:paraId="415F5313" w14:textId="77777777" w:rsidR="00E22916" w:rsidRPr="00CF5549" w:rsidRDefault="00E22916" w:rsidP="00CF5549">
      <w:pPr>
        <w:ind w:left="360"/>
      </w:pPr>
      <w:r w:rsidRPr="00CF5549">
        <w:t>The Burlington Housing Authority has adopted a comprehensive Communications Policy to ensure that its communication with applicants, program participants, employees, and members of the public with disabilities is productive and effective.</w:t>
      </w:r>
    </w:p>
    <w:p w14:paraId="0102D09B" w14:textId="77777777" w:rsidR="00E22916" w:rsidRPr="00CF5549" w:rsidRDefault="00E22916" w:rsidP="00CF5549">
      <w:pPr>
        <w:pStyle w:val="DefaultText"/>
        <w:ind w:left="360"/>
        <w:rPr>
          <w:rFonts w:asciiTheme="minorHAnsi" w:hAnsiTheme="minorHAnsi"/>
          <w:sz w:val="22"/>
          <w:szCs w:val="22"/>
        </w:rPr>
      </w:pPr>
    </w:p>
    <w:p w14:paraId="64096F79" w14:textId="77777777" w:rsidR="00E22916" w:rsidRPr="00CF5549" w:rsidRDefault="00E22916" w:rsidP="00CF5549">
      <w:pPr>
        <w:pStyle w:val="DefaultText"/>
        <w:ind w:left="360"/>
        <w:rPr>
          <w:rFonts w:asciiTheme="minorHAnsi" w:hAnsiTheme="minorHAnsi"/>
          <w:sz w:val="22"/>
          <w:szCs w:val="22"/>
        </w:rPr>
      </w:pPr>
      <w:r w:rsidRPr="00CF5549">
        <w:rPr>
          <w:rFonts w:asciiTheme="minorHAnsi" w:hAnsiTheme="minorHAnsi"/>
          <w:sz w:val="22"/>
          <w:szCs w:val="22"/>
        </w:rPr>
        <w:t>BHA will furnish appropriate auxiliary aids and services, where necessary, to afford individuals with disabilities, including individuals with hearing or visual disabilities or individuals with limited English proficiency, an equal opportunity to participate in and enjoy the benefits of the programs and services of the BHA.</w:t>
      </w:r>
    </w:p>
    <w:p w14:paraId="59065264" w14:textId="77777777" w:rsidR="00E22916" w:rsidRPr="00CF5549" w:rsidRDefault="00E22916" w:rsidP="00CF5549">
      <w:pPr>
        <w:pStyle w:val="DefaultText"/>
        <w:ind w:left="360"/>
        <w:rPr>
          <w:rFonts w:asciiTheme="minorHAnsi" w:hAnsiTheme="minorHAnsi"/>
          <w:sz w:val="22"/>
          <w:szCs w:val="22"/>
        </w:rPr>
      </w:pPr>
    </w:p>
    <w:p w14:paraId="6293BF09" w14:textId="77777777" w:rsidR="00E22916" w:rsidRPr="00CF5549" w:rsidRDefault="00E22916" w:rsidP="00CF5549">
      <w:pPr>
        <w:pStyle w:val="DefaultText"/>
        <w:ind w:left="360"/>
        <w:rPr>
          <w:rFonts w:asciiTheme="minorHAnsi" w:hAnsiTheme="minorHAnsi"/>
          <w:sz w:val="22"/>
          <w:szCs w:val="22"/>
        </w:rPr>
      </w:pPr>
      <w:r w:rsidRPr="00CF5549">
        <w:rPr>
          <w:rFonts w:asciiTheme="minorHAnsi" w:hAnsiTheme="minorHAnsi"/>
          <w:sz w:val="22"/>
          <w:szCs w:val="22"/>
        </w:rPr>
        <w:t xml:space="preserve">Examples of auxiliary aids and services include: staff assistance with the completion of applications; telecommunication services or qualified sign language interpreters for persons with hearing impairments; large print, </w:t>
      </w:r>
      <w:proofErr w:type="spellStart"/>
      <w:r w:rsidRPr="00CF5549">
        <w:rPr>
          <w:rFonts w:asciiTheme="minorHAnsi" w:hAnsiTheme="minorHAnsi"/>
          <w:sz w:val="22"/>
          <w:szCs w:val="22"/>
        </w:rPr>
        <w:t>brailled</w:t>
      </w:r>
      <w:proofErr w:type="spellEnd"/>
      <w:r w:rsidRPr="00CF5549">
        <w:rPr>
          <w:rFonts w:asciiTheme="minorHAnsi" w:hAnsiTheme="minorHAnsi"/>
          <w:sz w:val="22"/>
          <w:szCs w:val="22"/>
        </w:rPr>
        <w:t>, orally delivered or taped materials for persons with visual impairments; and interpreters or written materials in the appropriate language for persons with limited English proficiency.</w:t>
      </w:r>
    </w:p>
    <w:p w14:paraId="09647898" w14:textId="77777777" w:rsidR="00E22916" w:rsidRDefault="00E22916" w:rsidP="00CF5549">
      <w:pPr>
        <w:pStyle w:val="DefaultText"/>
        <w:ind w:left="360"/>
        <w:rPr>
          <w:rFonts w:asciiTheme="minorHAnsi" w:hAnsiTheme="minorHAnsi"/>
        </w:rPr>
      </w:pPr>
    </w:p>
    <w:p w14:paraId="35384DDF" w14:textId="77777777" w:rsidR="00185154" w:rsidRPr="005361F1" w:rsidRDefault="00185154" w:rsidP="00CF5549">
      <w:pPr>
        <w:spacing w:after="0" w:line="240" w:lineRule="auto"/>
        <w:ind w:left="360"/>
        <w:rPr>
          <w:b/>
        </w:rPr>
      </w:pPr>
      <w:bookmarkStart w:id="42" w:name="_Toc354664890"/>
      <w:bookmarkStart w:id="43" w:name="_Toc354659919"/>
      <w:r w:rsidRPr="005361F1">
        <w:rPr>
          <w:b/>
        </w:rPr>
        <w:t>Admissions policies, preferences, and housing designations (including grounds for denial of admission, eviction, and subsidy termination)</w:t>
      </w:r>
    </w:p>
    <w:p w14:paraId="6EF319C3" w14:textId="77777777" w:rsidR="00E22916" w:rsidRPr="005361F1" w:rsidRDefault="00E22916" w:rsidP="00CF5549">
      <w:pPr>
        <w:overflowPunct w:val="0"/>
        <w:autoSpaceDE w:val="0"/>
        <w:autoSpaceDN w:val="0"/>
        <w:adjustRightInd w:val="0"/>
        <w:ind w:left="360"/>
        <w:rPr>
          <w:sz w:val="28"/>
        </w:rPr>
      </w:pPr>
      <w:r w:rsidRPr="005361F1">
        <w:t xml:space="preserve">According to BHA’s </w:t>
      </w:r>
      <w:r w:rsidRPr="005361F1">
        <w:rPr>
          <w:i/>
        </w:rPr>
        <w:t>Administrative Plan for the Section 8 Housing Choice Voucher Program</w:t>
      </w:r>
      <w:r w:rsidRPr="005361F1">
        <w:t xml:space="preserve">, admissions may </w:t>
      </w:r>
      <w:r w:rsidRPr="00327E7D">
        <w:rPr>
          <w:b/>
          <w:u w:val="single"/>
        </w:rPr>
        <w:t>not</w:t>
      </w:r>
      <w:r w:rsidRPr="005361F1">
        <w:t xml:space="preserve"> be based on </w:t>
      </w:r>
      <w:r w:rsidRPr="005361F1">
        <w:rPr>
          <w:rFonts w:eastAsia="Times New Roman" w:cs="Times New Roman"/>
          <w:color w:val="000000"/>
        </w:rPr>
        <w:t>[Section 982.202(B)]</w:t>
      </w:r>
      <w:r w:rsidRPr="005361F1">
        <w:t xml:space="preserve">: </w:t>
      </w:r>
    </w:p>
    <w:bookmarkEnd w:id="42"/>
    <w:bookmarkEnd w:id="43"/>
    <w:p w14:paraId="7F303D2E" w14:textId="77777777" w:rsidR="00E22916" w:rsidRPr="005361F1" w:rsidRDefault="00E22916" w:rsidP="009A2CF5">
      <w:pPr>
        <w:keepLines/>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666"/>
        </w:tabs>
        <w:overflowPunct w:val="0"/>
        <w:autoSpaceDE w:val="0"/>
        <w:autoSpaceDN w:val="0"/>
        <w:adjustRightInd w:val="0"/>
        <w:spacing w:after="0" w:line="240" w:lineRule="auto"/>
        <w:rPr>
          <w:rFonts w:eastAsia="Times New Roman" w:cs="Times New Roman"/>
          <w:color w:val="000000"/>
        </w:rPr>
      </w:pPr>
      <w:r w:rsidRPr="005361F1">
        <w:rPr>
          <w:rFonts w:eastAsia="Times New Roman" w:cs="Times New Roman"/>
          <w:color w:val="000000"/>
        </w:rPr>
        <w:t>Where the family lives prior to admission to the program;</w:t>
      </w:r>
    </w:p>
    <w:p w14:paraId="78A80AEA" w14:textId="77777777" w:rsidR="00E22916" w:rsidRPr="005361F1" w:rsidRDefault="00E22916" w:rsidP="009A2CF5">
      <w:pPr>
        <w:keepLines/>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666"/>
        </w:tabs>
        <w:overflowPunct w:val="0"/>
        <w:autoSpaceDE w:val="0"/>
        <w:autoSpaceDN w:val="0"/>
        <w:adjustRightInd w:val="0"/>
        <w:spacing w:after="0" w:line="240" w:lineRule="auto"/>
        <w:rPr>
          <w:rFonts w:eastAsia="Times New Roman" w:cs="Times New Roman"/>
          <w:color w:val="000000"/>
        </w:rPr>
      </w:pPr>
      <w:r w:rsidRPr="005361F1">
        <w:rPr>
          <w:rFonts w:eastAsia="Times New Roman" w:cs="Times New Roman"/>
          <w:color w:val="000000"/>
        </w:rPr>
        <w:t>Where the family will live with assistance under the program;</w:t>
      </w:r>
    </w:p>
    <w:p w14:paraId="61B7A0ED" w14:textId="77777777" w:rsidR="00E22916" w:rsidRPr="005361F1" w:rsidRDefault="00E22916" w:rsidP="009A2CF5">
      <w:pPr>
        <w:keepLines/>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666"/>
        </w:tabs>
        <w:overflowPunct w:val="0"/>
        <w:autoSpaceDE w:val="0"/>
        <w:autoSpaceDN w:val="0"/>
        <w:adjustRightInd w:val="0"/>
        <w:spacing w:after="0" w:line="240" w:lineRule="auto"/>
        <w:rPr>
          <w:rFonts w:eastAsia="Times New Roman" w:cs="Times New Roman"/>
          <w:color w:val="000000"/>
        </w:rPr>
      </w:pPr>
      <w:r w:rsidRPr="005361F1">
        <w:rPr>
          <w:rFonts w:eastAsia="Times New Roman" w:cs="Times New Roman"/>
          <w:color w:val="000000"/>
        </w:rPr>
        <w:t>Discrimination because members of the family are unwed parents, recipients of public assistance, or children born out of wedlock;</w:t>
      </w:r>
    </w:p>
    <w:p w14:paraId="5CA58FEB" w14:textId="77777777" w:rsidR="00E22916" w:rsidRPr="005361F1" w:rsidRDefault="00E22916" w:rsidP="009A2CF5">
      <w:pPr>
        <w:keepLines/>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666"/>
        </w:tabs>
        <w:overflowPunct w:val="0"/>
        <w:autoSpaceDE w:val="0"/>
        <w:autoSpaceDN w:val="0"/>
        <w:adjustRightInd w:val="0"/>
        <w:spacing w:after="0" w:line="240" w:lineRule="auto"/>
        <w:rPr>
          <w:rFonts w:eastAsia="Times New Roman" w:cs="Times New Roman"/>
          <w:color w:val="000000"/>
        </w:rPr>
      </w:pPr>
      <w:r w:rsidRPr="005361F1">
        <w:rPr>
          <w:rFonts w:eastAsia="Times New Roman" w:cs="Times New Roman"/>
          <w:color w:val="000000"/>
        </w:rPr>
        <w:t xml:space="preserve">Discrimination because a family includes children; or </w:t>
      </w:r>
    </w:p>
    <w:p w14:paraId="568F12D2" w14:textId="77777777" w:rsidR="00E22916" w:rsidRPr="005361F1" w:rsidRDefault="00E22916" w:rsidP="009A2CF5">
      <w:pPr>
        <w:keepLines/>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666"/>
        </w:tabs>
        <w:overflowPunct w:val="0"/>
        <w:autoSpaceDE w:val="0"/>
        <w:autoSpaceDN w:val="0"/>
        <w:adjustRightInd w:val="0"/>
        <w:spacing w:after="0" w:line="240" w:lineRule="auto"/>
        <w:rPr>
          <w:rFonts w:eastAsia="Times New Roman" w:cs="Times New Roman"/>
          <w:color w:val="000000"/>
        </w:rPr>
      </w:pPr>
      <w:r w:rsidRPr="005361F1">
        <w:rPr>
          <w:rFonts w:eastAsia="Times New Roman" w:cs="Times New Roman"/>
          <w:color w:val="000000"/>
        </w:rPr>
        <w:t>Whether a family decides to participate in a family self-sufficiency program</w:t>
      </w:r>
      <w:r>
        <w:rPr>
          <w:rFonts w:eastAsia="Times New Roman" w:cs="Times New Roman"/>
          <w:color w:val="000000"/>
        </w:rPr>
        <w:t>.</w:t>
      </w:r>
    </w:p>
    <w:p w14:paraId="49D1E412" w14:textId="77777777" w:rsidR="00E22916" w:rsidRPr="005361F1" w:rsidRDefault="00E22916" w:rsidP="00E22916">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666"/>
        </w:tabs>
        <w:overflowPunct w:val="0"/>
        <w:autoSpaceDE w:val="0"/>
        <w:autoSpaceDN w:val="0"/>
        <w:adjustRightInd w:val="0"/>
        <w:rPr>
          <w:rFonts w:eastAsia="Times New Roman" w:cs="Times New Roman"/>
          <w:color w:val="000000"/>
        </w:rPr>
      </w:pPr>
    </w:p>
    <w:p w14:paraId="142761F4" w14:textId="77777777" w:rsidR="00E22916" w:rsidRPr="005361F1" w:rsidRDefault="00E22916" w:rsidP="00CF5549">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1666"/>
        </w:tabs>
        <w:overflowPunct w:val="0"/>
        <w:autoSpaceDE w:val="0"/>
        <w:autoSpaceDN w:val="0"/>
        <w:adjustRightInd w:val="0"/>
        <w:ind w:left="360"/>
        <w:rPr>
          <w:rFonts w:eastAsia="Times New Roman" w:cs="Times New Roman"/>
          <w:color w:val="000000"/>
        </w:rPr>
      </w:pPr>
      <w:r w:rsidRPr="005361F1">
        <w:rPr>
          <w:rFonts w:eastAsia="Times New Roman" w:cs="Times New Roman"/>
          <w:color w:val="000000"/>
        </w:rPr>
        <w:t>No applicant for the Housing Choice Voucher Program who has been a victim of domestic violence, dating violence</w:t>
      </w:r>
      <w:r>
        <w:rPr>
          <w:rFonts w:eastAsia="Times New Roman" w:cs="Times New Roman"/>
          <w:color w:val="000000"/>
        </w:rPr>
        <w:t>,</w:t>
      </w:r>
      <w:r w:rsidRPr="005361F1">
        <w:rPr>
          <w:rFonts w:eastAsia="Times New Roman" w:cs="Times New Roman"/>
          <w:color w:val="000000"/>
        </w:rPr>
        <w:t xml:space="preserve"> or stalking shall be denied admission into the program if they are otherwise qualified.</w:t>
      </w:r>
    </w:p>
    <w:p w14:paraId="45E59832" w14:textId="77777777" w:rsidR="00E22916" w:rsidRPr="005361F1" w:rsidRDefault="00E22916" w:rsidP="00E22916"/>
    <w:p w14:paraId="0E4F040E" w14:textId="085B552C" w:rsidR="00185154" w:rsidRPr="00185154" w:rsidRDefault="00185154" w:rsidP="00CF5549">
      <w:pPr>
        <w:spacing w:after="0" w:line="240" w:lineRule="auto"/>
        <w:ind w:left="360"/>
        <w:outlineLvl w:val="0"/>
        <w:rPr>
          <w:b/>
        </w:rPr>
      </w:pPr>
      <w:r w:rsidRPr="005361F1">
        <w:rPr>
          <w:b/>
        </w:rPr>
        <w:t>Affirmative marketing plan</w:t>
      </w:r>
    </w:p>
    <w:p w14:paraId="14781330" w14:textId="5A20CDF3" w:rsidR="00E22916" w:rsidRPr="00B015CC" w:rsidRDefault="00E22916" w:rsidP="00B015CC">
      <w:pPr>
        <w:ind w:left="360"/>
        <w:rPr>
          <w:rFonts w:eastAsia="Calibri" w:cs="Times New Roman"/>
        </w:rPr>
      </w:pPr>
      <w:r>
        <w:rPr>
          <w:rFonts w:eastAsia="Calibri" w:cs="Times New Roman"/>
        </w:rPr>
        <w:t>B</w:t>
      </w:r>
      <w:r w:rsidRPr="00E92B35">
        <w:rPr>
          <w:rFonts w:eastAsia="Calibri" w:cs="Times New Roman"/>
        </w:rPr>
        <w:t xml:space="preserve">HA’s jurisdiction does not include any </w:t>
      </w:r>
      <w:r w:rsidRPr="00624EC7">
        <w:t>R/ECAPs</w:t>
      </w:r>
      <w:r w:rsidRPr="009610D5">
        <w:rPr>
          <w:b/>
        </w:rPr>
        <w:t xml:space="preserve"> </w:t>
      </w:r>
      <w:r w:rsidRPr="00E92B35">
        <w:rPr>
          <w:rFonts w:eastAsia="Calibri" w:cs="Times New Roman"/>
        </w:rPr>
        <w:t xml:space="preserve">or areas with an undue concentration of poverty. However, </w:t>
      </w:r>
      <w:r>
        <w:rPr>
          <w:rFonts w:eastAsia="Calibri" w:cs="Times New Roman"/>
        </w:rPr>
        <w:t>B</w:t>
      </w:r>
      <w:r w:rsidRPr="00E92B35">
        <w:rPr>
          <w:rFonts w:eastAsia="Calibri" w:cs="Times New Roman"/>
        </w:rPr>
        <w:t xml:space="preserve">HA works closely with Section 8 </w:t>
      </w:r>
      <w:r>
        <w:rPr>
          <w:rFonts w:eastAsia="Calibri" w:cs="Times New Roman"/>
        </w:rPr>
        <w:t xml:space="preserve">Housing Choice Voucher </w:t>
      </w:r>
      <w:r w:rsidRPr="00E92B35">
        <w:rPr>
          <w:rFonts w:eastAsia="Calibri" w:cs="Times New Roman"/>
        </w:rPr>
        <w:t>ho</w:t>
      </w:r>
      <w:r>
        <w:rPr>
          <w:rFonts w:eastAsia="Calibri" w:cs="Times New Roman"/>
        </w:rPr>
        <w:t xml:space="preserve">lders to ensure that they </w:t>
      </w:r>
      <w:r w:rsidRPr="00E92B35">
        <w:rPr>
          <w:rFonts w:eastAsia="Calibri" w:cs="Times New Roman"/>
        </w:rPr>
        <w:t xml:space="preserve">have access to housing throughout the jurisdiction, including areas of </w:t>
      </w:r>
      <w:r>
        <w:rPr>
          <w:rFonts w:eastAsia="Calibri" w:cs="Times New Roman"/>
        </w:rPr>
        <w:t>Burlington</w:t>
      </w:r>
      <w:r w:rsidRPr="00E92B35">
        <w:rPr>
          <w:rFonts w:eastAsia="Calibri" w:cs="Times New Roman"/>
        </w:rPr>
        <w:t xml:space="preserve"> and surrounding communities which are of higher income. In particular, </w:t>
      </w:r>
      <w:r>
        <w:rPr>
          <w:rFonts w:eastAsia="Calibri" w:cs="Times New Roman"/>
        </w:rPr>
        <w:t>B</w:t>
      </w:r>
      <w:r w:rsidRPr="00E92B35">
        <w:rPr>
          <w:rFonts w:eastAsia="Calibri" w:cs="Times New Roman"/>
        </w:rPr>
        <w:t xml:space="preserve">HA has worked closely with the following organizations </w:t>
      </w:r>
      <w:r>
        <w:rPr>
          <w:rFonts w:eastAsia="Calibri" w:cs="Times New Roman"/>
        </w:rPr>
        <w:t>who own</w:t>
      </w:r>
      <w:r w:rsidRPr="00E92B35">
        <w:rPr>
          <w:rFonts w:eastAsia="Calibri" w:cs="Times New Roman"/>
        </w:rPr>
        <w:t xml:space="preserve"> housing in middle and high-income neighborhoods for notification of vacant apartments and referral of voucher holders: Champlain Housing Trust, South Meadow Apartments, Northgate Apartments, and Winchester Place Apartments. </w:t>
      </w:r>
    </w:p>
    <w:p w14:paraId="5D84C205" w14:textId="77777777" w:rsidR="00E22916" w:rsidRPr="00E92B35" w:rsidRDefault="00E22916" w:rsidP="00CF5549">
      <w:pPr>
        <w:ind w:left="360"/>
        <w:rPr>
          <w:rFonts w:eastAsia="Calibri" w:cs="Times New Roman"/>
        </w:rPr>
      </w:pPr>
      <w:r>
        <w:rPr>
          <w:rFonts w:eastAsia="Calibri" w:cs="Times New Roman"/>
        </w:rPr>
        <w:t>B</w:t>
      </w:r>
      <w:r w:rsidRPr="00E92B35">
        <w:rPr>
          <w:rFonts w:eastAsia="Calibri" w:cs="Times New Roman"/>
        </w:rPr>
        <w:t xml:space="preserve">HA also collaborates with </w:t>
      </w:r>
      <w:r>
        <w:rPr>
          <w:rFonts w:eastAsia="Calibri" w:cs="Times New Roman"/>
        </w:rPr>
        <w:t xml:space="preserve">the </w:t>
      </w:r>
      <w:r w:rsidRPr="00E92B35">
        <w:rPr>
          <w:rFonts w:eastAsia="Calibri" w:cs="Times New Roman"/>
        </w:rPr>
        <w:t>Ch</w:t>
      </w:r>
      <w:r>
        <w:rPr>
          <w:rFonts w:eastAsia="Calibri" w:cs="Times New Roman"/>
        </w:rPr>
        <w:t>amplain Valley Office of Economic Opportunity (CVOEO)</w:t>
      </w:r>
      <w:r w:rsidRPr="00E92B35">
        <w:rPr>
          <w:rFonts w:eastAsia="Calibri" w:cs="Times New Roman"/>
        </w:rPr>
        <w:t xml:space="preserve">, a recipient of HUD Fair Housing Program Funds, which conducts a Fair </w:t>
      </w:r>
      <w:r>
        <w:rPr>
          <w:rFonts w:eastAsia="Calibri" w:cs="Times New Roman"/>
        </w:rPr>
        <w:t>Housing Education and Outreach I</w:t>
      </w:r>
      <w:r w:rsidRPr="00E92B35">
        <w:rPr>
          <w:rFonts w:eastAsia="Calibri" w:cs="Times New Roman"/>
        </w:rPr>
        <w:t xml:space="preserve">nitiative. The program </w:t>
      </w:r>
      <w:r>
        <w:rPr>
          <w:rFonts w:eastAsia="Calibri" w:cs="Times New Roman"/>
        </w:rPr>
        <w:t>educates</w:t>
      </w:r>
      <w:r w:rsidRPr="00E92B35">
        <w:rPr>
          <w:rFonts w:eastAsia="Calibri" w:cs="Times New Roman"/>
        </w:rPr>
        <w:t xml:space="preserve"> Section 8 program participants about fair housing law and landlords about their legal obligations. </w:t>
      </w:r>
      <w:r>
        <w:rPr>
          <w:rFonts w:eastAsia="Calibri" w:cs="Times New Roman"/>
        </w:rPr>
        <w:t>B</w:t>
      </w:r>
      <w:r w:rsidRPr="00E92B35">
        <w:rPr>
          <w:rFonts w:eastAsia="Calibri" w:cs="Times New Roman"/>
        </w:rPr>
        <w:t xml:space="preserve">HA is engaged in ongoing discussions with the Vermont Human Rights Commission regarding fair housing education for Section 8 program participants. </w:t>
      </w:r>
    </w:p>
    <w:p w14:paraId="395DB6BE" w14:textId="3789BD6B" w:rsidR="00E22916" w:rsidRDefault="00E22916" w:rsidP="00B015CC">
      <w:pPr>
        <w:ind w:left="360"/>
      </w:pPr>
      <w:r w:rsidRPr="00FE57B5">
        <w:t xml:space="preserve">The Burlington Housing Authority has developed a Language Access Plan (LAP) for </w:t>
      </w:r>
      <w:r>
        <w:t xml:space="preserve">people with </w:t>
      </w:r>
      <w:r w:rsidRPr="00FE57B5">
        <w:t>Limited E</w:t>
      </w:r>
      <w:r>
        <w:t>nglish Proficiency (LEP). The LA</w:t>
      </w:r>
      <w:r w:rsidRPr="00FE57B5">
        <w:t xml:space="preserve">P has five main components to aid in identifying LEP </w:t>
      </w:r>
      <w:r w:rsidRPr="00FE57B5">
        <w:lastRenderedPageBreak/>
        <w:t>persons</w:t>
      </w:r>
      <w:r>
        <w:t xml:space="preserve">; this allows those in need of services to be provided </w:t>
      </w:r>
      <w:r w:rsidRPr="00FE57B5">
        <w:t xml:space="preserve">meaningful access to BHA </w:t>
      </w:r>
      <w:r>
        <w:t xml:space="preserve">programs. </w:t>
      </w:r>
      <w:r w:rsidRPr="00FE57B5">
        <w:t>For the purposes of this plan, individuals who se</w:t>
      </w:r>
      <w:r>
        <w:t>lf-identify</w:t>
      </w:r>
      <w:r w:rsidRPr="00FE57B5">
        <w:t xml:space="preserve"> as not being able </w:t>
      </w:r>
      <w:r>
        <w:t>to speak English proficiently, (“less than well”)</w:t>
      </w:r>
      <w:r w:rsidRPr="00FE57B5">
        <w:t xml:space="preserve"> are considered LEP. The five components are as follows:</w:t>
      </w:r>
      <w:r>
        <w:t xml:space="preserve"> </w:t>
      </w:r>
      <w:r w:rsidRPr="00FE57B5">
        <w:t xml:space="preserve">1. Identifying LEP persons who need language assistance; 2. Identifying ways in which language assistance could be provided; </w:t>
      </w:r>
      <w:r>
        <w:t>3. Training staff</w:t>
      </w:r>
      <w:r w:rsidRPr="00FE57B5">
        <w:t xml:space="preserve">; 4. </w:t>
      </w:r>
      <w:proofErr w:type="gramStart"/>
      <w:r w:rsidRPr="00FE57B5">
        <w:t>Providing</w:t>
      </w:r>
      <w:proofErr w:type="gramEnd"/>
      <w:r w:rsidRPr="00FE57B5">
        <w:t xml:space="preserve"> notice to LEP persons (free phone interpretation services, translate BHA postings into the five most commonly spoken languages, outreach efforts); 5. Continued </w:t>
      </w:r>
      <w:r>
        <w:t>monitoring and u</w:t>
      </w:r>
      <w:r w:rsidRPr="00FE57B5">
        <w:t>pdating of the LEP policy.</w:t>
      </w:r>
    </w:p>
    <w:p w14:paraId="0395ED3C" w14:textId="77777777" w:rsidR="00E22916" w:rsidRPr="005361F1" w:rsidRDefault="00E22916" w:rsidP="00CF5549">
      <w:pPr>
        <w:spacing w:after="0" w:line="240" w:lineRule="auto"/>
        <w:ind w:left="360"/>
        <w:rPr>
          <w:b/>
        </w:rPr>
      </w:pPr>
      <w:r w:rsidRPr="005361F1">
        <w:rPr>
          <w:b/>
        </w:rPr>
        <w:t>Meaningful access for person with limited English proficiency (language assistance plans, interpretation assistance, and translation of vital documents)</w:t>
      </w:r>
    </w:p>
    <w:p w14:paraId="1E5D2AD3" w14:textId="3A34790E" w:rsidR="00E22916" w:rsidRPr="00FE57B5" w:rsidRDefault="00E22916" w:rsidP="00B015CC">
      <w:pPr>
        <w:ind w:left="360"/>
      </w:pPr>
      <w:r w:rsidRPr="00FE57B5">
        <w:t>Generally</w:t>
      </w:r>
      <w:r w:rsidRPr="00DD01D1">
        <w:t>,</w:t>
      </w:r>
      <w:r w:rsidRPr="00FE57B5">
        <w:rPr>
          <w:b/>
        </w:rPr>
        <w:t xml:space="preserve"> </w:t>
      </w:r>
      <w:r w:rsidRPr="00FE57B5">
        <w:t>BHA is most likely to have direct contact with LEP individuals at the administrative office. For individuals residing in housing managed directly by BHA, there is also a significant likelihood that property managers and maintenance staff will come into contact with LEP individuals while on-site at the properties they oversee and maintain.</w:t>
      </w:r>
      <w:r>
        <w:t xml:space="preserve"> We therefore focus on training on the administrative office staff, property managers, and maintenance staff. </w:t>
      </w:r>
    </w:p>
    <w:p w14:paraId="0390C6E3" w14:textId="77227AC8" w:rsidR="00E22916" w:rsidRPr="00FE57B5" w:rsidRDefault="00E22916" w:rsidP="00B015CC">
      <w:pPr>
        <w:ind w:left="360"/>
      </w:pPr>
      <w:r w:rsidRPr="00FE57B5">
        <w:t xml:space="preserve">Many of LEP individuals have contact with BHA once a month to pay their rent at the administrative office. The vast majority reported only needing to contact BHA a few times per year when maintenance issues arose or household information needed to be updated. BHA also handles phone calls as well as face-to-face interactions at the administrative offices on a regular basis. The overwhelming majority of interactions with LEP individuals </w:t>
      </w:r>
      <w:r>
        <w:t>occur</w:t>
      </w:r>
      <w:r w:rsidRPr="00FE57B5">
        <w:t xml:space="preserve"> in-person.</w:t>
      </w:r>
    </w:p>
    <w:p w14:paraId="5526C976" w14:textId="725D97D3" w:rsidR="00E22916" w:rsidRDefault="00E22916" w:rsidP="00CF5549">
      <w:pPr>
        <w:ind w:left="360"/>
      </w:pPr>
      <w:r w:rsidRPr="00FE57B5">
        <w:t xml:space="preserve">BHA provides phone interpretation to all service recipients that request or demonstrate a need for language assistance. Additionally, websites can be utilized to translate some basic written materials. Friends and family members of LEP individuals, as well as local volunteers, often provide interpretation services at meetings and </w:t>
      </w:r>
      <w:r>
        <w:t xml:space="preserve">for </w:t>
      </w:r>
      <w:r w:rsidRPr="00FE57B5">
        <w:t>conversations. The family and/or community members that often accompany LEP individuals do so voluntarily. Therefore, limited</w:t>
      </w:r>
      <w:r>
        <w:t xml:space="preserve"> LE</w:t>
      </w:r>
      <w:r w:rsidRPr="00FE57B5">
        <w:t xml:space="preserve">P measures are reasonable given the resources available to BHA. </w:t>
      </w:r>
    </w:p>
    <w:p w14:paraId="72C0E4FE" w14:textId="0B967656" w:rsidR="00E22916" w:rsidRDefault="00E22916" w:rsidP="00CF5549">
      <w:pPr>
        <w:spacing w:after="0" w:line="240" w:lineRule="auto"/>
        <w:ind w:left="360"/>
        <w:outlineLvl w:val="0"/>
        <w:rPr>
          <w:b/>
        </w:rPr>
      </w:pPr>
      <w:r w:rsidRPr="005361F1">
        <w:rPr>
          <w:b/>
        </w:rPr>
        <w:t>Voucher mobility and portability policies and practices</w:t>
      </w:r>
    </w:p>
    <w:p w14:paraId="26467E50" w14:textId="77777777" w:rsidR="00CF5549" w:rsidRPr="00CF5549" w:rsidRDefault="00CF5549" w:rsidP="00CF5549">
      <w:pPr>
        <w:spacing w:after="0" w:line="240" w:lineRule="auto"/>
        <w:ind w:left="360"/>
        <w:outlineLvl w:val="0"/>
        <w:rPr>
          <w:b/>
        </w:rPr>
      </w:pPr>
    </w:p>
    <w:p w14:paraId="2BD090BA" w14:textId="796877F5" w:rsidR="00E22916" w:rsidRDefault="00E22916" w:rsidP="00CF5549">
      <w:pPr>
        <w:ind w:left="360"/>
        <w:rPr>
          <w:rFonts w:eastAsia="Calibri" w:cs="Times New Roman"/>
        </w:rPr>
      </w:pPr>
      <w:r w:rsidRPr="00E92B35">
        <w:rPr>
          <w:rFonts w:eastAsia="Calibri" w:cs="Times New Roman"/>
        </w:rPr>
        <w:t xml:space="preserve">The Burlington Housing Authority </w:t>
      </w:r>
      <w:r>
        <w:rPr>
          <w:rFonts w:eastAsia="Calibri" w:cs="Times New Roman"/>
        </w:rPr>
        <w:t xml:space="preserve">has completed conversion of all traditional public housing to RAD. This conversion allows for greater portability of vouchers because those in RAD units can utilize their Section 8 voucher for any approved unit; they can thereby bypass the Section 8 waiting list and have a broad choice in where they find their next home. </w:t>
      </w:r>
    </w:p>
    <w:p w14:paraId="55355567" w14:textId="37CEFB59" w:rsidR="00E22916" w:rsidRPr="00E92B35" w:rsidRDefault="00E22916" w:rsidP="00CF5549">
      <w:pPr>
        <w:ind w:left="360"/>
        <w:rPr>
          <w:rFonts w:eastAsia="Calibri" w:cs="Times New Roman"/>
        </w:rPr>
      </w:pPr>
      <w:r>
        <w:rPr>
          <w:rFonts w:eastAsia="Calibri" w:cs="Times New Roman"/>
        </w:rPr>
        <w:t xml:space="preserve">In addition, the Burlington Housing Authority </w:t>
      </w:r>
      <w:r w:rsidRPr="00E92B35">
        <w:rPr>
          <w:rFonts w:eastAsia="Calibri" w:cs="Times New Roman"/>
        </w:rPr>
        <w:t xml:space="preserve">has an informal working arrangement with all Vermont Public Housing Authorities for an area-wide rental voucher and certificate exchange program. This allows Public Housing Authorities to absorb Section 8 families moving from one </w:t>
      </w:r>
      <w:r w:rsidRPr="00E81595">
        <w:rPr>
          <w:rFonts w:eastAsia="Calibri" w:cs="Times New Roman"/>
        </w:rPr>
        <w:t>jurisdiction to another. Since 1997, the Vermont State Housing Authority absorbed 63 Certificate/Voucher participants from PHA, and three other PHAs each absorbed one from PHA. In turn, PHA absorbed five families from four other PHAs.</w:t>
      </w:r>
      <w:r w:rsidRPr="00E92B35">
        <w:rPr>
          <w:rFonts w:eastAsia="Calibri" w:cs="Times New Roman"/>
        </w:rPr>
        <w:t xml:space="preserve"> </w:t>
      </w:r>
    </w:p>
    <w:p w14:paraId="342A87D2" w14:textId="0A14D6FF" w:rsidR="003900FD" w:rsidRPr="00B015CC" w:rsidRDefault="00E22916" w:rsidP="00B015CC">
      <w:pPr>
        <w:ind w:left="360"/>
        <w:rPr>
          <w:rFonts w:eastAsia="Calibri" w:cs="Times New Roman"/>
        </w:rPr>
      </w:pPr>
      <w:r w:rsidRPr="00E92B35">
        <w:rPr>
          <w:rFonts w:eastAsia="Calibri" w:cs="Times New Roman"/>
        </w:rPr>
        <w:t xml:space="preserve">Additionally, the City of Burlington allows both the Winooski Housing Authority and the Vermont State Housing Authority to operate their Section 8 programs within the City of Burlington, thereby increasing rental assistance opportunities for families.  </w:t>
      </w:r>
    </w:p>
    <w:p w14:paraId="688DE123" w14:textId="77777777" w:rsidR="0071716E" w:rsidRDefault="0071716E" w:rsidP="00CF5549">
      <w:pPr>
        <w:spacing w:after="240" w:line="240" w:lineRule="auto"/>
        <w:ind w:left="360"/>
        <w:outlineLvl w:val="0"/>
        <w:rPr>
          <w:b/>
          <w:bCs/>
          <w:u w:val="single"/>
        </w:rPr>
      </w:pPr>
    </w:p>
    <w:p w14:paraId="25ABFDCD" w14:textId="6C4DC20B" w:rsidR="004659AE" w:rsidRPr="006E5151" w:rsidRDefault="5F884969" w:rsidP="00CF5549">
      <w:pPr>
        <w:spacing w:after="240" w:line="240" w:lineRule="auto"/>
        <w:ind w:left="360"/>
        <w:outlineLvl w:val="0"/>
        <w:rPr>
          <w:b/>
          <w:bCs/>
          <w:u w:val="single"/>
        </w:rPr>
      </w:pPr>
      <w:r w:rsidRPr="006E5151">
        <w:rPr>
          <w:b/>
          <w:bCs/>
          <w:u w:val="single"/>
        </w:rPr>
        <w:lastRenderedPageBreak/>
        <w:t>Contributing Factors of Publicly Supported Housing</w:t>
      </w:r>
    </w:p>
    <w:p w14:paraId="7E1A1136" w14:textId="4311A9E8" w:rsidR="0008134A" w:rsidRPr="0071716E" w:rsidRDefault="5F884969" w:rsidP="00CF5549">
      <w:pPr>
        <w:spacing w:after="240" w:line="240" w:lineRule="auto"/>
        <w:ind w:left="360"/>
        <w:rPr>
          <w:b/>
          <w:bCs/>
        </w:rPr>
      </w:pPr>
      <w:r w:rsidRPr="002D4E01">
        <w:rPr>
          <w:b/>
          <w:bCs/>
          <w:i/>
        </w:rPr>
        <w:t xml:space="preserve">Consider the listed factors and any other factors affecting the jurisdiction and region.  Identify factors that significantly create, contribute to, perpetuate, or increase the severity of fair housing issues related to publicly supported housing, including Segregation, R/ECAPs, </w:t>
      </w:r>
      <w:proofErr w:type="gramStart"/>
      <w:r w:rsidRPr="002D4E01">
        <w:rPr>
          <w:b/>
          <w:bCs/>
          <w:i/>
        </w:rPr>
        <w:t>Disparities</w:t>
      </w:r>
      <w:proofErr w:type="gramEnd"/>
      <w:r w:rsidRPr="002D4E01">
        <w:rPr>
          <w:b/>
          <w:bCs/>
          <w:i/>
        </w:rPr>
        <w:t xml:space="preserve"> in Access to Opportunity, and Disproportionate Housing Needs. For each contributing factor that is </w:t>
      </w:r>
      <w:r w:rsidRPr="0071716E">
        <w:rPr>
          <w:b/>
          <w:bCs/>
          <w:i/>
        </w:rPr>
        <w:t>significant, note which fair housing</w:t>
      </w:r>
      <w:r w:rsidRPr="0071716E">
        <w:rPr>
          <w:b/>
          <w:bCs/>
        </w:rPr>
        <w:t xml:space="preserve"> issue(s) the selected contributing factor relates to.</w:t>
      </w:r>
    </w:p>
    <w:p w14:paraId="3A8ED371" w14:textId="7C4067EC" w:rsidR="0008134A" w:rsidRPr="0071716E" w:rsidRDefault="5F884969" w:rsidP="00051C18">
      <w:pPr>
        <w:tabs>
          <w:tab w:val="left" w:pos="720"/>
        </w:tabs>
        <w:spacing w:after="0" w:line="240" w:lineRule="auto"/>
        <w:ind w:left="360" w:right="432"/>
        <w:textAlignment w:val="baseline"/>
        <w:rPr>
          <w:rFonts w:eastAsia="Times New Roman"/>
          <w:b/>
          <w:bCs/>
        </w:rPr>
      </w:pPr>
      <w:r w:rsidRPr="0071716E">
        <w:rPr>
          <w:rFonts w:ascii="Calibri" w:eastAsia="Calibri" w:hAnsi="Calibri" w:cs="Calibri"/>
          <w:b/>
          <w:bCs/>
        </w:rPr>
        <w:t xml:space="preserve">Admissions and occupancy policies and procedures, including preferences in publicly supported housing </w:t>
      </w:r>
    </w:p>
    <w:p w14:paraId="240BC2FD" w14:textId="77777777" w:rsidR="00051C18" w:rsidRPr="0071716E" w:rsidRDefault="00051C18" w:rsidP="00051C18">
      <w:pPr>
        <w:tabs>
          <w:tab w:val="left" w:pos="720"/>
        </w:tabs>
        <w:spacing w:after="0" w:line="240" w:lineRule="auto"/>
        <w:ind w:right="432"/>
        <w:textAlignment w:val="baseline"/>
        <w:rPr>
          <w:rFonts w:ascii="Calibri" w:eastAsia="Calibri" w:hAnsi="Calibri" w:cs="Calibri"/>
          <w:b/>
          <w:bCs/>
        </w:rPr>
      </w:pPr>
    </w:p>
    <w:p w14:paraId="7A24351F" w14:textId="414932AC" w:rsidR="00892275" w:rsidRPr="0071716E" w:rsidRDefault="00892275" w:rsidP="00051C18">
      <w:pPr>
        <w:tabs>
          <w:tab w:val="left" w:pos="720"/>
        </w:tabs>
        <w:spacing w:after="0" w:line="240" w:lineRule="auto"/>
        <w:ind w:left="450" w:right="432"/>
        <w:textAlignment w:val="baseline"/>
        <w:rPr>
          <w:rFonts w:ascii="Calibri" w:eastAsia="Calibri" w:hAnsi="Calibri" w:cs="Calibri"/>
          <w:bCs/>
        </w:rPr>
      </w:pPr>
      <w:r w:rsidRPr="0071716E">
        <w:rPr>
          <w:rFonts w:ascii="Calibri" w:eastAsia="Calibri" w:hAnsi="Calibri" w:cs="Calibri"/>
          <w:bCs/>
        </w:rPr>
        <w:t xml:space="preserve">Both of the participating housing authorities offer broad admissions preferences and waitlist policies. Reasonable accommodations are reviewed and processed. Housing retention </w:t>
      </w:r>
      <w:proofErr w:type="gramStart"/>
      <w:r w:rsidRPr="0071716E">
        <w:rPr>
          <w:rFonts w:ascii="Calibri" w:eastAsia="Calibri" w:hAnsi="Calibri" w:cs="Calibri"/>
          <w:bCs/>
        </w:rPr>
        <w:t>teams</w:t>
      </w:r>
      <w:proofErr w:type="gramEnd"/>
      <w:r w:rsidRPr="0071716E">
        <w:rPr>
          <w:rFonts w:ascii="Calibri" w:eastAsia="Calibri" w:hAnsi="Calibri" w:cs="Calibri"/>
          <w:bCs/>
        </w:rPr>
        <w:t xml:space="preserve"> work with tenants to remain safely housed. However, a number of respondents during interview and in the survey spoke of long waitlists, lack of vouchers and questionable admission policies. </w:t>
      </w:r>
      <w:r w:rsidR="00FD540C" w:rsidRPr="0071716E">
        <w:t>There may be communication issues or a lack of information that this report</w:t>
      </w:r>
      <w:r w:rsidR="005B704E" w:rsidRPr="0071716E">
        <w:t xml:space="preserve"> and further outreach can help </w:t>
      </w:r>
      <w:r w:rsidR="00FD540C" w:rsidRPr="0071716E">
        <w:t>to address, particularly when the issues raised do not match the data on voucher availability or the underlying problems.</w:t>
      </w:r>
    </w:p>
    <w:p w14:paraId="03C63251" w14:textId="77777777" w:rsidR="00892275" w:rsidRPr="0071716E" w:rsidRDefault="00892275" w:rsidP="00892275">
      <w:pPr>
        <w:tabs>
          <w:tab w:val="left" w:pos="720"/>
        </w:tabs>
        <w:spacing w:after="0" w:line="240" w:lineRule="auto"/>
        <w:ind w:left="708" w:right="432"/>
        <w:textAlignment w:val="baseline"/>
        <w:rPr>
          <w:rFonts w:ascii="Calibri" w:eastAsia="Calibri" w:hAnsi="Calibri" w:cs="Calibri"/>
          <w:bCs/>
        </w:rPr>
      </w:pPr>
    </w:p>
    <w:p w14:paraId="14526CF8" w14:textId="1D0A59D1" w:rsidR="0008134A" w:rsidRPr="0071716E" w:rsidRDefault="00442689" w:rsidP="00892275">
      <w:pPr>
        <w:tabs>
          <w:tab w:val="left" w:pos="720"/>
        </w:tabs>
        <w:spacing w:after="0" w:line="240" w:lineRule="auto"/>
        <w:ind w:right="432"/>
        <w:textAlignment w:val="baseline"/>
        <w:rPr>
          <w:rFonts w:ascii="Calibri" w:eastAsia="Calibri" w:hAnsi="Calibri" w:cs="Calibri"/>
          <w:b/>
          <w:bCs/>
        </w:rPr>
      </w:pPr>
      <w:r w:rsidRPr="0071716E">
        <w:rPr>
          <w:rFonts w:ascii="Calibri" w:eastAsia="Calibri" w:hAnsi="Calibri" w:cs="Calibri"/>
          <w:b/>
          <w:bCs/>
        </w:rPr>
        <w:t xml:space="preserve">        </w:t>
      </w:r>
      <w:r w:rsidR="5F884969" w:rsidRPr="0071716E">
        <w:rPr>
          <w:rFonts w:ascii="Calibri" w:eastAsia="Calibri" w:hAnsi="Calibri" w:cs="Calibri"/>
          <w:b/>
          <w:bCs/>
        </w:rPr>
        <w:t>Community opposition</w:t>
      </w:r>
    </w:p>
    <w:p w14:paraId="240C216E" w14:textId="32F26DFC" w:rsidR="00522EBE" w:rsidRPr="0071716E" w:rsidRDefault="00522EBE" w:rsidP="00522EBE">
      <w:pPr>
        <w:ind w:left="360" w:hanging="360"/>
      </w:pPr>
      <w:r w:rsidRPr="0071716E">
        <w:t xml:space="preserve">        Recent inquiry into eviction prevention practices of public housing providers, following a serious     altercation between the police department and a resident with mental health challenges, resulted in the formation of an Eviction Prevention Committee.  Thi</w:t>
      </w:r>
      <w:r w:rsidR="003E6B06" w:rsidRPr="0071716E">
        <w:t>s sub-committee of City Council</w:t>
      </w:r>
      <w:r w:rsidRPr="0071716E">
        <w:t xml:space="preserve"> brought together service and housing providers and community public safety officials to identify and evaluate current housing retention services available and discuss current eviction practices.  While housing some of the community's most vulnerable residents, clear challenges arise in housing retention, tenant behavior and community response.  </w:t>
      </w:r>
    </w:p>
    <w:p w14:paraId="3B213A27" w14:textId="19723BA2" w:rsidR="00892275" w:rsidRPr="0071716E" w:rsidRDefault="003372C3" w:rsidP="003E6B06">
      <w:pPr>
        <w:tabs>
          <w:tab w:val="left" w:pos="720"/>
        </w:tabs>
        <w:spacing w:after="0" w:line="240" w:lineRule="auto"/>
        <w:ind w:left="450" w:right="432" w:hanging="450"/>
        <w:textAlignment w:val="baseline"/>
        <w:rPr>
          <w:rFonts w:eastAsia="Times New Roman"/>
          <w:bCs/>
        </w:rPr>
      </w:pPr>
      <w:r w:rsidRPr="0071716E">
        <w:rPr>
          <w:rFonts w:ascii="Calibri" w:eastAsia="Calibri" w:hAnsi="Calibri" w:cs="Calibri"/>
          <w:bCs/>
        </w:rPr>
        <w:t xml:space="preserve"> </w:t>
      </w:r>
    </w:p>
    <w:p w14:paraId="310ADA11" w14:textId="77777777" w:rsidR="002D4E01" w:rsidRDefault="002D4E01" w:rsidP="002D4E01">
      <w:pPr>
        <w:tabs>
          <w:tab w:val="left" w:pos="720"/>
        </w:tabs>
        <w:spacing w:after="0" w:line="240" w:lineRule="auto"/>
        <w:ind w:right="432"/>
        <w:textAlignment w:val="baseline"/>
        <w:rPr>
          <w:rFonts w:ascii="Calibri" w:eastAsia="Calibri" w:hAnsi="Calibri" w:cs="Calibri"/>
          <w:b/>
          <w:bCs/>
        </w:rPr>
      </w:pPr>
      <w:r w:rsidRPr="0071716E">
        <w:rPr>
          <w:rFonts w:ascii="Calibri" w:eastAsia="Calibri" w:hAnsi="Calibri" w:cs="Calibri"/>
          <w:b/>
          <w:bCs/>
        </w:rPr>
        <w:t xml:space="preserve">         </w:t>
      </w:r>
      <w:r w:rsidR="5F884969" w:rsidRPr="0071716E">
        <w:rPr>
          <w:rFonts w:ascii="Calibri" w:eastAsia="Calibri" w:hAnsi="Calibri" w:cs="Calibri"/>
          <w:b/>
          <w:bCs/>
        </w:rPr>
        <w:t>Impediments to mobility</w:t>
      </w:r>
    </w:p>
    <w:p w14:paraId="2687C17A" w14:textId="1F87625A" w:rsidR="000F55FC" w:rsidRPr="003E6114" w:rsidRDefault="002D4E01" w:rsidP="003E6114">
      <w:pPr>
        <w:tabs>
          <w:tab w:val="left" w:pos="720"/>
        </w:tabs>
        <w:spacing w:after="0" w:line="240" w:lineRule="auto"/>
        <w:ind w:left="450" w:right="432" w:hanging="450"/>
        <w:textAlignment w:val="baseline"/>
        <w:rPr>
          <w:rFonts w:ascii="Calibri" w:eastAsia="Calibri" w:hAnsi="Calibri" w:cs="Calibri"/>
          <w:b/>
          <w:bCs/>
        </w:rPr>
      </w:pPr>
      <w:r>
        <w:rPr>
          <w:rFonts w:ascii="Calibri" w:eastAsia="Calibri" w:hAnsi="Calibri" w:cs="Calibri"/>
          <w:b/>
          <w:bCs/>
        </w:rPr>
        <w:t xml:space="preserve">         </w:t>
      </w:r>
      <w:r w:rsidR="003372C3">
        <w:rPr>
          <w:rFonts w:eastAsia="Times New Roman"/>
          <w:bCs/>
        </w:rPr>
        <w:t xml:space="preserve">Impediments to mobility refers to barriers faced by individuals and families when attempting </w:t>
      </w:r>
      <w:r>
        <w:rPr>
          <w:rFonts w:eastAsia="Times New Roman"/>
          <w:bCs/>
        </w:rPr>
        <w:t xml:space="preserve">          </w:t>
      </w:r>
      <w:r w:rsidR="003372C3">
        <w:rPr>
          <w:rFonts w:eastAsia="Times New Roman"/>
          <w:bCs/>
        </w:rPr>
        <w:t>to move to a neighborhood or are of their choice. With the conversion of public housing units to RAD properties, residents now have the option of moving with their housing voucher to other properties or even perhaps moving out of the Burlington area. However, there appears to be a lack of units priced either in Burlington or the Region at Fair Market Rent level. Private landlords, to increase their returns on investment have opted to price units at market rate levels and due to perpetually low vacancy rates, are able to find renters in college students and higher wage earners</w:t>
      </w:r>
    </w:p>
    <w:p w14:paraId="58B74BF6" w14:textId="57DA82B2" w:rsidR="00B015CC" w:rsidRDefault="00B015CC" w:rsidP="00F31D25">
      <w:pPr>
        <w:spacing w:after="240" w:line="240" w:lineRule="auto"/>
      </w:pPr>
    </w:p>
    <w:p w14:paraId="5EF87A58" w14:textId="72EF050C" w:rsidR="001A06EC" w:rsidRPr="00864DDD" w:rsidRDefault="5F884969" w:rsidP="002F7C2E">
      <w:pPr>
        <w:pStyle w:val="Heading1"/>
        <w:numPr>
          <w:ilvl w:val="0"/>
          <w:numId w:val="2"/>
        </w:numPr>
        <w:rPr>
          <w:rFonts w:ascii="Garamond" w:hAnsi="Garamond"/>
          <w:b/>
          <w:bCs/>
          <w:sz w:val="26"/>
          <w:szCs w:val="26"/>
        </w:rPr>
      </w:pPr>
      <w:bookmarkStart w:id="44" w:name="DisabilityandAccessAnalysis"/>
      <w:r w:rsidRPr="5F884969">
        <w:rPr>
          <w:rFonts w:ascii="Garamond" w:hAnsi="Garamond"/>
          <w:b/>
          <w:bCs/>
          <w:sz w:val="26"/>
          <w:szCs w:val="26"/>
        </w:rPr>
        <w:t>Disability and Access Analysis</w:t>
      </w:r>
    </w:p>
    <w:bookmarkEnd w:id="44"/>
    <w:p w14:paraId="1F9918B2" w14:textId="77777777" w:rsidR="0008432B" w:rsidRPr="0008432B" w:rsidRDefault="5F884969" w:rsidP="002F7C2E">
      <w:pPr>
        <w:ind w:firstLine="360"/>
        <w:outlineLvl w:val="0"/>
        <w:rPr>
          <w:b/>
          <w:bCs/>
          <w:u w:val="single"/>
        </w:rPr>
      </w:pPr>
      <w:r w:rsidRPr="5F884969">
        <w:rPr>
          <w:b/>
          <w:bCs/>
          <w:u w:val="single"/>
        </w:rPr>
        <w:t>Population Profile</w:t>
      </w:r>
    </w:p>
    <w:p w14:paraId="4F551E0F" w14:textId="60E4BD5C" w:rsidR="0008432B" w:rsidRPr="0008432B" w:rsidRDefault="5F884969" w:rsidP="5F884969">
      <w:pPr>
        <w:spacing w:after="240" w:line="240" w:lineRule="auto"/>
        <w:ind w:left="360"/>
        <w:rPr>
          <w:b/>
          <w:bCs/>
        </w:rPr>
      </w:pPr>
      <w:r w:rsidRPr="5F884969">
        <w:rPr>
          <w:b/>
          <w:bCs/>
        </w:rPr>
        <w:t xml:space="preserve">How are persons with disabilities geographically dispersed or concentrated in the jurisdiction and region, including R/ECAPs and other segregated areas identified in previous sections? </w:t>
      </w:r>
    </w:p>
    <w:p w14:paraId="14729A3A" w14:textId="0B936D07" w:rsidR="0008432B" w:rsidRPr="0008432B" w:rsidRDefault="5F884969" w:rsidP="002F7C2E">
      <w:pPr>
        <w:spacing w:after="0"/>
        <w:ind w:left="360"/>
        <w:outlineLvl w:val="0"/>
        <w:rPr>
          <w:b/>
          <w:bCs/>
          <w:i/>
          <w:iCs/>
        </w:rPr>
      </w:pPr>
      <w:r w:rsidRPr="5F884969">
        <w:rPr>
          <w:b/>
          <w:bCs/>
          <w:i/>
          <w:iCs/>
        </w:rPr>
        <w:t>Burlington</w:t>
      </w:r>
    </w:p>
    <w:p w14:paraId="6093BD7B" w14:textId="0B6851C1" w:rsidR="0008432B" w:rsidRDefault="000F55FC" w:rsidP="0008432B">
      <w:pPr>
        <w:spacing w:after="0"/>
        <w:ind w:left="360"/>
      </w:pPr>
      <w:r>
        <w:lastRenderedPageBreak/>
        <w:t>Table 26</w:t>
      </w:r>
      <w:r w:rsidR="5F884969">
        <w:t xml:space="preserve"> shows six types of recorded disabilities, with cognitive difficulty being the most prevalent disability in the Burlington jurisdiction, at 5.97% of the disabled population. Ambulatory difficulty is the second most prevalent disability in the jurisdiction at 5.41%, followed by independent living disability at 4.2%. The proportion of the disabled population experiencing hearing difficulty is 3.09%, self-care difficulty 1.67%, and vision difficulty is the lowest level of recorded disability in Burlington at 1.66%.</w:t>
      </w:r>
    </w:p>
    <w:p w14:paraId="0660106E" w14:textId="77777777" w:rsidR="00094E0B" w:rsidRDefault="00094E0B" w:rsidP="0008432B">
      <w:pPr>
        <w:spacing w:after="0"/>
        <w:ind w:left="360"/>
      </w:pPr>
    </w:p>
    <w:p w14:paraId="2E630881" w14:textId="490E4F5F" w:rsidR="00094E0B" w:rsidRDefault="5F884969" w:rsidP="0008432B">
      <w:pPr>
        <w:spacing w:after="0"/>
        <w:ind w:left="360"/>
      </w:pPr>
      <w:r>
        <w:t>Maps 17 and 18 show the distribution of these 6 disability types. Disabled populations appear to be fairly evenly distributed throughout the Burlington area.</w:t>
      </w:r>
    </w:p>
    <w:p w14:paraId="6A1AE137" w14:textId="77777777" w:rsidR="008B69A7" w:rsidRDefault="008B69A7" w:rsidP="0008432B">
      <w:pPr>
        <w:spacing w:after="0"/>
        <w:ind w:left="360"/>
      </w:pPr>
    </w:p>
    <w:p w14:paraId="243EF2DE" w14:textId="77777777" w:rsidR="008B69A7" w:rsidRPr="0008432B" w:rsidRDefault="008B69A7" w:rsidP="0008432B">
      <w:pPr>
        <w:spacing w:after="0"/>
        <w:ind w:left="360"/>
      </w:pPr>
    </w:p>
    <w:p w14:paraId="76384BB4" w14:textId="77777777" w:rsidR="00855DE3" w:rsidRDefault="00855DE3" w:rsidP="0025019A">
      <w:pPr>
        <w:spacing w:after="0"/>
        <w:rPr>
          <w:b/>
          <w:i/>
          <w:sz w:val="20"/>
          <w:szCs w:val="20"/>
        </w:rPr>
      </w:pPr>
    </w:p>
    <w:p w14:paraId="1114E486" w14:textId="0F00E97D" w:rsidR="0025019A" w:rsidRDefault="000F55FC" w:rsidP="5F884969">
      <w:pPr>
        <w:spacing w:after="0"/>
        <w:ind w:firstLine="360"/>
        <w:rPr>
          <w:sz w:val="20"/>
          <w:szCs w:val="20"/>
        </w:rPr>
      </w:pPr>
      <w:r>
        <w:rPr>
          <w:b/>
          <w:bCs/>
          <w:i/>
          <w:iCs/>
          <w:sz w:val="20"/>
          <w:szCs w:val="20"/>
        </w:rPr>
        <w:t>Table 26</w:t>
      </w:r>
      <w:r w:rsidR="5F884969" w:rsidRPr="5F884969">
        <w:rPr>
          <w:b/>
          <w:bCs/>
          <w:i/>
          <w:iCs/>
          <w:sz w:val="20"/>
          <w:szCs w:val="20"/>
        </w:rPr>
        <w:t>:</w:t>
      </w:r>
      <w:r w:rsidR="5F884969" w:rsidRPr="5F884969">
        <w:rPr>
          <w:sz w:val="20"/>
          <w:szCs w:val="20"/>
        </w:rPr>
        <w:t xml:space="preserve"> Disability by Type in Burlington, VT and Burlington-South Burlington Region. Source: ACS.</w:t>
      </w:r>
    </w:p>
    <w:tbl>
      <w:tblPr>
        <w:tblW w:w="0" w:type="auto"/>
        <w:tblInd w:w="364" w:type="dxa"/>
        <w:tblLook w:val="04A0" w:firstRow="1" w:lastRow="0" w:firstColumn="1" w:lastColumn="0" w:noHBand="0" w:noVBand="1"/>
      </w:tblPr>
      <w:tblGrid>
        <w:gridCol w:w="3160"/>
        <w:gridCol w:w="1167"/>
        <w:gridCol w:w="1244"/>
        <w:gridCol w:w="1777"/>
        <w:gridCol w:w="1638"/>
      </w:tblGrid>
      <w:tr w:rsidR="0025019A" w:rsidRPr="006B47F2" w14:paraId="0B4B0635" w14:textId="77777777" w:rsidTr="5F884969">
        <w:trPr>
          <w:trHeight w:val="467"/>
        </w:trPr>
        <w:tc>
          <w:tcPr>
            <w:tcW w:w="0" w:type="auto"/>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DB60783" w14:textId="6981AA74" w:rsidR="0025019A" w:rsidRPr="006B47F2" w:rsidRDefault="000F55FC" w:rsidP="5F884969">
            <w:pPr>
              <w:spacing w:after="0" w:line="240" w:lineRule="auto"/>
              <w:rPr>
                <w:rFonts w:ascii="Calibri" w:eastAsia="Times New Roman" w:hAnsi="Calibri" w:cs="Times New Roman"/>
                <w:b/>
                <w:bCs/>
                <w:color w:val="000000" w:themeColor="text1"/>
              </w:rPr>
            </w:pPr>
            <w:r>
              <w:rPr>
                <w:rFonts w:ascii="Calibri" w:eastAsia="Times New Roman" w:hAnsi="Calibri" w:cs="Times New Roman"/>
                <w:b/>
                <w:bCs/>
                <w:color w:val="000000" w:themeColor="text1"/>
              </w:rPr>
              <w:t>Table 26</w:t>
            </w:r>
            <w:r w:rsidR="5F884969" w:rsidRPr="5F884969">
              <w:rPr>
                <w:rFonts w:ascii="Calibri" w:eastAsia="Times New Roman" w:hAnsi="Calibri" w:cs="Times New Roman"/>
                <w:b/>
                <w:bCs/>
                <w:color w:val="000000" w:themeColor="text1"/>
              </w:rPr>
              <w:t>: Disability by Type</w:t>
            </w:r>
          </w:p>
        </w:tc>
      </w:tr>
      <w:tr w:rsidR="0025019A" w:rsidRPr="006B47F2" w14:paraId="49084A65" w14:textId="77777777" w:rsidTr="5F884969">
        <w:trPr>
          <w:trHeight w:val="8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9DC05" w14:textId="77777777" w:rsidR="0025019A" w:rsidRPr="006B47F2"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14:paraId="3EBA9192" w14:textId="77777777" w:rsidR="0025019A" w:rsidRPr="006B47F2"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 VT Jurisdiction</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14:paraId="166F5B25" w14:textId="77777777" w:rsidR="0025019A" w:rsidRPr="006B47F2"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Burlington-South Burlington, VT Region</w:t>
            </w:r>
          </w:p>
        </w:tc>
      </w:tr>
      <w:tr w:rsidR="0025019A" w:rsidRPr="006B47F2" w14:paraId="33394CF0" w14:textId="77777777" w:rsidTr="5F884969">
        <w:trPr>
          <w:trHeight w:val="420"/>
        </w:trPr>
        <w:tc>
          <w:tcPr>
            <w:tcW w:w="0" w:type="auto"/>
            <w:tcBorders>
              <w:top w:val="nil"/>
              <w:left w:val="single" w:sz="4" w:space="0" w:color="auto"/>
              <w:bottom w:val="single" w:sz="4" w:space="0" w:color="auto"/>
              <w:right w:val="single" w:sz="4" w:space="0" w:color="auto"/>
            </w:tcBorders>
            <w:shd w:val="clear" w:color="auto" w:fill="DCE6F1"/>
            <w:noWrap/>
            <w:vAlign w:val="bottom"/>
            <w:hideMark/>
          </w:tcPr>
          <w:p w14:paraId="5E1AE81F" w14:textId="77777777" w:rsidR="0025019A" w:rsidRPr="006B47F2"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Disability Type</w:t>
            </w:r>
          </w:p>
        </w:tc>
        <w:tc>
          <w:tcPr>
            <w:tcW w:w="0" w:type="auto"/>
            <w:tcBorders>
              <w:top w:val="nil"/>
              <w:left w:val="nil"/>
              <w:bottom w:val="single" w:sz="4" w:space="0" w:color="auto"/>
              <w:right w:val="single" w:sz="4" w:space="0" w:color="auto"/>
            </w:tcBorders>
            <w:shd w:val="clear" w:color="auto" w:fill="DCE6F1"/>
            <w:noWrap/>
            <w:vAlign w:val="bottom"/>
            <w:hideMark/>
          </w:tcPr>
          <w:p w14:paraId="4947C886" w14:textId="77777777" w:rsidR="0025019A" w:rsidRPr="006B47F2"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0" w:type="auto"/>
            <w:tcBorders>
              <w:top w:val="nil"/>
              <w:left w:val="nil"/>
              <w:bottom w:val="single" w:sz="4" w:space="0" w:color="auto"/>
              <w:right w:val="single" w:sz="4" w:space="0" w:color="auto"/>
            </w:tcBorders>
            <w:shd w:val="clear" w:color="auto" w:fill="DCE6F1"/>
            <w:noWrap/>
            <w:vAlign w:val="bottom"/>
            <w:hideMark/>
          </w:tcPr>
          <w:p w14:paraId="61E49FA9" w14:textId="77777777" w:rsidR="0025019A" w:rsidRPr="006B47F2"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0" w:type="auto"/>
            <w:tcBorders>
              <w:top w:val="nil"/>
              <w:left w:val="nil"/>
              <w:bottom w:val="single" w:sz="4" w:space="0" w:color="auto"/>
              <w:right w:val="single" w:sz="4" w:space="0" w:color="auto"/>
            </w:tcBorders>
            <w:shd w:val="clear" w:color="auto" w:fill="DCE6F1"/>
            <w:noWrap/>
            <w:vAlign w:val="bottom"/>
            <w:hideMark/>
          </w:tcPr>
          <w:p w14:paraId="1ACDEE37" w14:textId="77777777" w:rsidR="0025019A" w:rsidRPr="006B47F2"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0" w:type="auto"/>
            <w:tcBorders>
              <w:top w:val="nil"/>
              <w:left w:val="nil"/>
              <w:bottom w:val="single" w:sz="4" w:space="0" w:color="auto"/>
              <w:right w:val="single" w:sz="4" w:space="0" w:color="auto"/>
            </w:tcBorders>
            <w:shd w:val="clear" w:color="auto" w:fill="DCE6F1"/>
            <w:noWrap/>
            <w:vAlign w:val="bottom"/>
            <w:hideMark/>
          </w:tcPr>
          <w:p w14:paraId="693862F5" w14:textId="77777777" w:rsidR="0025019A" w:rsidRPr="006B47F2"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r>
      <w:tr w:rsidR="0025019A" w:rsidRPr="006B47F2" w14:paraId="3197A782" w14:textId="77777777" w:rsidTr="5F884969">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49574C" w14:textId="77777777" w:rsidR="0025019A" w:rsidRPr="006B47F2" w:rsidRDefault="5F884969" w:rsidP="5F884969">
            <w:pPr>
              <w:spacing w:after="0" w:line="240" w:lineRule="auto"/>
              <w:ind w:firstLineChars="200" w:firstLine="440"/>
              <w:rPr>
                <w:rFonts w:ascii="Calibri" w:eastAsia="Times New Roman" w:hAnsi="Calibri" w:cs="Times New Roman"/>
                <w:color w:val="000000" w:themeColor="text1"/>
              </w:rPr>
            </w:pPr>
            <w:r w:rsidRPr="5F884969">
              <w:rPr>
                <w:rFonts w:ascii="Calibri" w:eastAsia="Times New Roman" w:hAnsi="Calibri" w:cs="Times New Roman"/>
                <w:color w:val="000000" w:themeColor="text1"/>
              </w:rPr>
              <w:t>Hearing difficulty</w:t>
            </w:r>
          </w:p>
        </w:tc>
        <w:tc>
          <w:tcPr>
            <w:tcW w:w="0" w:type="auto"/>
            <w:tcBorders>
              <w:top w:val="nil"/>
              <w:left w:val="nil"/>
              <w:bottom w:val="single" w:sz="4" w:space="0" w:color="auto"/>
              <w:right w:val="single" w:sz="4" w:space="0" w:color="auto"/>
            </w:tcBorders>
            <w:shd w:val="clear" w:color="auto" w:fill="auto"/>
            <w:noWrap/>
            <w:vAlign w:val="bottom"/>
            <w:hideMark/>
          </w:tcPr>
          <w:p w14:paraId="70A6DCB7"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1,251</w:t>
            </w:r>
          </w:p>
        </w:tc>
        <w:tc>
          <w:tcPr>
            <w:tcW w:w="0" w:type="auto"/>
            <w:tcBorders>
              <w:top w:val="nil"/>
              <w:left w:val="nil"/>
              <w:bottom w:val="single" w:sz="4" w:space="0" w:color="auto"/>
              <w:right w:val="single" w:sz="4" w:space="0" w:color="auto"/>
            </w:tcBorders>
            <w:shd w:val="clear" w:color="auto" w:fill="auto"/>
            <w:noWrap/>
            <w:vAlign w:val="bottom"/>
            <w:hideMark/>
          </w:tcPr>
          <w:p w14:paraId="4C6E5E14"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3.09%</w:t>
            </w:r>
          </w:p>
        </w:tc>
        <w:tc>
          <w:tcPr>
            <w:tcW w:w="0" w:type="auto"/>
            <w:tcBorders>
              <w:top w:val="nil"/>
              <w:left w:val="nil"/>
              <w:bottom w:val="single" w:sz="4" w:space="0" w:color="auto"/>
              <w:right w:val="single" w:sz="4" w:space="0" w:color="auto"/>
            </w:tcBorders>
            <w:shd w:val="clear" w:color="auto" w:fill="auto"/>
            <w:noWrap/>
            <w:vAlign w:val="bottom"/>
            <w:hideMark/>
          </w:tcPr>
          <w:p w14:paraId="411BFA03"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7,161</w:t>
            </w:r>
          </w:p>
        </w:tc>
        <w:tc>
          <w:tcPr>
            <w:tcW w:w="0" w:type="auto"/>
            <w:tcBorders>
              <w:top w:val="nil"/>
              <w:left w:val="nil"/>
              <w:bottom w:val="single" w:sz="4" w:space="0" w:color="auto"/>
              <w:right w:val="single" w:sz="4" w:space="0" w:color="auto"/>
            </w:tcBorders>
            <w:shd w:val="clear" w:color="auto" w:fill="auto"/>
            <w:noWrap/>
            <w:vAlign w:val="bottom"/>
            <w:hideMark/>
          </w:tcPr>
          <w:p w14:paraId="69530946"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3.58%</w:t>
            </w:r>
          </w:p>
        </w:tc>
      </w:tr>
      <w:tr w:rsidR="0025019A" w:rsidRPr="006B47F2" w14:paraId="7C9AF226" w14:textId="77777777" w:rsidTr="5F884969">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020157" w14:textId="77777777" w:rsidR="0025019A" w:rsidRPr="006B47F2" w:rsidRDefault="5F884969" w:rsidP="5F884969">
            <w:pPr>
              <w:spacing w:after="0" w:line="240" w:lineRule="auto"/>
              <w:ind w:firstLineChars="200" w:firstLine="440"/>
              <w:rPr>
                <w:rFonts w:ascii="Calibri" w:eastAsia="Times New Roman" w:hAnsi="Calibri" w:cs="Times New Roman"/>
                <w:color w:val="000000" w:themeColor="text1"/>
              </w:rPr>
            </w:pPr>
            <w:r w:rsidRPr="5F884969">
              <w:rPr>
                <w:rFonts w:ascii="Calibri" w:eastAsia="Times New Roman" w:hAnsi="Calibri" w:cs="Times New Roman"/>
                <w:color w:val="000000" w:themeColor="text1"/>
              </w:rPr>
              <w:t>Vision difficulty</w:t>
            </w:r>
          </w:p>
        </w:tc>
        <w:tc>
          <w:tcPr>
            <w:tcW w:w="0" w:type="auto"/>
            <w:tcBorders>
              <w:top w:val="nil"/>
              <w:left w:val="nil"/>
              <w:bottom w:val="single" w:sz="4" w:space="0" w:color="auto"/>
              <w:right w:val="single" w:sz="4" w:space="0" w:color="auto"/>
            </w:tcBorders>
            <w:shd w:val="clear" w:color="auto" w:fill="auto"/>
            <w:noWrap/>
            <w:vAlign w:val="bottom"/>
            <w:hideMark/>
          </w:tcPr>
          <w:p w14:paraId="41FA3BA6"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670</w:t>
            </w:r>
          </w:p>
        </w:tc>
        <w:tc>
          <w:tcPr>
            <w:tcW w:w="0" w:type="auto"/>
            <w:tcBorders>
              <w:top w:val="nil"/>
              <w:left w:val="nil"/>
              <w:bottom w:val="single" w:sz="4" w:space="0" w:color="auto"/>
              <w:right w:val="single" w:sz="4" w:space="0" w:color="auto"/>
            </w:tcBorders>
            <w:shd w:val="clear" w:color="auto" w:fill="auto"/>
            <w:noWrap/>
            <w:vAlign w:val="bottom"/>
            <w:hideMark/>
          </w:tcPr>
          <w:p w14:paraId="37CF2F5D"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1.66%</w:t>
            </w:r>
          </w:p>
        </w:tc>
        <w:tc>
          <w:tcPr>
            <w:tcW w:w="0" w:type="auto"/>
            <w:tcBorders>
              <w:top w:val="nil"/>
              <w:left w:val="nil"/>
              <w:bottom w:val="single" w:sz="4" w:space="0" w:color="auto"/>
              <w:right w:val="single" w:sz="4" w:space="0" w:color="auto"/>
            </w:tcBorders>
            <w:shd w:val="clear" w:color="auto" w:fill="auto"/>
            <w:noWrap/>
            <w:vAlign w:val="bottom"/>
            <w:hideMark/>
          </w:tcPr>
          <w:p w14:paraId="2258D762"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3,183</w:t>
            </w:r>
          </w:p>
        </w:tc>
        <w:tc>
          <w:tcPr>
            <w:tcW w:w="0" w:type="auto"/>
            <w:tcBorders>
              <w:top w:val="nil"/>
              <w:left w:val="nil"/>
              <w:bottom w:val="single" w:sz="4" w:space="0" w:color="auto"/>
              <w:right w:val="single" w:sz="4" w:space="0" w:color="auto"/>
            </w:tcBorders>
            <w:shd w:val="clear" w:color="auto" w:fill="auto"/>
            <w:noWrap/>
            <w:vAlign w:val="bottom"/>
            <w:hideMark/>
          </w:tcPr>
          <w:p w14:paraId="454B80DA"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1.59%</w:t>
            </w:r>
          </w:p>
        </w:tc>
      </w:tr>
      <w:tr w:rsidR="0025019A" w:rsidRPr="006B47F2" w14:paraId="561C31B8" w14:textId="77777777" w:rsidTr="5F884969">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489C88" w14:textId="77777777" w:rsidR="0025019A" w:rsidRPr="006B47F2" w:rsidRDefault="5F884969" w:rsidP="5F884969">
            <w:pPr>
              <w:spacing w:after="0" w:line="240" w:lineRule="auto"/>
              <w:ind w:firstLineChars="200" w:firstLine="440"/>
              <w:rPr>
                <w:rFonts w:ascii="Calibri" w:eastAsia="Times New Roman" w:hAnsi="Calibri" w:cs="Times New Roman"/>
                <w:color w:val="000000" w:themeColor="text1"/>
              </w:rPr>
            </w:pPr>
            <w:r w:rsidRPr="5F884969">
              <w:rPr>
                <w:rFonts w:ascii="Calibri" w:eastAsia="Times New Roman" w:hAnsi="Calibri" w:cs="Times New Roman"/>
                <w:color w:val="000000" w:themeColor="text1"/>
              </w:rPr>
              <w:t>Cognitive difficulty</w:t>
            </w:r>
          </w:p>
        </w:tc>
        <w:tc>
          <w:tcPr>
            <w:tcW w:w="0" w:type="auto"/>
            <w:tcBorders>
              <w:top w:val="nil"/>
              <w:left w:val="nil"/>
              <w:bottom w:val="single" w:sz="4" w:space="0" w:color="auto"/>
              <w:right w:val="single" w:sz="4" w:space="0" w:color="auto"/>
            </w:tcBorders>
            <w:shd w:val="clear" w:color="auto" w:fill="auto"/>
            <w:noWrap/>
            <w:vAlign w:val="bottom"/>
            <w:hideMark/>
          </w:tcPr>
          <w:p w14:paraId="7FA9E9A4"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2,414</w:t>
            </w:r>
          </w:p>
        </w:tc>
        <w:tc>
          <w:tcPr>
            <w:tcW w:w="0" w:type="auto"/>
            <w:tcBorders>
              <w:top w:val="nil"/>
              <w:left w:val="nil"/>
              <w:bottom w:val="single" w:sz="4" w:space="0" w:color="auto"/>
              <w:right w:val="single" w:sz="4" w:space="0" w:color="auto"/>
            </w:tcBorders>
            <w:shd w:val="clear" w:color="auto" w:fill="auto"/>
            <w:noWrap/>
            <w:vAlign w:val="bottom"/>
            <w:hideMark/>
          </w:tcPr>
          <w:p w14:paraId="3475296C"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5.97%</w:t>
            </w:r>
          </w:p>
        </w:tc>
        <w:tc>
          <w:tcPr>
            <w:tcW w:w="0" w:type="auto"/>
            <w:tcBorders>
              <w:top w:val="nil"/>
              <w:left w:val="nil"/>
              <w:bottom w:val="single" w:sz="4" w:space="0" w:color="auto"/>
              <w:right w:val="single" w:sz="4" w:space="0" w:color="auto"/>
            </w:tcBorders>
            <w:shd w:val="clear" w:color="auto" w:fill="auto"/>
            <w:noWrap/>
            <w:vAlign w:val="bottom"/>
            <w:hideMark/>
          </w:tcPr>
          <w:p w14:paraId="0DC2DCFE"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9,636</w:t>
            </w:r>
          </w:p>
        </w:tc>
        <w:tc>
          <w:tcPr>
            <w:tcW w:w="0" w:type="auto"/>
            <w:tcBorders>
              <w:top w:val="nil"/>
              <w:left w:val="nil"/>
              <w:bottom w:val="single" w:sz="4" w:space="0" w:color="auto"/>
              <w:right w:val="single" w:sz="4" w:space="0" w:color="auto"/>
            </w:tcBorders>
            <w:shd w:val="clear" w:color="auto" w:fill="auto"/>
            <w:noWrap/>
            <w:vAlign w:val="bottom"/>
            <w:hideMark/>
          </w:tcPr>
          <w:p w14:paraId="07A4BE10"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4.82%</w:t>
            </w:r>
          </w:p>
        </w:tc>
      </w:tr>
      <w:tr w:rsidR="0025019A" w:rsidRPr="006B47F2" w14:paraId="49EDB040" w14:textId="77777777" w:rsidTr="5F884969">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AC4BBE" w14:textId="77777777" w:rsidR="0025019A" w:rsidRPr="006B47F2" w:rsidRDefault="5F884969" w:rsidP="5F884969">
            <w:pPr>
              <w:spacing w:after="0" w:line="240" w:lineRule="auto"/>
              <w:ind w:firstLineChars="200" w:firstLine="440"/>
              <w:rPr>
                <w:rFonts w:ascii="Calibri" w:eastAsia="Times New Roman" w:hAnsi="Calibri" w:cs="Times New Roman"/>
                <w:color w:val="000000" w:themeColor="text1"/>
              </w:rPr>
            </w:pPr>
            <w:r w:rsidRPr="5F884969">
              <w:rPr>
                <w:rFonts w:ascii="Calibri" w:eastAsia="Times New Roman" w:hAnsi="Calibri" w:cs="Times New Roman"/>
                <w:color w:val="000000" w:themeColor="text1"/>
              </w:rPr>
              <w:t>Ambulatory difficulty</w:t>
            </w:r>
          </w:p>
        </w:tc>
        <w:tc>
          <w:tcPr>
            <w:tcW w:w="0" w:type="auto"/>
            <w:tcBorders>
              <w:top w:val="nil"/>
              <w:left w:val="nil"/>
              <w:bottom w:val="single" w:sz="4" w:space="0" w:color="auto"/>
              <w:right w:val="single" w:sz="4" w:space="0" w:color="auto"/>
            </w:tcBorders>
            <w:shd w:val="clear" w:color="auto" w:fill="auto"/>
            <w:noWrap/>
            <w:vAlign w:val="bottom"/>
            <w:hideMark/>
          </w:tcPr>
          <w:p w14:paraId="76E28113"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2,189</w:t>
            </w:r>
          </w:p>
        </w:tc>
        <w:tc>
          <w:tcPr>
            <w:tcW w:w="0" w:type="auto"/>
            <w:tcBorders>
              <w:top w:val="nil"/>
              <w:left w:val="nil"/>
              <w:bottom w:val="single" w:sz="4" w:space="0" w:color="auto"/>
              <w:right w:val="single" w:sz="4" w:space="0" w:color="auto"/>
            </w:tcBorders>
            <w:shd w:val="clear" w:color="auto" w:fill="auto"/>
            <w:noWrap/>
            <w:vAlign w:val="bottom"/>
            <w:hideMark/>
          </w:tcPr>
          <w:p w14:paraId="6A7EB9EC"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5.41%</w:t>
            </w:r>
          </w:p>
        </w:tc>
        <w:tc>
          <w:tcPr>
            <w:tcW w:w="0" w:type="auto"/>
            <w:tcBorders>
              <w:top w:val="nil"/>
              <w:left w:val="nil"/>
              <w:bottom w:val="single" w:sz="4" w:space="0" w:color="auto"/>
              <w:right w:val="single" w:sz="4" w:space="0" w:color="auto"/>
            </w:tcBorders>
            <w:shd w:val="clear" w:color="auto" w:fill="auto"/>
            <w:noWrap/>
            <w:vAlign w:val="bottom"/>
            <w:hideMark/>
          </w:tcPr>
          <w:p w14:paraId="1AAF950A"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10,599</w:t>
            </w:r>
          </w:p>
        </w:tc>
        <w:tc>
          <w:tcPr>
            <w:tcW w:w="0" w:type="auto"/>
            <w:tcBorders>
              <w:top w:val="nil"/>
              <w:left w:val="nil"/>
              <w:bottom w:val="single" w:sz="4" w:space="0" w:color="auto"/>
              <w:right w:val="single" w:sz="4" w:space="0" w:color="auto"/>
            </w:tcBorders>
            <w:shd w:val="clear" w:color="auto" w:fill="auto"/>
            <w:noWrap/>
            <w:vAlign w:val="bottom"/>
            <w:hideMark/>
          </w:tcPr>
          <w:p w14:paraId="5CF54F3D"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5.30%</w:t>
            </w:r>
          </w:p>
        </w:tc>
      </w:tr>
      <w:tr w:rsidR="0025019A" w:rsidRPr="006B47F2" w14:paraId="2A09CFB4" w14:textId="77777777" w:rsidTr="5F884969">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8F5FF7" w14:textId="77777777" w:rsidR="0025019A" w:rsidRPr="006B47F2" w:rsidRDefault="5F884969" w:rsidP="5F884969">
            <w:pPr>
              <w:spacing w:after="0" w:line="240" w:lineRule="auto"/>
              <w:ind w:firstLineChars="200" w:firstLine="440"/>
              <w:rPr>
                <w:rFonts w:ascii="Calibri" w:eastAsia="Times New Roman" w:hAnsi="Calibri" w:cs="Times New Roman"/>
                <w:color w:val="000000" w:themeColor="text1"/>
              </w:rPr>
            </w:pPr>
            <w:r w:rsidRPr="5F884969">
              <w:rPr>
                <w:rFonts w:ascii="Calibri" w:eastAsia="Times New Roman" w:hAnsi="Calibri" w:cs="Times New Roman"/>
                <w:color w:val="000000" w:themeColor="text1"/>
              </w:rPr>
              <w:t>Self-care difficulty</w:t>
            </w:r>
          </w:p>
        </w:tc>
        <w:tc>
          <w:tcPr>
            <w:tcW w:w="0" w:type="auto"/>
            <w:tcBorders>
              <w:top w:val="nil"/>
              <w:left w:val="nil"/>
              <w:bottom w:val="single" w:sz="4" w:space="0" w:color="auto"/>
              <w:right w:val="single" w:sz="4" w:space="0" w:color="auto"/>
            </w:tcBorders>
            <w:shd w:val="clear" w:color="auto" w:fill="auto"/>
            <w:noWrap/>
            <w:vAlign w:val="bottom"/>
            <w:hideMark/>
          </w:tcPr>
          <w:p w14:paraId="1D6162F8"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674</w:t>
            </w:r>
          </w:p>
        </w:tc>
        <w:tc>
          <w:tcPr>
            <w:tcW w:w="0" w:type="auto"/>
            <w:tcBorders>
              <w:top w:val="nil"/>
              <w:left w:val="nil"/>
              <w:bottom w:val="single" w:sz="4" w:space="0" w:color="auto"/>
              <w:right w:val="single" w:sz="4" w:space="0" w:color="auto"/>
            </w:tcBorders>
            <w:shd w:val="clear" w:color="auto" w:fill="auto"/>
            <w:noWrap/>
            <w:vAlign w:val="bottom"/>
            <w:hideMark/>
          </w:tcPr>
          <w:p w14:paraId="3C1E8E93"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1.67%</w:t>
            </w:r>
          </w:p>
        </w:tc>
        <w:tc>
          <w:tcPr>
            <w:tcW w:w="0" w:type="auto"/>
            <w:tcBorders>
              <w:top w:val="nil"/>
              <w:left w:val="nil"/>
              <w:bottom w:val="single" w:sz="4" w:space="0" w:color="auto"/>
              <w:right w:val="single" w:sz="4" w:space="0" w:color="auto"/>
            </w:tcBorders>
            <w:shd w:val="clear" w:color="auto" w:fill="auto"/>
            <w:noWrap/>
            <w:vAlign w:val="bottom"/>
            <w:hideMark/>
          </w:tcPr>
          <w:p w14:paraId="7B506601"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3,882</w:t>
            </w:r>
          </w:p>
        </w:tc>
        <w:tc>
          <w:tcPr>
            <w:tcW w:w="0" w:type="auto"/>
            <w:tcBorders>
              <w:top w:val="nil"/>
              <w:left w:val="nil"/>
              <w:bottom w:val="single" w:sz="4" w:space="0" w:color="auto"/>
              <w:right w:val="single" w:sz="4" w:space="0" w:color="auto"/>
            </w:tcBorders>
            <w:shd w:val="clear" w:color="auto" w:fill="auto"/>
            <w:noWrap/>
            <w:vAlign w:val="bottom"/>
            <w:hideMark/>
          </w:tcPr>
          <w:p w14:paraId="566634F0"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1.94%</w:t>
            </w:r>
          </w:p>
        </w:tc>
      </w:tr>
      <w:tr w:rsidR="0025019A" w:rsidRPr="006B47F2" w14:paraId="73599CEA" w14:textId="77777777" w:rsidTr="5F884969">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71F12C" w14:textId="77777777" w:rsidR="0025019A" w:rsidRPr="006B47F2" w:rsidRDefault="5F884969" w:rsidP="5F884969">
            <w:pPr>
              <w:spacing w:after="0" w:line="240" w:lineRule="auto"/>
              <w:ind w:firstLineChars="200" w:firstLine="440"/>
              <w:rPr>
                <w:rFonts w:ascii="Calibri" w:eastAsia="Times New Roman" w:hAnsi="Calibri" w:cs="Times New Roman"/>
                <w:color w:val="000000" w:themeColor="text1"/>
              </w:rPr>
            </w:pPr>
            <w:r w:rsidRPr="5F884969">
              <w:rPr>
                <w:rFonts w:ascii="Calibri" w:eastAsia="Times New Roman" w:hAnsi="Calibri" w:cs="Times New Roman"/>
                <w:color w:val="000000" w:themeColor="text1"/>
              </w:rPr>
              <w:t>Independent living difficulty</w:t>
            </w:r>
          </w:p>
        </w:tc>
        <w:tc>
          <w:tcPr>
            <w:tcW w:w="0" w:type="auto"/>
            <w:tcBorders>
              <w:top w:val="nil"/>
              <w:left w:val="nil"/>
              <w:bottom w:val="single" w:sz="4" w:space="0" w:color="auto"/>
              <w:right w:val="single" w:sz="4" w:space="0" w:color="auto"/>
            </w:tcBorders>
            <w:shd w:val="clear" w:color="auto" w:fill="auto"/>
            <w:noWrap/>
            <w:vAlign w:val="bottom"/>
            <w:hideMark/>
          </w:tcPr>
          <w:p w14:paraId="0F3E1B73"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1,700</w:t>
            </w:r>
          </w:p>
        </w:tc>
        <w:tc>
          <w:tcPr>
            <w:tcW w:w="0" w:type="auto"/>
            <w:tcBorders>
              <w:top w:val="nil"/>
              <w:left w:val="nil"/>
              <w:bottom w:val="single" w:sz="4" w:space="0" w:color="auto"/>
              <w:right w:val="single" w:sz="4" w:space="0" w:color="auto"/>
            </w:tcBorders>
            <w:shd w:val="clear" w:color="auto" w:fill="auto"/>
            <w:noWrap/>
            <w:vAlign w:val="bottom"/>
            <w:hideMark/>
          </w:tcPr>
          <w:p w14:paraId="5CAFC4EC"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4.20%</w:t>
            </w:r>
          </w:p>
        </w:tc>
        <w:tc>
          <w:tcPr>
            <w:tcW w:w="0" w:type="auto"/>
            <w:tcBorders>
              <w:top w:val="nil"/>
              <w:left w:val="nil"/>
              <w:bottom w:val="single" w:sz="4" w:space="0" w:color="auto"/>
              <w:right w:val="single" w:sz="4" w:space="0" w:color="auto"/>
            </w:tcBorders>
            <w:shd w:val="clear" w:color="auto" w:fill="auto"/>
            <w:noWrap/>
            <w:vAlign w:val="bottom"/>
            <w:hideMark/>
          </w:tcPr>
          <w:p w14:paraId="5E2269C6"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7,794</w:t>
            </w:r>
          </w:p>
        </w:tc>
        <w:tc>
          <w:tcPr>
            <w:tcW w:w="0" w:type="auto"/>
            <w:tcBorders>
              <w:top w:val="nil"/>
              <w:left w:val="nil"/>
              <w:bottom w:val="single" w:sz="4" w:space="0" w:color="auto"/>
              <w:right w:val="single" w:sz="4" w:space="0" w:color="auto"/>
            </w:tcBorders>
            <w:shd w:val="clear" w:color="auto" w:fill="auto"/>
            <w:noWrap/>
            <w:vAlign w:val="bottom"/>
            <w:hideMark/>
          </w:tcPr>
          <w:p w14:paraId="6940BB2D" w14:textId="77777777" w:rsidR="0025019A" w:rsidRPr="006B47F2"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3.90%</w:t>
            </w:r>
          </w:p>
        </w:tc>
      </w:tr>
    </w:tbl>
    <w:p w14:paraId="6A086EE9" w14:textId="77777777" w:rsidR="0008432B" w:rsidRDefault="0008432B" w:rsidP="00855DE3">
      <w:pPr>
        <w:spacing w:after="0"/>
      </w:pPr>
    </w:p>
    <w:p w14:paraId="2F51DD33" w14:textId="777F2981" w:rsidR="00876C81" w:rsidRPr="00876C81" w:rsidRDefault="5F884969" w:rsidP="002F7C2E">
      <w:pPr>
        <w:spacing w:after="0"/>
        <w:ind w:left="360"/>
        <w:outlineLvl w:val="0"/>
        <w:rPr>
          <w:b/>
          <w:bCs/>
          <w:i/>
          <w:iCs/>
        </w:rPr>
      </w:pPr>
      <w:r w:rsidRPr="5F884969">
        <w:rPr>
          <w:b/>
          <w:bCs/>
          <w:i/>
          <w:iCs/>
        </w:rPr>
        <w:t>Burlington-South Burlington Region</w:t>
      </w:r>
    </w:p>
    <w:p w14:paraId="729FCCC2" w14:textId="12C1ABE7" w:rsidR="00876C81" w:rsidRDefault="5F884969" w:rsidP="00876C81">
      <w:pPr>
        <w:spacing w:after="0"/>
        <w:ind w:left="360"/>
      </w:pPr>
      <w:r>
        <w:t xml:space="preserve">At the regional level, ambulatory difficulty is the most prevalent recorded disability at 5.3% of the disabled population. Cognitive difficulty is the second most prevalent at 4.82%, followed by independent living difficulty at 3.9%, hearing difficulty at 3.58%, self-care difficulty at 1.94%, and vision difficulty is the least prevalent disability in the region at 1.59%. </w:t>
      </w:r>
    </w:p>
    <w:p w14:paraId="4F5259D0" w14:textId="77777777" w:rsidR="00094E0B" w:rsidRDefault="00094E0B" w:rsidP="00876C81">
      <w:pPr>
        <w:spacing w:after="0"/>
        <w:ind w:left="360"/>
      </w:pPr>
    </w:p>
    <w:p w14:paraId="254C7334" w14:textId="51DC2ABA" w:rsidR="00094E0B" w:rsidRDefault="5F884969" w:rsidP="00876C81">
      <w:pPr>
        <w:spacing w:after="0"/>
        <w:ind w:left="360"/>
      </w:pPr>
      <w:r>
        <w:t xml:space="preserve">Disabled populations appear to cluster around more developed areas, such as Burlington, </w:t>
      </w:r>
      <w:r w:rsidRPr="006C6B65">
        <w:t>most likely due to the amenities for disabled people provided in developed areas.</w:t>
      </w:r>
    </w:p>
    <w:p w14:paraId="65606B77" w14:textId="77777777" w:rsidR="00492208" w:rsidRDefault="00492208" w:rsidP="00855DE3">
      <w:pPr>
        <w:spacing w:after="0"/>
        <w:rPr>
          <w:b/>
          <w:i/>
          <w:sz w:val="20"/>
          <w:szCs w:val="20"/>
        </w:rPr>
      </w:pPr>
    </w:p>
    <w:p w14:paraId="1DF7FA1B" w14:textId="77777777" w:rsidR="008B69A7" w:rsidRDefault="008B69A7" w:rsidP="00855DE3">
      <w:pPr>
        <w:spacing w:after="0"/>
        <w:rPr>
          <w:b/>
          <w:i/>
          <w:sz w:val="20"/>
          <w:szCs w:val="20"/>
        </w:rPr>
      </w:pPr>
    </w:p>
    <w:p w14:paraId="4D428DE9" w14:textId="77777777" w:rsidR="008B69A7" w:rsidRDefault="008B69A7" w:rsidP="00855DE3">
      <w:pPr>
        <w:spacing w:after="0"/>
        <w:rPr>
          <w:b/>
          <w:i/>
          <w:sz w:val="20"/>
          <w:szCs w:val="20"/>
        </w:rPr>
      </w:pPr>
    </w:p>
    <w:p w14:paraId="0D4B1504" w14:textId="77777777" w:rsidR="008B69A7" w:rsidRDefault="008B69A7" w:rsidP="00855DE3">
      <w:pPr>
        <w:spacing w:after="0"/>
        <w:rPr>
          <w:b/>
          <w:i/>
          <w:sz w:val="20"/>
          <w:szCs w:val="20"/>
        </w:rPr>
      </w:pPr>
    </w:p>
    <w:p w14:paraId="1471E71D" w14:textId="77777777" w:rsidR="008B69A7" w:rsidRDefault="008B69A7" w:rsidP="00855DE3">
      <w:pPr>
        <w:spacing w:after="0"/>
        <w:rPr>
          <w:b/>
          <w:i/>
          <w:sz w:val="20"/>
          <w:szCs w:val="20"/>
        </w:rPr>
      </w:pPr>
    </w:p>
    <w:p w14:paraId="70BC00E6" w14:textId="77777777" w:rsidR="008B69A7" w:rsidRDefault="008B69A7" w:rsidP="00855DE3">
      <w:pPr>
        <w:spacing w:after="0"/>
        <w:rPr>
          <w:b/>
          <w:i/>
          <w:sz w:val="20"/>
          <w:szCs w:val="20"/>
        </w:rPr>
      </w:pPr>
    </w:p>
    <w:p w14:paraId="777B6EB0" w14:textId="77777777" w:rsidR="008B69A7" w:rsidRDefault="008B69A7" w:rsidP="00855DE3">
      <w:pPr>
        <w:spacing w:after="0"/>
        <w:rPr>
          <w:b/>
          <w:i/>
          <w:sz w:val="20"/>
          <w:szCs w:val="20"/>
        </w:rPr>
      </w:pPr>
    </w:p>
    <w:p w14:paraId="4E1B4732" w14:textId="77777777" w:rsidR="008B69A7" w:rsidRDefault="008B69A7" w:rsidP="00855DE3">
      <w:pPr>
        <w:spacing w:after="0"/>
        <w:rPr>
          <w:b/>
          <w:i/>
          <w:sz w:val="20"/>
          <w:szCs w:val="20"/>
        </w:rPr>
      </w:pPr>
    </w:p>
    <w:p w14:paraId="078725EE" w14:textId="77777777" w:rsidR="008B69A7" w:rsidRDefault="008B69A7" w:rsidP="00855DE3">
      <w:pPr>
        <w:spacing w:after="0"/>
        <w:rPr>
          <w:b/>
          <w:i/>
          <w:sz w:val="20"/>
          <w:szCs w:val="20"/>
        </w:rPr>
      </w:pPr>
    </w:p>
    <w:p w14:paraId="66C6C9FD" w14:textId="77777777" w:rsidR="008B69A7" w:rsidRDefault="008B69A7" w:rsidP="00855DE3">
      <w:pPr>
        <w:spacing w:after="0"/>
        <w:rPr>
          <w:b/>
          <w:i/>
          <w:sz w:val="20"/>
          <w:szCs w:val="20"/>
        </w:rPr>
      </w:pPr>
    </w:p>
    <w:p w14:paraId="7C357613" w14:textId="770E4FDF" w:rsidR="00BE5F2B" w:rsidRPr="00BE5F2B" w:rsidRDefault="5F884969" w:rsidP="5F884969">
      <w:pPr>
        <w:spacing w:after="0"/>
        <w:ind w:left="360"/>
        <w:rPr>
          <w:sz w:val="20"/>
          <w:szCs w:val="20"/>
        </w:rPr>
      </w:pPr>
      <w:r w:rsidRPr="5F884969">
        <w:rPr>
          <w:b/>
          <w:bCs/>
          <w:i/>
          <w:iCs/>
          <w:sz w:val="20"/>
          <w:szCs w:val="20"/>
        </w:rPr>
        <w:t>Map 17:</w:t>
      </w:r>
      <w:r w:rsidRPr="5F884969">
        <w:rPr>
          <w:sz w:val="20"/>
          <w:szCs w:val="20"/>
        </w:rPr>
        <w:t xml:space="preserve"> Dot density map showing distribution of people with hearing, vision, and cognitive disabilities in the Burlington, VT area. </w:t>
      </w:r>
    </w:p>
    <w:p w14:paraId="5AA6F4AA" w14:textId="55497A0A" w:rsidR="00855DE3" w:rsidRDefault="00BE5F2B" w:rsidP="00094E0B">
      <w:pPr>
        <w:spacing w:after="0"/>
        <w:ind w:left="360"/>
      </w:pPr>
      <w:r>
        <w:rPr>
          <w:noProof/>
          <w:lang w:eastAsia="en-US"/>
        </w:rPr>
        <w:drawing>
          <wp:inline distT="0" distB="0" distL="0" distR="0" wp14:anchorId="639AFAD2" wp14:editId="0CA9485B">
            <wp:extent cx="5512435" cy="3260936"/>
            <wp:effectExtent l="25400" t="25400" r="24765" b="15875"/>
            <wp:docPr id="4" name="Picture 4" descr="../Desktop/New%20HUD%20Maps/HUDMap14_Disability1_Burl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New%20HUD%20Maps/HUDMap14_Disability1_Burlington.jp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5527701" cy="3269967"/>
                    </a:xfrm>
                    <a:prstGeom prst="rect">
                      <a:avLst/>
                    </a:prstGeom>
                    <a:noFill/>
                    <a:ln>
                      <a:solidFill>
                        <a:schemeClr val="tx1"/>
                      </a:solidFill>
                    </a:ln>
                  </pic:spPr>
                </pic:pic>
              </a:graphicData>
            </a:graphic>
          </wp:inline>
        </w:drawing>
      </w:r>
    </w:p>
    <w:p w14:paraId="4C35768A" w14:textId="77777777" w:rsidR="00BF3EC8" w:rsidRDefault="00BF3EC8" w:rsidP="00BF3EC8">
      <w:pPr>
        <w:spacing w:after="0"/>
        <w:rPr>
          <w:b/>
          <w:bCs/>
          <w:i/>
          <w:iCs/>
          <w:sz w:val="20"/>
          <w:szCs w:val="20"/>
        </w:rPr>
      </w:pPr>
    </w:p>
    <w:p w14:paraId="47DB1AA1" w14:textId="77777777" w:rsidR="00BF3EC8" w:rsidRDefault="00BF3EC8" w:rsidP="00BF3EC8">
      <w:pPr>
        <w:spacing w:after="0"/>
        <w:rPr>
          <w:b/>
          <w:bCs/>
          <w:i/>
          <w:iCs/>
          <w:sz w:val="20"/>
          <w:szCs w:val="20"/>
        </w:rPr>
      </w:pPr>
    </w:p>
    <w:p w14:paraId="0238ED2B" w14:textId="7934BB9C" w:rsidR="00BE5F2B" w:rsidRPr="00BE5F2B" w:rsidRDefault="5F884969" w:rsidP="5F884969">
      <w:pPr>
        <w:spacing w:after="0"/>
        <w:ind w:left="360"/>
        <w:rPr>
          <w:sz w:val="20"/>
          <w:szCs w:val="20"/>
        </w:rPr>
      </w:pPr>
      <w:r w:rsidRPr="5F884969">
        <w:rPr>
          <w:b/>
          <w:bCs/>
          <w:i/>
          <w:iCs/>
          <w:sz w:val="20"/>
          <w:szCs w:val="20"/>
        </w:rPr>
        <w:t>Map 18:</w:t>
      </w:r>
      <w:r w:rsidRPr="5F884969">
        <w:rPr>
          <w:sz w:val="20"/>
          <w:szCs w:val="20"/>
        </w:rPr>
        <w:t xml:space="preserve"> Dot density map showing distribution of people with ambulatory, self-care, and independent living disabilities in Burlington, VT area. </w:t>
      </w:r>
    </w:p>
    <w:p w14:paraId="09764384" w14:textId="4A54963F" w:rsidR="008F6522" w:rsidRDefault="00BE5F2B" w:rsidP="00BF3EC8">
      <w:pPr>
        <w:spacing w:after="0"/>
        <w:ind w:left="360"/>
        <w:rPr>
          <w14:textOutline w14:w="9525" w14:cap="rnd" w14:cmpd="sng" w14:algn="ctr">
            <w14:solidFill>
              <w14:schemeClr w14:val="tx1"/>
            </w14:solidFill>
            <w14:prstDash w14:val="solid"/>
            <w14:bevel/>
          </w14:textOutline>
        </w:rPr>
      </w:pPr>
      <w:r>
        <w:rPr>
          <w:noProof/>
          <w:lang w:eastAsia="en-US"/>
        </w:rPr>
        <w:drawing>
          <wp:inline distT="0" distB="0" distL="0" distR="0" wp14:anchorId="35CE1E2F" wp14:editId="7219F55D">
            <wp:extent cx="5512435" cy="3099567"/>
            <wp:effectExtent l="25400" t="25400" r="24765" b="24765"/>
            <wp:docPr id="5" name="Picture 5" descr="../Desktop/New%20HUD%20Maps/HUDMap14_Disability2_Burl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New%20HUD%20Maps/HUDMap14_Disability2_Burlington.jp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5530430" cy="3109685"/>
                    </a:xfrm>
                    <a:prstGeom prst="rect">
                      <a:avLst/>
                    </a:prstGeom>
                    <a:noFill/>
                    <a:ln>
                      <a:solidFill>
                        <a:schemeClr val="tx1"/>
                      </a:solidFill>
                    </a:ln>
                  </pic:spPr>
                </pic:pic>
              </a:graphicData>
            </a:graphic>
          </wp:inline>
        </w:drawing>
      </w:r>
    </w:p>
    <w:p w14:paraId="2A14C2E2" w14:textId="77777777" w:rsidR="00BF3EC8" w:rsidRPr="00BF3EC8" w:rsidRDefault="00BF3EC8" w:rsidP="00BF3EC8">
      <w:pPr>
        <w:spacing w:after="0"/>
        <w:ind w:left="360"/>
        <w:rPr>
          <w14:textOutline w14:w="9525" w14:cap="rnd" w14:cmpd="sng" w14:algn="ctr">
            <w14:solidFill>
              <w14:schemeClr w14:val="tx1"/>
            </w14:solidFill>
            <w14:prstDash w14:val="solid"/>
            <w14:bevel/>
          </w14:textOutline>
        </w:rPr>
      </w:pPr>
    </w:p>
    <w:p w14:paraId="3B9974B8" w14:textId="77777777" w:rsidR="00BF3EC8" w:rsidRDefault="00BF3EC8" w:rsidP="5F884969">
      <w:pPr>
        <w:spacing w:after="240" w:line="240" w:lineRule="auto"/>
        <w:ind w:left="270"/>
        <w:rPr>
          <w:b/>
          <w:bCs/>
          <w:i/>
          <w:iCs/>
        </w:rPr>
      </w:pPr>
    </w:p>
    <w:p w14:paraId="1561BB1A" w14:textId="5DF4F990" w:rsidR="00855DE3" w:rsidRPr="009E6E1A" w:rsidRDefault="5F884969" w:rsidP="5F884969">
      <w:pPr>
        <w:spacing w:after="240" w:line="240" w:lineRule="auto"/>
        <w:ind w:left="270"/>
        <w:rPr>
          <w:b/>
          <w:bCs/>
          <w:i/>
        </w:rPr>
      </w:pPr>
      <w:r w:rsidRPr="009E6E1A">
        <w:rPr>
          <w:b/>
          <w:bCs/>
          <w:i/>
        </w:rPr>
        <w:lastRenderedPageBreak/>
        <w:t>Describe whether these geographic patterns vary for persons with each type of disability or for persons with disabilities in different age ranges for the jurisdiction and region.</w:t>
      </w:r>
    </w:p>
    <w:p w14:paraId="6142C1CB" w14:textId="598D1981" w:rsidR="00D9124A" w:rsidRPr="00BC4060" w:rsidRDefault="5F884969" w:rsidP="00BC4060">
      <w:pPr>
        <w:spacing w:after="240" w:line="240" w:lineRule="auto"/>
        <w:ind w:left="270"/>
      </w:pPr>
      <w:r>
        <w:t>There do</w:t>
      </w:r>
      <w:r w:rsidR="00337287">
        <w:t>es</w:t>
      </w:r>
      <w:r>
        <w:t xml:space="preserve"> not appear to be any major geographic patterns for individual disability types. This is true for both the Burlington, VT jurisdiction as well as for the greater region. The region has slightly higher percentage of the disabled population falling into the 5-17 and 65+ age groups when compared to the jurisdiction, and slightly lower percentage falling into the 18-164 age group (see </w:t>
      </w:r>
      <w:r w:rsidR="000F55FC">
        <w:t>table 27</w:t>
      </w:r>
      <w:r>
        <w:t>). However, the difference in percentage points is less than 1% across all of the age groups, and therefore do not represent drastic differences between the Burlington jurisdiction and the greater region.</w:t>
      </w:r>
    </w:p>
    <w:p w14:paraId="61539A20" w14:textId="42B83904" w:rsidR="00855DE3" w:rsidRPr="0025019A" w:rsidRDefault="000F55FC" w:rsidP="5F884969">
      <w:pPr>
        <w:spacing w:after="0"/>
        <w:ind w:left="270"/>
        <w:rPr>
          <w:sz w:val="20"/>
          <w:szCs w:val="20"/>
        </w:rPr>
      </w:pPr>
      <w:r>
        <w:rPr>
          <w:b/>
          <w:bCs/>
          <w:i/>
          <w:iCs/>
          <w:sz w:val="20"/>
          <w:szCs w:val="20"/>
        </w:rPr>
        <w:t xml:space="preserve">Table </w:t>
      </w:r>
      <w:r w:rsidR="006C6B65">
        <w:rPr>
          <w:b/>
          <w:bCs/>
          <w:i/>
          <w:iCs/>
          <w:sz w:val="20"/>
          <w:szCs w:val="20"/>
        </w:rPr>
        <w:t>2</w:t>
      </w:r>
      <w:r>
        <w:rPr>
          <w:b/>
          <w:bCs/>
          <w:i/>
          <w:iCs/>
          <w:sz w:val="20"/>
          <w:szCs w:val="20"/>
        </w:rPr>
        <w:t>7</w:t>
      </w:r>
      <w:r w:rsidR="5F884969" w:rsidRPr="5F884969">
        <w:rPr>
          <w:b/>
          <w:bCs/>
          <w:i/>
          <w:iCs/>
          <w:sz w:val="20"/>
          <w:szCs w:val="20"/>
        </w:rPr>
        <w:t>:</w:t>
      </w:r>
      <w:r w:rsidR="5F884969" w:rsidRPr="5F884969">
        <w:rPr>
          <w:sz w:val="20"/>
          <w:szCs w:val="20"/>
        </w:rPr>
        <w:t xml:space="preserve"> Disability by Age Group in Burlington, VT and Burlington-South Burlington Region. Source: ACS. </w:t>
      </w:r>
    </w:p>
    <w:tbl>
      <w:tblPr>
        <w:tblW w:w="0" w:type="auto"/>
        <w:tblInd w:w="364" w:type="dxa"/>
        <w:tblLook w:val="04A0" w:firstRow="1" w:lastRow="0" w:firstColumn="1" w:lastColumn="0" w:noHBand="0" w:noVBand="1"/>
      </w:tblPr>
      <w:tblGrid>
        <w:gridCol w:w="2999"/>
        <w:gridCol w:w="1193"/>
        <w:gridCol w:w="1272"/>
        <w:gridCol w:w="1833"/>
        <w:gridCol w:w="1689"/>
      </w:tblGrid>
      <w:tr w:rsidR="00855DE3" w:rsidRPr="00815CFB" w14:paraId="1DAE049B" w14:textId="77777777" w:rsidTr="5F884969">
        <w:trPr>
          <w:trHeight w:val="420"/>
        </w:trPr>
        <w:tc>
          <w:tcPr>
            <w:tcW w:w="0" w:type="auto"/>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5F4CBAFA" w14:textId="646E6650" w:rsidR="00855DE3" w:rsidRPr="00815CFB" w:rsidRDefault="006C6AC4" w:rsidP="5F884969">
            <w:pPr>
              <w:spacing w:after="0" w:line="240" w:lineRule="auto"/>
              <w:rPr>
                <w:rFonts w:ascii="Calibri" w:eastAsia="Times New Roman" w:hAnsi="Calibri" w:cs="Times New Roman"/>
                <w:b/>
                <w:bCs/>
                <w:color w:val="000000" w:themeColor="text1"/>
              </w:rPr>
            </w:pPr>
            <w:r>
              <w:rPr>
                <w:rFonts w:ascii="Calibri" w:eastAsia="Times New Roman" w:hAnsi="Calibri" w:cs="Times New Roman"/>
                <w:b/>
                <w:bCs/>
                <w:color w:val="000000" w:themeColor="text1"/>
              </w:rPr>
              <w:t>Table 27</w:t>
            </w:r>
            <w:r w:rsidR="5F884969" w:rsidRPr="5F884969">
              <w:rPr>
                <w:rFonts w:ascii="Calibri" w:eastAsia="Times New Roman" w:hAnsi="Calibri" w:cs="Times New Roman"/>
                <w:b/>
                <w:bCs/>
                <w:color w:val="000000" w:themeColor="text1"/>
              </w:rPr>
              <w:t>: Disability by Age Group</w:t>
            </w:r>
          </w:p>
        </w:tc>
      </w:tr>
      <w:tr w:rsidR="00855DE3" w:rsidRPr="00815CFB" w14:paraId="0DB973D4" w14:textId="77777777" w:rsidTr="5F884969">
        <w:trPr>
          <w:trHeight w:val="77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3647C" w14:textId="77777777" w:rsidR="00855DE3" w:rsidRPr="00815CFB"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 </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14:paraId="0F62A90A" w14:textId="77777777" w:rsidR="00855DE3" w:rsidRPr="00815CFB"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 VT Jurisdiction</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14:paraId="56FB9CC1" w14:textId="77777777" w:rsidR="00855DE3" w:rsidRPr="00815CFB"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Burlington-South Burlington, VT Region</w:t>
            </w:r>
          </w:p>
        </w:tc>
      </w:tr>
      <w:tr w:rsidR="00855DE3" w:rsidRPr="00815CFB" w14:paraId="58502CEF" w14:textId="77777777" w:rsidTr="5F884969">
        <w:trPr>
          <w:trHeight w:val="518"/>
        </w:trPr>
        <w:tc>
          <w:tcPr>
            <w:tcW w:w="0" w:type="auto"/>
            <w:tcBorders>
              <w:top w:val="nil"/>
              <w:left w:val="single" w:sz="4" w:space="0" w:color="auto"/>
              <w:bottom w:val="single" w:sz="4" w:space="0" w:color="auto"/>
              <w:right w:val="single" w:sz="4" w:space="0" w:color="auto"/>
            </w:tcBorders>
            <w:shd w:val="clear" w:color="auto" w:fill="DCE6F1"/>
            <w:vAlign w:val="bottom"/>
            <w:hideMark/>
          </w:tcPr>
          <w:p w14:paraId="1E9D4C15" w14:textId="77777777" w:rsidR="00855DE3" w:rsidRPr="00815CFB"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Age of People with Disabilities</w:t>
            </w:r>
          </w:p>
        </w:tc>
        <w:tc>
          <w:tcPr>
            <w:tcW w:w="0" w:type="auto"/>
            <w:tcBorders>
              <w:top w:val="nil"/>
              <w:left w:val="nil"/>
              <w:bottom w:val="single" w:sz="4" w:space="0" w:color="auto"/>
              <w:right w:val="single" w:sz="4" w:space="0" w:color="auto"/>
            </w:tcBorders>
            <w:shd w:val="clear" w:color="auto" w:fill="DCE6F1"/>
            <w:noWrap/>
            <w:vAlign w:val="bottom"/>
            <w:hideMark/>
          </w:tcPr>
          <w:p w14:paraId="137C80B9" w14:textId="77777777" w:rsidR="00855DE3" w:rsidRPr="00815CFB"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0" w:type="auto"/>
            <w:tcBorders>
              <w:top w:val="nil"/>
              <w:left w:val="nil"/>
              <w:bottom w:val="single" w:sz="4" w:space="0" w:color="auto"/>
              <w:right w:val="single" w:sz="4" w:space="0" w:color="auto"/>
            </w:tcBorders>
            <w:shd w:val="clear" w:color="auto" w:fill="DCE6F1"/>
            <w:noWrap/>
            <w:vAlign w:val="bottom"/>
            <w:hideMark/>
          </w:tcPr>
          <w:p w14:paraId="2A62EA70" w14:textId="77777777" w:rsidR="00855DE3" w:rsidRPr="00815CFB"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0" w:type="auto"/>
            <w:tcBorders>
              <w:top w:val="nil"/>
              <w:left w:val="nil"/>
              <w:bottom w:val="single" w:sz="4" w:space="0" w:color="auto"/>
              <w:right w:val="single" w:sz="4" w:space="0" w:color="auto"/>
            </w:tcBorders>
            <w:shd w:val="clear" w:color="auto" w:fill="DCE6F1"/>
            <w:noWrap/>
            <w:vAlign w:val="bottom"/>
            <w:hideMark/>
          </w:tcPr>
          <w:p w14:paraId="2FC88B21" w14:textId="77777777" w:rsidR="00855DE3" w:rsidRPr="00815CFB"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0" w:type="auto"/>
            <w:tcBorders>
              <w:top w:val="nil"/>
              <w:left w:val="nil"/>
              <w:bottom w:val="single" w:sz="4" w:space="0" w:color="auto"/>
              <w:right w:val="single" w:sz="4" w:space="0" w:color="auto"/>
            </w:tcBorders>
            <w:shd w:val="clear" w:color="auto" w:fill="DCE6F1"/>
            <w:noWrap/>
            <w:vAlign w:val="bottom"/>
            <w:hideMark/>
          </w:tcPr>
          <w:p w14:paraId="3B8E2C8F" w14:textId="77777777" w:rsidR="00855DE3" w:rsidRPr="00815CFB"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r>
      <w:tr w:rsidR="00855DE3" w:rsidRPr="00815CFB" w14:paraId="0EF6D7F1" w14:textId="77777777" w:rsidTr="5F884969">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D8B580" w14:textId="77777777" w:rsidR="00855DE3" w:rsidRPr="00815CFB" w:rsidRDefault="5F884969" w:rsidP="5F884969">
            <w:pPr>
              <w:spacing w:after="0" w:line="240" w:lineRule="auto"/>
              <w:ind w:firstLineChars="200" w:firstLine="440"/>
              <w:rPr>
                <w:rFonts w:ascii="Calibri" w:eastAsia="Times New Roman" w:hAnsi="Calibri" w:cs="Times New Roman"/>
                <w:color w:val="000000" w:themeColor="text1"/>
              </w:rPr>
            </w:pPr>
            <w:r w:rsidRPr="5F884969">
              <w:rPr>
                <w:rFonts w:ascii="Calibri" w:eastAsia="Times New Roman" w:hAnsi="Calibri" w:cs="Times New Roman"/>
                <w:color w:val="000000" w:themeColor="text1"/>
              </w:rPr>
              <w:t>age 5-17 with Disabilities</w:t>
            </w:r>
          </w:p>
        </w:tc>
        <w:tc>
          <w:tcPr>
            <w:tcW w:w="0" w:type="auto"/>
            <w:tcBorders>
              <w:top w:val="nil"/>
              <w:left w:val="nil"/>
              <w:bottom w:val="single" w:sz="4" w:space="0" w:color="auto"/>
              <w:right w:val="single" w:sz="4" w:space="0" w:color="auto"/>
            </w:tcBorders>
            <w:shd w:val="clear" w:color="auto" w:fill="auto"/>
            <w:noWrap/>
            <w:vAlign w:val="bottom"/>
            <w:hideMark/>
          </w:tcPr>
          <w:p w14:paraId="12B7BFD4"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317</w:t>
            </w:r>
          </w:p>
        </w:tc>
        <w:tc>
          <w:tcPr>
            <w:tcW w:w="0" w:type="auto"/>
            <w:tcBorders>
              <w:top w:val="nil"/>
              <w:left w:val="nil"/>
              <w:bottom w:val="single" w:sz="4" w:space="0" w:color="auto"/>
              <w:right w:val="single" w:sz="4" w:space="0" w:color="auto"/>
            </w:tcBorders>
            <w:shd w:val="clear" w:color="auto" w:fill="auto"/>
            <w:noWrap/>
            <w:vAlign w:val="bottom"/>
            <w:hideMark/>
          </w:tcPr>
          <w:p w14:paraId="2E46D0B4"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0.78%</w:t>
            </w:r>
          </w:p>
        </w:tc>
        <w:tc>
          <w:tcPr>
            <w:tcW w:w="0" w:type="auto"/>
            <w:tcBorders>
              <w:top w:val="nil"/>
              <w:left w:val="nil"/>
              <w:bottom w:val="single" w:sz="4" w:space="0" w:color="auto"/>
              <w:right w:val="single" w:sz="4" w:space="0" w:color="auto"/>
            </w:tcBorders>
            <w:shd w:val="clear" w:color="auto" w:fill="auto"/>
            <w:noWrap/>
            <w:vAlign w:val="bottom"/>
            <w:hideMark/>
          </w:tcPr>
          <w:p w14:paraId="6DC15511"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1,801</w:t>
            </w:r>
          </w:p>
        </w:tc>
        <w:tc>
          <w:tcPr>
            <w:tcW w:w="0" w:type="auto"/>
            <w:tcBorders>
              <w:top w:val="nil"/>
              <w:left w:val="nil"/>
              <w:bottom w:val="single" w:sz="4" w:space="0" w:color="auto"/>
              <w:right w:val="single" w:sz="4" w:space="0" w:color="auto"/>
            </w:tcBorders>
            <w:shd w:val="clear" w:color="auto" w:fill="auto"/>
            <w:noWrap/>
            <w:vAlign w:val="bottom"/>
            <w:hideMark/>
          </w:tcPr>
          <w:p w14:paraId="2CE9588D"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0.90%</w:t>
            </w:r>
          </w:p>
        </w:tc>
      </w:tr>
      <w:tr w:rsidR="00855DE3" w:rsidRPr="00815CFB" w14:paraId="4368ECC4" w14:textId="77777777" w:rsidTr="5F884969">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C6ED4D" w14:textId="77777777" w:rsidR="00855DE3" w:rsidRPr="00815CFB" w:rsidRDefault="5F884969" w:rsidP="5F884969">
            <w:pPr>
              <w:spacing w:after="0" w:line="240" w:lineRule="auto"/>
              <w:ind w:firstLineChars="200" w:firstLine="440"/>
              <w:rPr>
                <w:rFonts w:ascii="Calibri" w:eastAsia="Times New Roman" w:hAnsi="Calibri" w:cs="Times New Roman"/>
                <w:color w:val="000000" w:themeColor="text1"/>
              </w:rPr>
            </w:pPr>
            <w:r w:rsidRPr="5F884969">
              <w:rPr>
                <w:rFonts w:ascii="Calibri" w:eastAsia="Times New Roman" w:hAnsi="Calibri" w:cs="Times New Roman"/>
                <w:color w:val="000000" w:themeColor="text1"/>
              </w:rPr>
              <w:t>age 18-64 with Disabilities</w:t>
            </w:r>
          </w:p>
        </w:tc>
        <w:tc>
          <w:tcPr>
            <w:tcW w:w="0" w:type="auto"/>
            <w:tcBorders>
              <w:top w:val="nil"/>
              <w:left w:val="nil"/>
              <w:bottom w:val="single" w:sz="4" w:space="0" w:color="auto"/>
              <w:right w:val="single" w:sz="4" w:space="0" w:color="auto"/>
            </w:tcBorders>
            <w:shd w:val="clear" w:color="auto" w:fill="auto"/>
            <w:noWrap/>
            <w:vAlign w:val="bottom"/>
            <w:hideMark/>
          </w:tcPr>
          <w:p w14:paraId="208A7805"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2,888</w:t>
            </w:r>
          </w:p>
        </w:tc>
        <w:tc>
          <w:tcPr>
            <w:tcW w:w="0" w:type="auto"/>
            <w:tcBorders>
              <w:top w:val="nil"/>
              <w:left w:val="nil"/>
              <w:bottom w:val="single" w:sz="4" w:space="0" w:color="auto"/>
              <w:right w:val="single" w:sz="4" w:space="0" w:color="auto"/>
            </w:tcBorders>
            <w:shd w:val="clear" w:color="auto" w:fill="auto"/>
            <w:noWrap/>
            <w:vAlign w:val="bottom"/>
            <w:hideMark/>
          </w:tcPr>
          <w:p w14:paraId="7B2B1182"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7.14%</w:t>
            </w:r>
          </w:p>
        </w:tc>
        <w:tc>
          <w:tcPr>
            <w:tcW w:w="0" w:type="auto"/>
            <w:tcBorders>
              <w:top w:val="nil"/>
              <w:left w:val="nil"/>
              <w:bottom w:val="single" w:sz="4" w:space="0" w:color="auto"/>
              <w:right w:val="single" w:sz="4" w:space="0" w:color="auto"/>
            </w:tcBorders>
            <w:shd w:val="clear" w:color="auto" w:fill="auto"/>
            <w:noWrap/>
            <w:vAlign w:val="bottom"/>
            <w:hideMark/>
          </w:tcPr>
          <w:p w14:paraId="3E4BA32F"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12,766</w:t>
            </w:r>
          </w:p>
        </w:tc>
        <w:tc>
          <w:tcPr>
            <w:tcW w:w="0" w:type="auto"/>
            <w:tcBorders>
              <w:top w:val="nil"/>
              <w:left w:val="nil"/>
              <w:bottom w:val="single" w:sz="4" w:space="0" w:color="auto"/>
              <w:right w:val="single" w:sz="4" w:space="0" w:color="auto"/>
            </w:tcBorders>
            <w:shd w:val="clear" w:color="auto" w:fill="auto"/>
            <w:noWrap/>
            <w:vAlign w:val="bottom"/>
            <w:hideMark/>
          </w:tcPr>
          <w:p w14:paraId="76C01EC2"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6.39%</w:t>
            </w:r>
          </w:p>
        </w:tc>
      </w:tr>
      <w:tr w:rsidR="00855DE3" w:rsidRPr="00815CFB" w14:paraId="73A358AD" w14:textId="77777777" w:rsidTr="5F884969">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FF172" w14:textId="77777777" w:rsidR="00855DE3" w:rsidRPr="00815CFB" w:rsidRDefault="5F884969" w:rsidP="5F884969">
            <w:pPr>
              <w:spacing w:after="0" w:line="240" w:lineRule="auto"/>
              <w:ind w:firstLineChars="200" w:firstLine="440"/>
              <w:rPr>
                <w:rFonts w:ascii="Calibri" w:eastAsia="Times New Roman" w:hAnsi="Calibri" w:cs="Times New Roman"/>
                <w:color w:val="000000" w:themeColor="text1"/>
              </w:rPr>
            </w:pPr>
            <w:r w:rsidRPr="5F884969">
              <w:rPr>
                <w:rFonts w:ascii="Calibri" w:eastAsia="Times New Roman" w:hAnsi="Calibri" w:cs="Times New Roman"/>
                <w:color w:val="000000" w:themeColor="text1"/>
              </w:rPr>
              <w:t>age 65+ with Disabilities</w:t>
            </w:r>
          </w:p>
        </w:tc>
        <w:tc>
          <w:tcPr>
            <w:tcW w:w="0" w:type="auto"/>
            <w:tcBorders>
              <w:top w:val="nil"/>
              <w:left w:val="nil"/>
              <w:bottom w:val="single" w:sz="4" w:space="0" w:color="auto"/>
              <w:right w:val="single" w:sz="4" w:space="0" w:color="auto"/>
            </w:tcBorders>
            <w:shd w:val="clear" w:color="auto" w:fill="auto"/>
            <w:noWrap/>
            <w:vAlign w:val="bottom"/>
            <w:hideMark/>
          </w:tcPr>
          <w:p w14:paraId="34EE7EE0"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1,501</w:t>
            </w:r>
          </w:p>
        </w:tc>
        <w:tc>
          <w:tcPr>
            <w:tcW w:w="0" w:type="auto"/>
            <w:tcBorders>
              <w:top w:val="nil"/>
              <w:left w:val="nil"/>
              <w:bottom w:val="single" w:sz="4" w:space="0" w:color="auto"/>
              <w:right w:val="single" w:sz="4" w:space="0" w:color="auto"/>
            </w:tcBorders>
            <w:shd w:val="clear" w:color="auto" w:fill="auto"/>
            <w:noWrap/>
            <w:vAlign w:val="bottom"/>
            <w:hideMark/>
          </w:tcPr>
          <w:p w14:paraId="3C8636C2"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3.71%</w:t>
            </w:r>
          </w:p>
        </w:tc>
        <w:tc>
          <w:tcPr>
            <w:tcW w:w="0" w:type="auto"/>
            <w:tcBorders>
              <w:top w:val="nil"/>
              <w:left w:val="nil"/>
              <w:bottom w:val="single" w:sz="4" w:space="0" w:color="auto"/>
              <w:right w:val="single" w:sz="4" w:space="0" w:color="auto"/>
            </w:tcBorders>
            <w:shd w:val="clear" w:color="auto" w:fill="auto"/>
            <w:noWrap/>
            <w:vAlign w:val="bottom"/>
            <w:hideMark/>
          </w:tcPr>
          <w:p w14:paraId="03EF9316"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8,430</w:t>
            </w:r>
          </w:p>
        </w:tc>
        <w:tc>
          <w:tcPr>
            <w:tcW w:w="0" w:type="auto"/>
            <w:tcBorders>
              <w:top w:val="nil"/>
              <w:left w:val="nil"/>
              <w:bottom w:val="single" w:sz="4" w:space="0" w:color="auto"/>
              <w:right w:val="single" w:sz="4" w:space="0" w:color="auto"/>
            </w:tcBorders>
            <w:shd w:val="clear" w:color="auto" w:fill="auto"/>
            <w:noWrap/>
            <w:vAlign w:val="bottom"/>
            <w:hideMark/>
          </w:tcPr>
          <w:p w14:paraId="18EA67F8" w14:textId="77777777" w:rsidR="00855DE3" w:rsidRPr="00815CFB"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4.22%</w:t>
            </w:r>
          </w:p>
        </w:tc>
      </w:tr>
    </w:tbl>
    <w:p w14:paraId="46D256EF" w14:textId="77777777" w:rsidR="00855DE3" w:rsidRDefault="00855DE3" w:rsidP="00D9124A">
      <w:pPr>
        <w:spacing w:after="0"/>
        <w:rPr>
          <w:b/>
          <w:i/>
          <w:sz w:val="20"/>
          <w:szCs w:val="20"/>
        </w:rPr>
      </w:pPr>
    </w:p>
    <w:p w14:paraId="597A45D2" w14:textId="77777777" w:rsidR="00855DE3" w:rsidRDefault="00855DE3" w:rsidP="00855DE3">
      <w:pPr>
        <w:spacing w:after="0"/>
      </w:pPr>
    </w:p>
    <w:p w14:paraId="60BACB90" w14:textId="24F1B1A7" w:rsidR="007206A3" w:rsidRPr="008B045A" w:rsidRDefault="5F884969" w:rsidP="002F7C2E">
      <w:pPr>
        <w:ind w:left="360"/>
        <w:outlineLvl w:val="0"/>
        <w:rPr>
          <w:b/>
          <w:bCs/>
          <w:u w:val="single"/>
        </w:rPr>
      </w:pPr>
      <w:r w:rsidRPr="5F884969">
        <w:rPr>
          <w:b/>
          <w:bCs/>
          <w:u w:val="single"/>
        </w:rPr>
        <w:t>Housing Accessibility</w:t>
      </w:r>
    </w:p>
    <w:p w14:paraId="515611EB" w14:textId="7CAD4E79" w:rsidR="008B045A" w:rsidRPr="009D1EC1" w:rsidRDefault="5F884969" w:rsidP="5F884969">
      <w:pPr>
        <w:spacing w:after="240" w:line="240" w:lineRule="auto"/>
        <w:ind w:left="360"/>
        <w:rPr>
          <w:b/>
          <w:bCs/>
        </w:rPr>
      </w:pPr>
      <w:r w:rsidRPr="009E6E1A">
        <w:rPr>
          <w:b/>
          <w:bCs/>
          <w:i/>
        </w:rPr>
        <w:t>Describe whether the jurisdiction and region have sufficient affordable, accessible housing in a range of unit sizes</w:t>
      </w:r>
      <w:r w:rsidRPr="009D1EC1">
        <w:rPr>
          <w:b/>
          <w:bCs/>
        </w:rPr>
        <w:t>.</w:t>
      </w:r>
    </w:p>
    <w:p w14:paraId="2610B950" w14:textId="77777777" w:rsidR="00F9234B" w:rsidRPr="009D1EC1" w:rsidRDefault="00F9234B" w:rsidP="002F7C2E">
      <w:pPr>
        <w:spacing w:after="0"/>
        <w:ind w:left="360"/>
        <w:outlineLvl w:val="0"/>
        <w:rPr>
          <w:b/>
          <w:i/>
        </w:rPr>
      </w:pPr>
      <w:r w:rsidRPr="009D1EC1">
        <w:rPr>
          <w:b/>
          <w:i/>
        </w:rPr>
        <w:t>Burlington</w:t>
      </w:r>
    </w:p>
    <w:p w14:paraId="6DBA1150" w14:textId="5FB35902" w:rsidR="00855DE3" w:rsidRPr="009D1EC1" w:rsidRDefault="00DC102F" w:rsidP="00855DE3">
      <w:pPr>
        <w:spacing w:after="0"/>
        <w:ind w:left="360"/>
      </w:pPr>
      <w:r w:rsidRPr="009D1EC1">
        <w:t>Project-based section 8 housing in Burlington has 131 people with a disability, or roughly 21.91% of their population. Other multifamily units has 23 people, or 38.98% of their population. The HCV program has 35.42 of the population with some type of disability, or roughly 503 people</w:t>
      </w:r>
      <w:r w:rsidR="00DC0784" w:rsidRPr="009D1EC1">
        <w:t xml:space="preserve"> (</w:t>
      </w:r>
      <w:r w:rsidR="000F55FC" w:rsidRPr="009D1EC1">
        <w:t>Table 28</w:t>
      </w:r>
      <w:r w:rsidR="00DC0784" w:rsidRPr="009D1EC1">
        <w:t>)</w:t>
      </w:r>
      <w:r w:rsidRPr="009D1EC1">
        <w:t xml:space="preserve">. </w:t>
      </w:r>
    </w:p>
    <w:p w14:paraId="2C2FAB13" w14:textId="2AEEDB46" w:rsidR="00F9234B" w:rsidRPr="009D1EC1" w:rsidRDefault="00BD4866" w:rsidP="00855DE3">
      <w:pPr>
        <w:spacing w:after="0"/>
        <w:ind w:left="360"/>
      </w:pPr>
      <w:r>
        <w:t xml:space="preserve">Based on waiting lists and usage, BHA assesses there </w:t>
      </w:r>
      <w:r w:rsidR="00F9234B" w:rsidRPr="009D1EC1">
        <w:t>are sufficient units to accommodate those with disabilities.</w:t>
      </w:r>
      <w:r>
        <w:t xml:space="preserve"> However, based on survey comments, population and interviews, there is a perceived larger and unfilled need.</w:t>
      </w:r>
    </w:p>
    <w:p w14:paraId="61BE7BFB" w14:textId="77777777" w:rsidR="00F9234B" w:rsidRPr="009D1EC1" w:rsidRDefault="00F9234B" w:rsidP="00855DE3">
      <w:pPr>
        <w:spacing w:after="0"/>
        <w:ind w:left="360"/>
      </w:pPr>
    </w:p>
    <w:p w14:paraId="63A7409F" w14:textId="5F1034E3" w:rsidR="00F9234B" w:rsidRPr="009D1EC1" w:rsidRDefault="00F9234B" w:rsidP="002F7C2E">
      <w:pPr>
        <w:spacing w:after="0"/>
        <w:ind w:left="360"/>
        <w:outlineLvl w:val="0"/>
        <w:rPr>
          <w:b/>
          <w:i/>
        </w:rPr>
      </w:pPr>
      <w:r w:rsidRPr="009D1EC1">
        <w:rPr>
          <w:b/>
          <w:i/>
        </w:rPr>
        <w:t>Burlington/South Burlington</w:t>
      </w:r>
      <w:r w:rsidR="004D1A4A" w:rsidRPr="009D1EC1">
        <w:rPr>
          <w:b/>
          <w:i/>
        </w:rPr>
        <w:t xml:space="preserve"> Region</w:t>
      </w:r>
    </w:p>
    <w:p w14:paraId="7111DC28" w14:textId="77777777" w:rsidR="004D1A4A" w:rsidRPr="009D1EC1" w:rsidRDefault="004D1A4A" w:rsidP="00855DE3">
      <w:pPr>
        <w:spacing w:after="0"/>
        <w:ind w:left="360"/>
      </w:pPr>
    </w:p>
    <w:p w14:paraId="2266F7F1" w14:textId="04F9B9C4" w:rsidR="00F9234B" w:rsidRPr="009D1EC1" w:rsidRDefault="009D1EC1" w:rsidP="009D1EC1">
      <w:pPr>
        <w:spacing w:after="0"/>
        <w:ind w:left="345"/>
      </w:pPr>
      <w:r w:rsidRPr="009D1EC1">
        <w:t>According to the HUD provided data, over 21,000 individuals with disabilities reside in the Burlington-South Burlington Region.</w:t>
      </w:r>
      <w:r>
        <w:t xml:space="preserve"> With 1248 individuals with disabilities utilizing programs in the region, representing 6% of the disabled population. It does not appear there is sufficient resources in the Region.</w:t>
      </w:r>
    </w:p>
    <w:p w14:paraId="57C8344A" w14:textId="77777777" w:rsidR="00BF3EC8" w:rsidRDefault="00BF3EC8" w:rsidP="009E6E1A">
      <w:pPr>
        <w:spacing w:after="0"/>
        <w:rPr>
          <w:sz w:val="20"/>
          <w:szCs w:val="20"/>
        </w:rPr>
      </w:pPr>
    </w:p>
    <w:p w14:paraId="651090D6" w14:textId="77777777" w:rsidR="00BF3EC8" w:rsidRDefault="00BF3EC8" w:rsidP="00CD2842">
      <w:pPr>
        <w:spacing w:after="0"/>
        <w:rPr>
          <w:sz w:val="20"/>
          <w:szCs w:val="20"/>
        </w:rPr>
      </w:pPr>
    </w:p>
    <w:p w14:paraId="47915236" w14:textId="77777777" w:rsidR="00BF3EC8" w:rsidRPr="00DC102F" w:rsidRDefault="00BF3EC8" w:rsidP="00855DE3">
      <w:pPr>
        <w:spacing w:after="0"/>
        <w:ind w:left="360"/>
        <w:rPr>
          <w:sz w:val="20"/>
          <w:szCs w:val="20"/>
        </w:rPr>
      </w:pPr>
    </w:p>
    <w:p w14:paraId="16370C72" w14:textId="58C51C4F" w:rsidR="00855DE3" w:rsidRPr="0025019A" w:rsidRDefault="000F55FC" w:rsidP="00F35F32">
      <w:pPr>
        <w:spacing w:after="0"/>
        <w:ind w:left="360"/>
        <w:rPr>
          <w:sz w:val="20"/>
          <w:szCs w:val="20"/>
        </w:rPr>
      </w:pPr>
      <w:r>
        <w:rPr>
          <w:b/>
          <w:bCs/>
          <w:i/>
          <w:iCs/>
          <w:sz w:val="20"/>
          <w:szCs w:val="20"/>
        </w:rPr>
        <w:t>Table 28</w:t>
      </w:r>
      <w:r w:rsidR="5F884969" w:rsidRPr="5F884969">
        <w:rPr>
          <w:b/>
          <w:bCs/>
          <w:i/>
          <w:iCs/>
          <w:sz w:val="20"/>
          <w:szCs w:val="20"/>
        </w:rPr>
        <w:t>:</w:t>
      </w:r>
      <w:r w:rsidR="5F884969" w:rsidRPr="5F884969">
        <w:rPr>
          <w:sz w:val="20"/>
          <w:szCs w:val="20"/>
        </w:rPr>
        <w:t xml:space="preserve"> Disability by Publicly Supported Housing Program Category in Burlington, VT and Burlington-South Burlington Region. Source: ACS. </w:t>
      </w:r>
    </w:p>
    <w:tbl>
      <w:tblPr>
        <w:tblW w:w="0" w:type="auto"/>
        <w:tblInd w:w="364" w:type="dxa"/>
        <w:tblLook w:val="04A0" w:firstRow="1" w:lastRow="0" w:firstColumn="1" w:lastColumn="0" w:noHBand="0" w:noVBand="1"/>
      </w:tblPr>
      <w:tblGrid>
        <w:gridCol w:w="4302"/>
        <w:gridCol w:w="1065"/>
        <w:gridCol w:w="1300"/>
      </w:tblGrid>
      <w:tr w:rsidR="00855DE3" w:rsidRPr="00F01C2F" w14:paraId="6C9F2FA6" w14:textId="77777777" w:rsidTr="00F35F32">
        <w:trPr>
          <w:trHeight w:val="420"/>
        </w:trPr>
        <w:tc>
          <w:tcPr>
            <w:tcW w:w="0" w:type="auto"/>
            <w:gridSpan w:val="3"/>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58E537EC" w14:textId="3ADEDDD7" w:rsidR="00855DE3" w:rsidRPr="00F01C2F" w:rsidRDefault="006C6B65" w:rsidP="5F884969">
            <w:pPr>
              <w:spacing w:after="0" w:line="240" w:lineRule="auto"/>
              <w:rPr>
                <w:rFonts w:ascii="Calibri" w:eastAsia="Times New Roman" w:hAnsi="Calibri" w:cs="Times New Roman"/>
                <w:b/>
                <w:bCs/>
                <w:color w:val="000000" w:themeColor="text1"/>
              </w:rPr>
            </w:pPr>
            <w:r>
              <w:rPr>
                <w:rFonts w:ascii="Calibri" w:eastAsia="Times New Roman" w:hAnsi="Calibri" w:cs="Times New Roman"/>
                <w:b/>
                <w:bCs/>
                <w:color w:val="000000" w:themeColor="text1"/>
              </w:rPr>
              <w:t xml:space="preserve">Table </w:t>
            </w:r>
            <w:r w:rsidR="000F55FC">
              <w:rPr>
                <w:rFonts w:ascii="Calibri" w:eastAsia="Times New Roman" w:hAnsi="Calibri" w:cs="Times New Roman"/>
                <w:b/>
                <w:bCs/>
                <w:color w:val="000000" w:themeColor="text1"/>
              </w:rPr>
              <w:t>28</w:t>
            </w:r>
            <w:r w:rsidR="5F884969" w:rsidRPr="5F884969">
              <w:rPr>
                <w:rFonts w:ascii="Calibri" w:eastAsia="Times New Roman" w:hAnsi="Calibri" w:cs="Times New Roman"/>
                <w:b/>
                <w:bCs/>
                <w:color w:val="000000" w:themeColor="text1"/>
              </w:rPr>
              <w:t>:  Disability by Publicly Supported Housing Program Category</w:t>
            </w:r>
          </w:p>
        </w:tc>
      </w:tr>
      <w:tr w:rsidR="00855DE3" w:rsidRPr="00F01C2F" w14:paraId="6757B86F" w14:textId="77777777" w:rsidTr="00F35F32">
        <w:trPr>
          <w:trHeight w:val="863"/>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1F3E81E" w14:textId="77777777" w:rsidR="00855DE3" w:rsidRPr="00F01C2F"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 VT Jurisdiction</w:t>
            </w:r>
          </w:p>
        </w:tc>
        <w:tc>
          <w:tcPr>
            <w:tcW w:w="0" w:type="auto"/>
            <w:gridSpan w:val="2"/>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51CA7A1" w14:textId="77777777" w:rsidR="00855DE3" w:rsidRPr="00F01C2F"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People with a Disability</w:t>
            </w:r>
          </w:p>
        </w:tc>
      </w:tr>
      <w:tr w:rsidR="00855DE3" w:rsidRPr="00F01C2F" w14:paraId="17B63BC7" w14:textId="77777777" w:rsidTr="00F35F32">
        <w:trPr>
          <w:trHeight w:val="420"/>
        </w:trPr>
        <w:tc>
          <w:tcPr>
            <w:tcW w:w="0" w:type="auto"/>
            <w:tcBorders>
              <w:top w:val="nil"/>
              <w:left w:val="single" w:sz="4" w:space="0" w:color="auto"/>
              <w:bottom w:val="single" w:sz="4" w:space="0" w:color="auto"/>
              <w:right w:val="single" w:sz="4" w:space="0" w:color="auto"/>
            </w:tcBorders>
            <w:shd w:val="clear" w:color="auto" w:fill="DCE6F1"/>
            <w:noWrap/>
            <w:vAlign w:val="bottom"/>
            <w:hideMark/>
          </w:tcPr>
          <w:p w14:paraId="2B4B585C" w14:textId="77777777" w:rsidR="00855DE3" w:rsidRPr="00F01C2F"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w:t>
            </w:r>
          </w:p>
        </w:tc>
        <w:tc>
          <w:tcPr>
            <w:tcW w:w="0" w:type="auto"/>
            <w:tcBorders>
              <w:top w:val="nil"/>
              <w:left w:val="nil"/>
              <w:bottom w:val="single" w:sz="4" w:space="0" w:color="auto"/>
              <w:right w:val="single" w:sz="4" w:space="0" w:color="auto"/>
            </w:tcBorders>
            <w:shd w:val="clear" w:color="auto" w:fill="DCE6F1"/>
            <w:noWrap/>
            <w:vAlign w:val="bottom"/>
            <w:hideMark/>
          </w:tcPr>
          <w:p w14:paraId="048999B1" w14:textId="77777777" w:rsidR="00855DE3" w:rsidRPr="00F01C2F"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c>
          <w:tcPr>
            <w:tcW w:w="0" w:type="auto"/>
            <w:tcBorders>
              <w:top w:val="nil"/>
              <w:left w:val="nil"/>
              <w:bottom w:val="single" w:sz="4" w:space="0" w:color="auto"/>
              <w:right w:val="single" w:sz="4" w:space="0" w:color="auto"/>
            </w:tcBorders>
            <w:shd w:val="clear" w:color="auto" w:fill="DCE6F1"/>
            <w:noWrap/>
            <w:vAlign w:val="bottom"/>
            <w:hideMark/>
          </w:tcPr>
          <w:p w14:paraId="2DD9CDBB" w14:textId="77777777" w:rsidR="00855DE3" w:rsidRPr="00F01C2F" w:rsidRDefault="5F884969" w:rsidP="5F884969">
            <w:pPr>
              <w:spacing w:after="0" w:line="240" w:lineRule="auto"/>
              <w:jc w:val="center"/>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w:t>
            </w:r>
          </w:p>
        </w:tc>
      </w:tr>
      <w:tr w:rsidR="00855DE3" w:rsidRPr="00F01C2F" w14:paraId="6084DE9E" w14:textId="77777777" w:rsidTr="00F35F32">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2007A7" w14:textId="77777777" w:rsidR="00855DE3" w:rsidRPr="00F01C2F"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Public Housing</w:t>
            </w:r>
          </w:p>
        </w:tc>
        <w:tc>
          <w:tcPr>
            <w:tcW w:w="0" w:type="auto"/>
            <w:tcBorders>
              <w:top w:val="nil"/>
              <w:left w:val="nil"/>
              <w:bottom w:val="single" w:sz="4" w:space="0" w:color="auto"/>
              <w:right w:val="single" w:sz="4" w:space="0" w:color="auto"/>
            </w:tcBorders>
            <w:shd w:val="clear" w:color="auto" w:fill="auto"/>
            <w:noWrap/>
            <w:vAlign w:val="bottom"/>
            <w:hideMark/>
          </w:tcPr>
          <w:p w14:paraId="78D25AA5"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0" w:type="auto"/>
            <w:tcBorders>
              <w:top w:val="nil"/>
              <w:left w:val="nil"/>
              <w:bottom w:val="single" w:sz="4" w:space="0" w:color="auto"/>
              <w:right w:val="single" w:sz="4" w:space="0" w:color="auto"/>
            </w:tcBorders>
            <w:shd w:val="clear" w:color="auto" w:fill="auto"/>
            <w:noWrap/>
            <w:vAlign w:val="bottom"/>
            <w:hideMark/>
          </w:tcPr>
          <w:p w14:paraId="38EC68FF"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r>
      <w:tr w:rsidR="00855DE3" w:rsidRPr="00F01C2F" w14:paraId="3BA71C8F" w14:textId="77777777" w:rsidTr="00F35F32">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5D4763" w14:textId="77777777" w:rsidR="00855DE3" w:rsidRPr="00F01C2F"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Project-Based Section 8</w:t>
            </w:r>
          </w:p>
        </w:tc>
        <w:tc>
          <w:tcPr>
            <w:tcW w:w="0" w:type="auto"/>
            <w:tcBorders>
              <w:top w:val="nil"/>
              <w:left w:val="nil"/>
              <w:bottom w:val="single" w:sz="4" w:space="0" w:color="auto"/>
              <w:right w:val="single" w:sz="4" w:space="0" w:color="auto"/>
            </w:tcBorders>
            <w:shd w:val="clear" w:color="auto" w:fill="auto"/>
            <w:noWrap/>
            <w:vAlign w:val="bottom"/>
            <w:hideMark/>
          </w:tcPr>
          <w:p w14:paraId="698881B2"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131</w:t>
            </w:r>
          </w:p>
        </w:tc>
        <w:tc>
          <w:tcPr>
            <w:tcW w:w="0" w:type="auto"/>
            <w:tcBorders>
              <w:top w:val="nil"/>
              <w:left w:val="nil"/>
              <w:bottom w:val="single" w:sz="4" w:space="0" w:color="auto"/>
              <w:right w:val="single" w:sz="4" w:space="0" w:color="auto"/>
            </w:tcBorders>
            <w:shd w:val="clear" w:color="auto" w:fill="auto"/>
            <w:noWrap/>
            <w:vAlign w:val="bottom"/>
            <w:hideMark/>
          </w:tcPr>
          <w:p w14:paraId="34E4769C"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21.91%</w:t>
            </w:r>
          </w:p>
        </w:tc>
      </w:tr>
      <w:tr w:rsidR="00855DE3" w:rsidRPr="00F01C2F" w14:paraId="0E697493" w14:textId="77777777" w:rsidTr="00F35F32">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FF6448" w14:textId="77777777" w:rsidR="00855DE3" w:rsidRPr="00F01C2F"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Other Multifamily</w:t>
            </w:r>
          </w:p>
        </w:tc>
        <w:tc>
          <w:tcPr>
            <w:tcW w:w="0" w:type="auto"/>
            <w:tcBorders>
              <w:top w:val="nil"/>
              <w:left w:val="nil"/>
              <w:bottom w:val="single" w:sz="4" w:space="0" w:color="auto"/>
              <w:right w:val="single" w:sz="4" w:space="0" w:color="auto"/>
            </w:tcBorders>
            <w:shd w:val="clear" w:color="auto" w:fill="auto"/>
            <w:noWrap/>
            <w:vAlign w:val="bottom"/>
            <w:hideMark/>
          </w:tcPr>
          <w:p w14:paraId="24B6D8D4"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23</w:t>
            </w:r>
          </w:p>
        </w:tc>
        <w:tc>
          <w:tcPr>
            <w:tcW w:w="0" w:type="auto"/>
            <w:tcBorders>
              <w:top w:val="nil"/>
              <w:left w:val="nil"/>
              <w:bottom w:val="single" w:sz="4" w:space="0" w:color="auto"/>
              <w:right w:val="single" w:sz="4" w:space="0" w:color="auto"/>
            </w:tcBorders>
            <w:shd w:val="clear" w:color="auto" w:fill="auto"/>
            <w:noWrap/>
            <w:vAlign w:val="bottom"/>
            <w:hideMark/>
          </w:tcPr>
          <w:p w14:paraId="15A8F91C"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38.98%</w:t>
            </w:r>
          </w:p>
        </w:tc>
      </w:tr>
      <w:tr w:rsidR="00855DE3" w:rsidRPr="00F01C2F" w14:paraId="74F60FC3" w14:textId="77777777" w:rsidTr="00F35F32">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A9F73A" w14:textId="77777777" w:rsidR="00855DE3" w:rsidRPr="00F01C2F"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HCV Program</w:t>
            </w:r>
          </w:p>
        </w:tc>
        <w:tc>
          <w:tcPr>
            <w:tcW w:w="0" w:type="auto"/>
            <w:tcBorders>
              <w:top w:val="nil"/>
              <w:left w:val="nil"/>
              <w:bottom w:val="single" w:sz="4" w:space="0" w:color="auto"/>
              <w:right w:val="single" w:sz="4" w:space="0" w:color="auto"/>
            </w:tcBorders>
            <w:shd w:val="clear" w:color="auto" w:fill="auto"/>
            <w:noWrap/>
            <w:vAlign w:val="bottom"/>
            <w:hideMark/>
          </w:tcPr>
          <w:p w14:paraId="597E6561"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503</w:t>
            </w:r>
          </w:p>
        </w:tc>
        <w:tc>
          <w:tcPr>
            <w:tcW w:w="0" w:type="auto"/>
            <w:tcBorders>
              <w:top w:val="nil"/>
              <w:left w:val="nil"/>
              <w:bottom w:val="single" w:sz="4" w:space="0" w:color="auto"/>
              <w:right w:val="single" w:sz="4" w:space="0" w:color="auto"/>
            </w:tcBorders>
            <w:shd w:val="clear" w:color="auto" w:fill="auto"/>
            <w:noWrap/>
            <w:vAlign w:val="bottom"/>
            <w:hideMark/>
          </w:tcPr>
          <w:p w14:paraId="61041713"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35.42%</w:t>
            </w:r>
          </w:p>
        </w:tc>
      </w:tr>
      <w:tr w:rsidR="00855DE3" w:rsidRPr="00F01C2F" w14:paraId="24BA19AC" w14:textId="77777777" w:rsidTr="00F35F32">
        <w:trPr>
          <w:trHeight w:val="863"/>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1EC7A035" w14:textId="77777777" w:rsidR="00855DE3" w:rsidRPr="00F01C2F"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Burlington-South Burlington, VT Region</w:t>
            </w:r>
          </w:p>
        </w:tc>
        <w:tc>
          <w:tcPr>
            <w:tcW w:w="0" w:type="auto"/>
            <w:tcBorders>
              <w:top w:val="nil"/>
              <w:left w:val="nil"/>
              <w:bottom w:val="single" w:sz="4" w:space="0" w:color="auto"/>
              <w:right w:val="single" w:sz="4" w:space="0" w:color="auto"/>
            </w:tcBorders>
            <w:shd w:val="clear" w:color="auto" w:fill="D9D9D9" w:themeFill="background1" w:themeFillShade="D9"/>
            <w:vAlign w:val="bottom"/>
            <w:hideMark/>
          </w:tcPr>
          <w:p w14:paraId="6B59C82D" w14:textId="77777777" w:rsidR="00855DE3" w:rsidRPr="00F01C2F"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w:t>
            </w:r>
          </w:p>
        </w:tc>
        <w:tc>
          <w:tcPr>
            <w:tcW w:w="0" w:type="auto"/>
            <w:tcBorders>
              <w:top w:val="nil"/>
              <w:left w:val="nil"/>
              <w:bottom w:val="single" w:sz="4" w:space="0" w:color="auto"/>
              <w:right w:val="single" w:sz="4" w:space="0" w:color="auto"/>
            </w:tcBorders>
            <w:shd w:val="clear" w:color="auto" w:fill="D9D9D9" w:themeFill="background1" w:themeFillShade="D9"/>
            <w:vAlign w:val="bottom"/>
            <w:hideMark/>
          </w:tcPr>
          <w:p w14:paraId="6E6145A7" w14:textId="77777777" w:rsidR="00855DE3" w:rsidRPr="00F01C2F" w:rsidRDefault="5F884969" w:rsidP="5F884969">
            <w:pPr>
              <w:spacing w:after="0" w:line="240" w:lineRule="auto"/>
              <w:rPr>
                <w:rFonts w:ascii="Calibri" w:eastAsia="Times New Roman" w:hAnsi="Calibri" w:cs="Times New Roman"/>
                <w:b/>
                <w:bCs/>
                <w:color w:val="000000" w:themeColor="text1"/>
              </w:rPr>
            </w:pPr>
            <w:r w:rsidRPr="5F884969">
              <w:rPr>
                <w:rFonts w:ascii="Calibri" w:eastAsia="Times New Roman" w:hAnsi="Calibri" w:cs="Times New Roman"/>
                <w:b/>
                <w:bCs/>
                <w:color w:val="000000" w:themeColor="text1"/>
              </w:rPr>
              <w:t> </w:t>
            </w:r>
          </w:p>
        </w:tc>
      </w:tr>
      <w:tr w:rsidR="00855DE3" w:rsidRPr="00F01C2F" w14:paraId="719D05D0" w14:textId="77777777" w:rsidTr="00F35F32">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7794A8" w14:textId="77777777" w:rsidR="00855DE3" w:rsidRPr="00F01C2F"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Public Housing</w:t>
            </w:r>
          </w:p>
        </w:tc>
        <w:tc>
          <w:tcPr>
            <w:tcW w:w="0" w:type="auto"/>
            <w:tcBorders>
              <w:top w:val="nil"/>
              <w:left w:val="nil"/>
              <w:bottom w:val="single" w:sz="4" w:space="0" w:color="auto"/>
              <w:right w:val="single" w:sz="4" w:space="0" w:color="auto"/>
            </w:tcBorders>
            <w:shd w:val="clear" w:color="auto" w:fill="auto"/>
            <w:noWrap/>
            <w:vAlign w:val="bottom"/>
            <w:hideMark/>
          </w:tcPr>
          <w:p w14:paraId="108EBB37"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c>
          <w:tcPr>
            <w:tcW w:w="0" w:type="auto"/>
            <w:tcBorders>
              <w:top w:val="nil"/>
              <w:left w:val="nil"/>
              <w:bottom w:val="single" w:sz="4" w:space="0" w:color="auto"/>
              <w:right w:val="single" w:sz="4" w:space="0" w:color="auto"/>
            </w:tcBorders>
            <w:shd w:val="clear" w:color="auto" w:fill="auto"/>
            <w:noWrap/>
            <w:vAlign w:val="bottom"/>
            <w:hideMark/>
          </w:tcPr>
          <w:p w14:paraId="4EB0D9B6"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N/a</w:t>
            </w:r>
          </w:p>
        </w:tc>
      </w:tr>
      <w:tr w:rsidR="00855DE3" w:rsidRPr="00F01C2F" w14:paraId="5ACA91A1" w14:textId="77777777" w:rsidTr="00F35F32">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4EF94" w14:textId="77777777" w:rsidR="00855DE3" w:rsidRPr="00F01C2F"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Project-Based Section 8</w:t>
            </w:r>
          </w:p>
        </w:tc>
        <w:tc>
          <w:tcPr>
            <w:tcW w:w="0" w:type="auto"/>
            <w:tcBorders>
              <w:top w:val="nil"/>
              <w:left w:val="nil"/>
              <w:bottom w:val="single" w:sz="4" w:space="0" w:color="auto"/>
              <w:right w:val="single" w:sz="4" w:space="0" w:color="auto"/>
            </w:tcBorders>
            <w:shd w:val="clear" w:color="auto" w:fill="auto"/>
            <w:noWrap/>
            <w:vAlign w:val="bottom"/>
            <w:hideMark/>
          </w:tcPr>
          <w:p w14:paraId="6297D3B6"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131</w:t>
            </w:r>
          </w:p>
        </w:tc>
        <w:tc>
          <w:tcPr>
            <w:tcW w:w="0" w:type="auto"/>
            <w:tcBorders>
              <w:top w:val="nil"/>
              <w:left w:val="nil"/>
              <w:bottom w:val="single" w:sz="4" w:space="0" w:color="auto"/>
              <w:right w:val="single" w:sz="4" w:space="0" w:color="auto"/>
            </w:tcBorders>
            <w:shd w:val="clear" w:color="auto" w:fill="auto"/>
            <w:noWrap/>
            <w:vAlign w:val="bottom"/>
            <w:hideMark/>
          </w:tcPr>
          <w:p w14:paraId="75A1C9E0"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21.91%</w:t>
            </w:r>
          </w:p>
        </w:tc>
      </w:tr>
      <w:tr w:rsidR="00855DE3" w:rsidRPr="00F01C2F" w14:paraId="0CA39374" w14:textId="77777777" w:rsidTr="00F35F32">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41C60D" w14:textId="77777777" w:rsidR="00855DE3" w:rsidRPr="00F01C2F"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Other Multifamily</w:t>
            </w:r>
          </w:p>
        </w:tc>
        <w:tc>
          <w:tcPr>
            <w:tcW w:w="0" w:type="auto"/>
            <w:tcBorders>
              <w:top w:val="nil"/>
              <w:left w:val="nil"/>
              <w:bottom w:val="single" w:sz="4" w:space="0" w:color="auto"/>
              <w:right w:val="single" w:sz="4" w:space="0" w:color="auto"/>
            </w:tcBorders>
            <w:shd w:val="clear" w:color="auto" w:fill="auto"/>
            <w:noWrap/>
            <w:vAlign w:val="bottom"/>
            <w:hideMark/>
          </w:tcPr>
          <w:p w14:paraId="7E579E29"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23</w:t>
            </w:r>
          </w:p>
        </w:tc>
        <w:tc>
          <w:tcPr>
            <w:tcW w:w="0" w:type="auto"/>
            <w:tcBorders>
              <w:top w:val="nil"/>
              <w:left w:val="nil"/>
              <w:bottom w:val="single" w:sz="4" w:space="0" w:color="auto"/>
              <w:right w:val="single" w:sz="4" w:space="0" w:color="auto"/>
            </w:tcBorders>
            <w:shd w:val="clear" w:color="auto" w:fill="auto"/>
            <w:noWrap/>
            <w:vAlign w:val="bottom"/>
            <w:hideMark/>
          </w:tcPr>
          <w:p w14:paraId="025B8901"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38.98%</w:t>
            </w:r>
          </w:p>
        </w:tc>
      </w:tr>
      <w:tr w:rsidR="00855DE3" w:rsidRPr="00F01C2F" w14:paraId="765E781F" w14:textId="77777777" w:rsidTr="00F35F32">
        <w:trPr>
          <w:trHeight w:val="51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5C836F" w14:textId="77777777" w:rsidR="00855DE3" w:rsidRPr="00F01C2F" w:rsidRDefault="5F884969" w:rsidP="5F884969">
            <w:pPr>
              <w:spacing w:after="0" w:line="240" w:lineRule="auto"/>
              <w:rPr>
                <w:rFonts w:ascii="Calibri" w:eastAsia="Times New Roman" w:hAnsi="Calibri" w:cs="Times New Roman"/>
                <w:color w:val="000000" w:themeColor="text1"/>
              </w:rPr>
            </w:pPr>
            <w:r w:rsidRPr="5F884969">
              <w:rPr>
                <w:rFonts w:ascii="Calibri" w:eastAsia="Times New Roman" w:hAnsi="Calibri" w:cs="Times New Roman"/>
                <w:color w:val="000000" w:themeColor="text1"/>
              </w:rPr>
              <w:t>HCV Program</w:t>
            </w:r>
          </w:p>
        </w:tc>
        <w:tc>
          <w:tcPr>
            <w:tcW w:w="0" w:type="auto"/>
            <w:tcBorders>
              <w:top w:val="nil"/>
              <w:left w:val="nil"/>
              <w:bottom w:val="single" w:sz="4" w:space="0" w:color="auto"/>
              <w:right w:val="single" w:sz="4" w:space="0" w:color="auto"/>
            </w:tcBorders>
            <w:shd w:val="clear" w:color="auto" w:fill="auto"/>
            <w:noWrap/>
            <w:vAlign w:val="bottom"/>
            <w:hideMark/>
          </w:tcPr>
          <w:p w14:paraId="4A2B364C"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1,094</w:t>
            </w:r>
          </w:p>
        </w:tc>
        <w:tc>
          <w:tcPr>
            <w:tcW w:w="0" w:type="auto"/>
            <w:tcBorders>
              <w:top w:val="nil"/>
              <w:left w:val="nil"/>
              <w:bottom w:val="single" w:sz="4" w:space="0" w:color="auto"/>
              <w:right w:val="single" w:sz="4" w:space="0" w:color="auto"/>
            </w:tcBorders>
            <w:shd w:val="clear" w:color="auto" w:fill="auto"/>
            <w:noWrap/>
            <w:vAlign w:val="bottom"/>
            <w:hideMark/>
          </w:tcPr>
          <w:p w14:paraId="76CECB69" w14:textId="77777777" w:rsidR="00855DE3" w:rsidRPr="00F01C2F" w:rsidRDefault="5F884969" w:rsidP="5F884969">
            <w:pPr>
              <w:spacing w:after="0" w:line="240" w:lineRule="auto"/>
              <w:jc w:val="right"/>
              <w:rPr>
                <w:rFonts w:ascii="Calibri" w:eastAsia="Times New Roman" w:hAnsi="Calibri" w:cs="Times New Roman"/>
                <w:color w:val="000000" w:themeColor="text1"/>
              </w:rPr>
            </w:pPr>
            <w:r w:rsidRPr="5F884969">
              <w:rPr>
                <w:rFonts w:ascii="Calibri" w:eastAsia="Times New Roman" w:hAnsi="Calibri" w:cs="Times New Roman"/>
                <w:color w:val="000000" w:themeColor="text1"/>
              </w:rPr>
              <w:t>31.31%</w:t>
            </w:r>
          </w:p>
        </w:tc>
      </w:tr>
    </w:tbl>
    <w:p w14:paraId="738BDFD5" w14:textId="77777777" w:rsidR="00BC4060" w:rsidRDefault="00BC4060" w:rsidP="00DA1BA8">
      <w:pPr>
        <w:ind w:left="360"/>
        <w:rPr>
          <w:b/>
          <w:i/>
        </w:rPr>
      </w:pPr>
    </w:p>
    <w:p w14:paraId="4C336347" w14:textId="1B8FA03B" w:rsidR="00DA1BA8" w:rsidRPr="009E6E1A" w:rsidRDefault="5F884969" w:rsidP="5F884969">
      <w:pPr>
        <w:ind w:left="360"/>
        <w:rPr>
          <w:b/>
          <w:bCs/>
          <w:i/>
        </w:rPr>
      </w:pPr>
      <w:r w:rsidRPr="009E6E1A">
        <w:rPr>
          <w:b/>
          <w:bCs/>
          <w:i/>
        </w:rPr>
        <w:t>Describe the areas where affordable accessible housing units are located in the jurisdiction and region. Do they align with R/ECAPs or other areas that are segregated?</w:t>
      </w:r>
    </w:p>
    <w:p w14:paraId="052E57C0" w14:textId="7002C8CE" w:rsidR="006C6B65" w:rsidRDefault="006C6B65" w:rsidP="5F884969">
      <w:pPr>
        <w:ind w:left="360"/>
      </w:pPr>
      <w:r>
        <w:t xml:space="preserve">As we mentioned previously, </w:t>
      </w:r>
      <w:r>
        <w:rPr>
          <w:bCs/>
          <w:iCs/>
        </w:rPr>
        <w:t xml:space="preserve">and as we saw in </w:t>
      </w:r>
      <w:r w:rsidRPr="009B5F21">
        <w:rPr>
          <w:bCs/>
          <w:iCs/>
        </w:rPr>
        <w:t xml:space="preserve">Map 16 publicly supported </w:t>
      </w:r>
      <w:r>
        <w:rPr>
          <w:bCs/>
          <w:iCs/>
        </w:rPr>
        <w:t xml:space="preserve">housing units are concentrated </w:t>
      </w:r>
      <w:r w:rsidRPr="009B5F21">
        <w:rPr>
          <w:bCs/>
          <w:iCs/>
        </w:rPr>
        <w:t>in the urban core of Burlington and a c</w:t>
      </w:r>
      <w:r w:rsidR="00791C0B">
        <w:rPr>
          <w:bCs/>
          <w:iCs/>
        </w:rPr>
        <w:t xml:space="preserve">oncentration of voucher units </w:t>
      </w:r>
      <w:r w:rsidRPr="009B5F21">
        <w:rPr>
          <w:bCs/>
          <w:iCs/>
        </w:rPr>
        <w:t>located in the northeast corner of the jurisdiction.</w:t>
      </w:r>
      <w:r w:rsidR="00F35F32">
        <w:rPr>
          <w:bCs/>
          <w:iCs/>
        </w:rPr>
        <w:t xml:space="preserve"> Although we there are no R/ECAPs in the Burlington region, and segregation is low overall, we have identified tracts 4 and 5 as being areas with signs of increased segregation relative to other areas. It does appear that a large number of affordable public housing options are located in and around</w:t>
      </w:r>
      <w:r w:rsidR="00791C0B">
        <w:rPr>
          <w:bCs/>
          <w:iCs/>
        </w:rPr>
        <w:t xml:space="preserve"> census</w:t>
      </w:r>
      <w:r w:rsidR="00F35F32">
        <w:rPr>
          <w:bCs/>
          <w:iCs/>
        </w:rPr>
        <w:t xml:space="preserve"> tracts 4 and 5.</w:t>
      </w:r>
    </w:p>
    <w:p w14:paraId="47620A67" w14:textId="30B0CD44" w:rsidR="00DA1BA8" w:rsidRPr="009E6E1A" w:rsidRDefault="5F884969" w:rsidP="5F884969">
      <w:pPr>
        <w:ind w:left="360"/>
        <w:rPr>
          <w:b/>
          <w:bCs/>
          <w:i/>
        </w:rPr>
      </w:pPr>
      <w:r w:rsidRPr="009E6E1A">
        <w:rPr>
          <w:b/>
          <w:bCs/>
          <w:i/>
        </w:rPr>
        <w:t>To what extent are persons with different disabilities able to access and live in the different categories of publicly supported housing in the jurisdiction and region?</w:t>
      </w:r>
    </w:p>
    <w:p w14:paraId="3CA85E94" w14:textId="10B32EA8" w:rsidR="00DA1BA8" w:rsidRDefault="00337287" w:rsidP="00DA1BA8">
      <w:pPr>
        <w:ind w:left="360"/>
      </w:pPr>
      <w:r>
        <w:t>As we can see by the sheer number of persons with disability accessing public housing options, they have a good extent of access to these options within the Burlington jurisdiction.</w:t>
      </w:r>
      <w:r w:rsidR="006319F8">
        <w:t xml:space="preserve"> However, the number of ADA accessible units within publicly supported housing is low compared to the overall population of those who identify as disabled within the PHA units.</w:t>
      </w:r>
    </w:p>
    <w:p w14:paraId="636BC842" w14:textId="77777777" w:rsidR="008B045A" w:rsidRPr="008B045A" w:rsidRDefault="5F884969" w:rsidP="002F7C2E">
      <w:pPr>
        <w:pStyle w:val="ListParagraph"/>
        <w:widowControl w:val="0"/>
        <w:autoSpaceDE w:val="0"/>
        <w:autoSpaceDN w:val="0"/>
        <w:adjustRightInd w:val="0"/>
        <w:spacing w:after="240" w:line="380" w:lineRule="atLeast"/>
        <w:ind w:left="360"/>
        <w:outlineLvl w:val="0"/>
        <w:rPr>
          <w:rFonts w:ascii="Calibri" w:hAnsi="Calibri" w:cs="Calibri"/>
          <w:b/>
          <w:bCs/>
          <w:color w:val="000000" w:themeColor="text1"/>
          <w:u w:val="single"/>
        </w:rPr>
      </w:pPr>
      <w:r w:rsidRPr="5F884969">
        <w:rPr>
          <w:rFonts w:ascii="Calibri" w:hAnsi="Calibri" w:cs="Calibri"/>
          <w:b/>
          <w:bCs/>
          <w:color w:val="000000" w:themeColor="text1"/>
          <w:u w:val="single"/>
        </w:rPr>
        <w:lastRenderedPageBreak/>
        <w:t>Integration of Persons with Disabilities Living in Institutions or Other Segregated Settings</w:t>
      </w:r>
    </w:p>
    <w:p w14:paraId="2D06FA20" w14:textId="6534BC7F" w:rsidR="008B045A" w:rsidRPr="009E6E1A" w:rsidRDefault="5F884969" w:rsidP="009E6E1A">
      <w:pPr>
        <w:spacing w:after="240" w:line="240" w:lineRule="auto"/>
        <w:ind w:left="360"/>
        <w:rPr>
          <w:b/>
          <w:bCs/>
          <w:i/>
        </w:rPr>
      </w:pPr>
      <w:bookmarkStart w:id="45" w:name="_Hlk489438871"/>
      <w:r w:rsidRPr="009E6E1A">
        <w:rPr>
          <w:b/>
          <w:bCs/>
          <w:i/>
        </w:rPr>
        <w:t>To what extent do persons with disabilities in or from the jurisdiction or region reside in segregated or integrated settings?</w:t>
      </w:r>
    </w:p>
    <w:p w14:paraId="6A0E02B6" w14:textId="2923F5F8" w:rsidR="00445117" w:rsidRPr="007D6FD2" w:rsidRDefault="00337287" w:rsidP="009E6E1A">
      <w:pPr>
        <w:spacing w:after="240" w:line="240" w:lineRule="auto"/>
        <w:ind w:left="360"/>
      </w:pPr>
      <w:r>
        <w:t xml:space="preserve">Overall, persons with disabilities are </w:t>
      </w:r>
      <w:r w:rsidR="00791C0B">
        <w:t>relatively equally</w:t>
      </w:r>
      <w:r>
        <w:t xml:space="preserve"> dispersed throughout the Burlington </w:t>
      </w:r>
      <w:r w:rsidRPr="007D6FD2">
        <w:t xml:space="preserve">jurisdiction and region as a whole. </w:t>
      </w:r>
    </w:p>
    <w:p w14:paraId="4390561A" w14:textId="33303ADD" w:rsidR="00DA1BA8" w:rsidRPr="007D6FD2" w:rsidRDefault="5F884969" w:rsidP="009E6E1A">
      <w:pPr>
        <w:spacing w:after="240" w:line="240" w:lineRule="auto"/>
        <w:ind w:left="360"/>
        <w:rPr>
          <w:b/>
          <w:bCs/>
          <w:i/>
        </w:rPr>
      </w:pPr>
      <w:r w:rsidRPr="007D6FD2">
        <w:rPr>
          <w:b/>
          <w:bCs/>
          <w:i/>
        </w:rPr>
        <w:t>Describe the range of options for persons with disabilities to access affordable housing and supportive services in the jurisdiction and region.</w:t>
      </w:r>
    </w:p>
    <w:p w14:paraId="267C220F" w14:textId="77777777" w:rsidR="00E4723F" w:rsidRDefault="00E4723F" w:rsidP="005348AA">
      <w:pPr>
        <w:spacing w:after="240" w:line="240" w:lineRule="auto"/>
        <w:ind w:left="360"/>
        <w:rPr>
          <w:b/>
          <w:i/>
        </w:rPr>
      </w:pPr>
      <w:r w:rsidRPr="009D1EC1">
        <w:rPr>
          <w:b/>
          <w:i/>
        </w:rPr>
        <w:t xml:space="preserve">Burlington </w:t>
      </w:r>
    </w:p>
    <w:p w14:paraId="43C5E362" w14:textId="7B3427C9" w:rsidR="00BD4866" w:rsidRPr="00E4723F" w:rsidRDefault="00BD4866" w:rsidP="005348AA">
      <w:pPr>
        <w:spacing w:after="240" w:line="240" w:lineRule="auto"/>
        <w:ind w:left="360"/>
        <w:rPr>
          <w:bCs/>
        </w:rPr>
      </w:pPr>
      <w:r w:rsidRPr="00E4723F">
        <w:rPr>
          <w:bCs/>
        </w:rPr>
        <w:t xml:space="preserve">Within the City of Burlington, there are a range of options for persons with disabilities to access affordable housing. For all new affordable housing developments built by our nonprofit providers, there are the required number of ADA compliant units available for those with physical disabilities. Within publicly supported housing, as noted by the demographics in Table 28, </w:t>
      </w:r>
      <w:r w:rsidR="005348AA" w:rsidRPr="00E4723F">
        <w:rPr>
          <w:bCs/>
        </w:rPr>
        <w:t>22% access project-based Section 8 vouchers, 39% access other multifamily programs and 35% access Housing Choice Vouchers.</w:t>
      </w:r>
      <w:r w:rsidR="00E4723F" w:rsidRPr="00E4723F">
        <w:rPr>
          <w:bCs/>
        </w:rPr>
        <w:t xml:space="preserve">  </w:t>
      </w:r>
      <w:r w:rsidR="004937FA">
        <w:rPr>
          <w:bCs/>
        </w:rPr>
        <w:t xml:space="preserve">Three properties in Burlington are available for seniors and persons with disabilities at Champlain Apartments, Decker Towers and South Square Apartments. </w:t>
      </w:r>
      <w:r w:rsidR="00E4723F" w:rsidRPr="00E4723F">
        <w:rPr>
          <w:bCs/>
        </w:rPr>
        <w:t>Supportive services are accessible through a number of agencies depending on the presenting disability including Champlain Community Services, Howard Center, Vermont Department of Disabilities, Aging and Independent Living.</w:t>
      </w:r>
    </w:p>
    <w:p w14:paraId="17A06BEE" w14:textId="77777777" w:rsidR="00E4723F" w:rsidRDefault="00E4723F" w:rsidP="00E4723F">
      <w:pPr>
        <w:spacing w:after="0"/>
        <w:ind w:left="360"/>
        <w:outlineLvl w:val="0"/>
        <w:rPr>
          <w:b/>
          <w:i/>
        </w:rPr>
      </w:pPr>
      <w:r w:rsidRPr="009D1EC1">
        <w:rPr>
          <w:b/>
          <w:i/>
        </w:rPr>
        <w:t>Burlington/South Burlington Region</w:t>
      </w:r>
    </w:p>
    <w:p w14:paraId="752AA7EE" w14:textId="77777777" w:rsidR="007D6FD2" w:rsidRPr="009D1EC1" w:rsidRDefault="007D6FD2" w:rsidP="00E4723F">
      <w:pPr>
        <w:spacing w:after="0"/>
        <w:ind w:left="360"/>
        <w:outlineLvl w:val="0"/>
        <w:rPr>
          <w:b/>
          <w:i/>
        </w:rPr>
      </w:pPr>
    </w:p>
    <w:p w14:paraId="4D51A411" w14:textId="7C7E8633" w:rsidR="00E4723F" w:rsidRPr="007D6FD2" w:rsidRDefault="00B178A8" w:rsidP="005348AA">
      <w:pPr>
        <w:spacing w:after="240" w:line="240" w:lineRule="auto"/>
        <w:ind w:left="360"/>
        <w:rPr>
          <w:bCs/>
        </w:rPr>
      </w:pPr>
      <w:r w:rsidRPr="007D6FD2">
        <w:rPr>
          <w:bCs/>
        </w:rPr>
        <w:t>Within the Region, there are also a range of options for persons with disabilities to access affordable housing. Our nonprofit developers, both constructing within the Region and managing properties within the Region, rent ADA compliant units as well as units to those with Section 8 Vouchers and Shelter plus Care vouchers. The Winooski Housing Authority manages three properties in Winooski that offers housing to senior or disabled families. The Vermont State Housing Authority manages three properties in Franklin County that offers housing to seniors or disabled in families and one property in Chittenden County.</w:t>
      </w:r>
    </w:p>
    <w:p w14:paraId="6B953EB6" w14:textId="283E32AC" w:rsidR="007D6FD2" w:rsidRPr="00E4723F" w:rsidRDefault="007D6FD2" w:rsidP="007D6FD2">
      <w:pPr>
        <w:spacing w:after="240" w:line="240" w:lineRule="auto"/>
        <w:ind w:left="360"/>
        <w:rPr>
          <w:bCs/>
        </w:rPr>
      </w:pPr>
      <w:r w:rsidRPr="00E4723F">
        <w:rPr>
          <w:bCs/>
        </w:rPr>
        <w:t>Supportive services are accessible through a number of agencies depending on the presenting disability includ</w:t>
      </w:r>
      <w:r>
        <w:rPr>
          <w:bCs/>
        </w:rPr>
        <w:t>ing Northwestern Counseling and Support Services, Champlain Community Services, Vermont Association for the Blind and Visually Impaired and</w:t>
      </w:r>
      <w:r w:rsidRPr="00E4723F">
        <w:rPr>
          <w:bCs/>
        </w:rPr>
        <w:t xml:space="preserve"> Vermont Department of Disabilities, Aging </w:t>
      </w:r>
      <w:r>
        <w:rPr>
          <w:bCs/>
        </w:rPr>
        <w:t>and Independent Living.</w:t>
      </w:r>
    </w:p>
    <w:p w14:paraId="2C8E723A" w14:textId="77777777" w:rsidR="007D6FD2" w:rsidRDefault="007D6FD2" w:rsidP="005348AA">
      <w:pPr>
        <w:spacing w:after="240" w:line="240" w:lineRule="auto"/>
        <w:ind w:left="360"/>
        <w:rPr>
          <w:bCs/>
          <w:color w:val="FF0000"/>
        </w:rPr>
      </w:pPr>
    </w:p>
    <w:bookmarkEnd w:id="45"/>
    <w:p w14:paraId="7F20BC01" w14:textId="07BE0793" w:rsidR="008B045A" w:rsidRPr="00E14063" w:rsidRDefault="5F884969" w:rsidP="009E6E1A">
      <w:pPr>
        <w:ind w:firstLine="360"/>
        <w:outlineLvl w:val="0"/>
        <w:rPr>
          <w:b/>
          <w:bCs/>
          <w:u w:val="single"/>
        </w:rPr>
      </w:pPr>
      <w:r w:rsidRPr="00E14063">
        <w:rPr>
          <w:b/>
          <w:bCs/>
          <w:u w:val="single"/>
        </w:rPr>
        <w:t>Disparities in Access to Opportunity</w:t>
      </w:r>
    </w:p>
    <w:p w14:paraId="759CEA86" w14:textId="77777777" w:rsidR="008B69A7" w:rsidRDefault="5F884969" w:rsidP="008B69A7">
      <w:pPr>
        <w:spacing w:after="240" w:line="240" w:lineRule="auto"/>
        <w:ind w:left="360"/>
        <w:rPr>
          <w:rFonts w:ascii="Calibri" w:eastAsia="Calibri" w:hAnsi="Calibri" w:cs="Calibri"/>
          <w:bCs/>
        </w:rPr>
      </w:pPr>
      <w:r w:rsidRPr="000E3B01">
        <w:rPr>
          <w:rFonts w:ascii="Calibri" w:eastAsia="Calibri" w:hAnsi="Calibri" w:cs="Calibri"/>
          <w:bCs/>
        </w:rPr>
        <w:t xml:space="preserve">To what extent are persons with disabilities able to access the following in the jurisdiction and </w:t>
      </w:r>
    </w:p>
    <w:p w14:paraId="26712A3B" w14:textId="77777777" w:rsidR="008B69A7" w:rsidRDefault="008B69A7" w:rsidP="008B69A7">
      <w:pPr>
        <w:spacing w:after="240" w:line="240" w:lineRule="auto"/>
        <w:ind w:left="360"/>
        <w:rPr>
          <w:rFonts w:ascii="Calibri" w:eastAsia="Calibri" w:hAnsi="Calibri" w:cs="Calibri"/>
          <w:bCs/>
        </w:rPr>
      </w:pPr>
    </w:p>
    <w:p w14:paraId="5E6DD320" w14:textId="77777777" w:rsidR="008B69A7" w:rsidRDefault="008B69A7" w:rsidP="008B69A7">
      <w:pPr>
        <w:spacing w:after="240" w:line="240" w:lineRule="auto"/>
        <w:ind w:left="360"/>
        <w:rPr>
          <w:rFonts w:ascii="Calibri" w:eastAsia="Calibri" w:hAnsi="Calibri" w:cs="Calibri"/>
          <w:bCs/>
        </w:rPr>
      </w:pPr>
    </w:p>
    <w:p w14:paraId="74D7FFBB" w14:textId="1FDE18FB" w:rsidR="008B045A" w:rsidRPr="00E451ED" w:rsidRDefault="5F884969" w:rsidP="008B69A7">
      <w:pPr>
        <w:spacing w:after="240" w:line="240" w:lineRule="auto"/>
        <w:ind w:left="360"/>
        <w:rPr>
          <w:b/>
          <w:bCs/>
        </w:rPr>
      </w:pPr>
      <w:r w:rsidRPr="00E451ED">
        <w:rPr>
          <w:rFonts w:ascii="Calibri" w:eastAsia="Calibri" w:hAnsi="Calibri" w:cs="Calibri"/>
          <w:b/>
          <w:bCs/>
        </w:rPr>
        <w:lastRenderedPageBreak/>
        <w:t>Gove</w:t>
      </w:r>
      <w:r w:rsidR="001C2F10" w:rsidRPr="00E451ED">
        <w:rPr>
          <w:rFonts w:ascii="Calibri" w:eastAsia="Calibri" w:hAnsi="Calibri" w:cs="Calibri"/>
          <w:b/>
          <w:bCs/>
        </w:rPr>
        <w:t>rnment services</w:t>
      </w:r>
    </w:p>
    <w:p w14:paraId="5F1D111B" w14:textId="653CCA31" w:rsidR="00A940B5" w:rsidRDefault="001C2F10" w:rsidP="00686BF1">
      <w:pPr>
        <w:spacing w:after="240" w:line="240" w:lineRule="auto"/>
        <w:ind w:left="90" w:hanging="90"/>
        <w:rPr>
          <w:sz w:val="23"/>
          <w:szCs w:val="23"/>
        </w:rPr>
      </w:pPr>
      <w:r>
        <w:rPr>
          <w:sz w:val="23"/>
          <w:szCs w:val="23"/>
        </w:rPr>
        <w:t>The City of Burlington has an ADA</w:t>
      </w:r>
      <w:r w:rsidR="00D74AAD">
        <w:rPr>
          <w:sz w:val="23"/>
          <w:szCs w:val="23"/>
        </w:rPr>
        <w:t xml:space="preserve"> policy and has issued a resolution </w:t>
      </w:r>
      <w:r>
        <w:rPr>
          <w:sz w:val="23"/>
          <w:szCs w:val="23"/>
        </w:rPr>
        <w:t xml:space="preserve">that </w:t>
      </w:r>
      <w:r w:rsidR="00D74AAD">
        <w:rPr>
          <w:sz w:val="23"/>
          <w:szCs w:val="23"/>
        </w:rPr>
        <w:t xml:space="preserve">all City services, </w:t>
      </w:r>
      <w:r w:rsidR="00686BF1">
        <w:rPr>
          <w:sz w:val="23"/>
          <w:szCs w:val="23"/>
        </w:rPr>
        <w:t xml:space="preserve">programs </w:t>
      </w:r>
      <w:r w:rsidR="00D74AAD">
        <w:rPr>
          <w:sz w:val="23"/>
          <w:szCs w:val="23"/>
        </w:rPr>
        <w:t>and facilities and employment opportunities are acce</w:t>
      </w:r>
      <w:r w:rsidR="00A940B5">
        <w:rPr>
          <w:sz w:val="23"/>
          <w:szCs w:val="23"/>
        </w:rPr>
        <w:t>ssible to persons with disabili</w:t>
      </w:r>
      <w:r w:rsidR="00D74AAD">
        <w:rPr>
          <w:sz w:val="23"/>
          <w:szCs w:val="23"/>
        </w:rPr>
        <w:t>t</w:t>
      </w:r>
      <w:r w:rsidR="00A940B5">
        <w:rPr>
          <w:sz w:val="23"/>
          <w:szCs w:val="23"/>
        </w:rPr>
        <w:t>i</w:t>
      </w:r>
      <w:r w:rsidR="00D74AAD">
        <w:rPr>
          <w:sz w:val="23"/>
          <w:szCs w:val="23"/>
        </w:rPr>
        <w:t xml:space="preserve">es. </w:t>
      </w:r>
      <w:r w:rsidR="008908F5">
        <w:rPr>
          <w:sz w:val="23"/>
          <w:szCs w:val="23"/>
        </w:rPr>
        <w:t>Services include but are not limited to language access, hearing impairment and/or accessible written materials.</w:t>
      </w:r>
    </w:p>
    <w:p w14:paraId="7FFD6245" w14:textId="07808B04" w:rsidR="008908F5" w:rsidRDefault="008908F5" w:rsidP="00510D74">
      <w:pPr>
        <w:spacing w:after="240" w:line="240" w:lineRule="auto"/>
        <w:rPr>
          <w:sz w:val="23"/>
          <w:szCs w:val="23"/>
        </w:rPr>
      </w:pPr>
      <w:r>
        <w:rPr>
          <w:sz w:val="23"/>
          <w:szCs w:val="23"/>
        </w:rPr>
        <w:t>During a recent review of the City’s ADA Title I and  II compliance, it was recommended and implemented two ADA Coordinators; one employee of the Human Resources Department  serves as the City’s ADA Coordinator for Title I (Employment Issues) and another City</w:t>
      </w:r>
      <w:r w:rsidR="00686BF1">
        <w:rPr>
          <w:sz w:val="23"/>
          <w:szCs w:val="23"/>
        </w:rPr>
        <w:t xml:space="preserve"> </w:t>
      </w:r>
      <w:r>
        <w:rPr>
          <w:sz w:val="23"/>
          <w:szCs w:val="23"/>
        </w:rPr>
        <w:t xml:space="preserve">employee is appointed to serve as the ADA Coordinator for Title II (program, services and </w:t>
      </w:r>
      <w:r w:rsidR="00EE6DB0">
        <w:rPr>
          <w:sz w:val="23"/>
          <w:szCs w:val="23"/>
        </w:rPr>
        <w:t xml:space="preserve">    </w:t>
      </w:r>
      <w:r>
        <w:rPr>
          <w:sz w:val="23"/>
          <w:szCs w:val="23"/>
        </w:rPr>
        <w:t>activities accessibility.</w:t>
      </w:r>
    </w:p>
    <w:p w14:paraId="52FE2499" w14:textId="2A438576" w:rsidR="006C019C" w:rsidRDefault="006C019C" w:rsidP="00EE6DB0">
      <w:pPr>
        <w:spacing w:after="240" w:line="240" w:lineRule="auto"/>
        <w:rPr>
          <w:sz w:val="23"/>
          <w:szCs w:val="23"/>
        </w:rPr>
      </w:pPr>
      <w:r>
        <w:t>The City is also committed to providing proper access to services, facilities, and employment opportunities. For accessibility information or alternative formats, the Human Resources Department is available to assist.</w:t>
      </w:r>
    </w:p>
    <w:p w14:paraId="7E5D4702" w14:textId="4F31423B" w:rsidR="001C2F10" w:rsidRPr="00E451ED" w:rsidRDefault="001C2F10" w:rsidP="00EE6DB0">
      <w:pPr>
        <w:spacing w:after="240" w:line="240" w:lineRule="auto"/>
        <w:rPr>
          <w:rFonts w:ascii="Calibri" w:eastAsia="Calibri" w:hAnsi="Calibri" w:cs="Calibri"/>
          <w:b/>
          <w:bCs/>
        </w:rPr>
      </w:pPr>
      <w:r w:rsidRPr="00E451ED">
        <w:rPr>
          <w:rFonts w:ascii="Calibri" w:eastAsia="Calibri" w:hAnsi="Calibri" w:cs="Calibri"/>
          <w:b/>
          <w:bCs/>
        </w:rPr>
        <w:t xml:space="preserve">Government </w:t>
      </w:r>
      <w:r w:rsidR="008908F5" w:rsidRPr="00E451ED">
        <w:rPr>
          <w:rFonts w:ascii="Calibri" w:eastAsia="Calibri" w:hAnsi="Calibri" w:cs="Calibri"/>
          <w:b/>
          <w:bCs/>
        </w:rPr>
        <w:t>facilities</w:t>
      </w:r>
    </w:p>
    <w:p w14:paraId="5ABBEEF3" w14:textId="77777777" w:rsidR="00E85341" w:rsidRDefault="00E451ED" w:rsidP="00EE6DB0">
      <w:pPr>
        <w:spacing w:after="240" w:line="240" w:lineRule="auto"/>
        <w:rPr>
          <w:rFonts w:ascii="Calibri" w:eastAsia="Calibri" w:hAnsi="Calibri" w:cs="Calibri"/>
          <w:b/>
          <w:bCs/>
          <w:color w:val="FF0000"/>
        </w:rPr>
      </w:pPr>
      <w:r w:rsidRPr="00E451ED">
        <w:rPr>
          <w:rFonts w:ascii="Calibri" w:eastAsia="Calibri" w:hAnsi="Calibri" w:cs="Calibri"/>
          <w:bCs/>
        </w:rPr>
        <w:t>The City of Burlington</w:t>
      </w:r>
      <w:r>
        <w:rPr>
          <w:rFonts w:ascii="Calibri" w:eastAsia="Calibri" w:hAnsi="Calibri" w:cs="Calibri"/>
          <w:bCs/>
        </w:rPr>
        <w:t xml:space="preserve"> follows the 2010 ADA Standards and the Americans with Disabilities Act Accessibility Guidelines. </w:t>
      </w:r>
      <w:r w:rsidRPr="00E451ED">
        <w:t xml:space="preserve"> </w:t>
      </w:r>
      <w:r>
        <w:t xml:space="preserve">In 1996, the Vermont legislature passed Act 187 that was intended to eliminate portions of Vermont law that did not meet or exceed the requirements of ADA. Portions of Vermont law that already exceeded ADA were retained. Access to all government buildings is available to persons with disabilities. Parking facilities for government facilities contain the number of spaces required. </w:t>
      </w:r>
      <w:r w:rsidR="00A96528">
        <w:rPr>
          <w:rFonts w:ascii="Calibri" w:eastAsia="Calibri" w:hAnsi="Calibri" w:cs="Calibri"/>
          <w:b/>
          <w:bCs/>
          <w:color w:val="FF0000"/>
        </w:rPr>
        <w:t xml:space="preserve">        </w:t>
      </w:r>
    </w:p>
    <w:p w14:paraId="0D90BE4A" w14:textId="03DA585F" w:rsidR="00A96528" w:rsidRPr="00E85341" w:rsidRDefault="00E85341" w:rsidP="00EE6DB0">
      <w:pPr>
        <w:spacing w:after="240" w:line="240" w:lineRule="auto"/>
        <w:rPr>
          <w:rFonts w:ascii="Calibri" w:eastAsia="Calibri" w:hAnsi="Calibri" w:cs="Calibri"/>
          <w:bCs/>
        </w:rPr>
      </w:pPr>
      <w:r w:rsidRPr="00E85341">
        <w:rPr>
          <w:rFonts w:ascii="Calibri" w:eastAsia="Calibri" w:hAnsi="Calibri" w:cs="Calibri"/>
          <w:bCs/>
        </w:rPr>
        <w:t xml:space="preserve">The City has also invested Community Development Block Grant funds over the past 5 years in accessibility projects for public facilities. These projects included an elevator for a Level 3 Nursing Home facility, accessible doors for a Senior Center; accessibility features for our </w:t>
      </w:r>
      <w:proofErr w:type="spellStart"/>
      <w:r w:rsidRPr="00E85341">
        <w:rPr>
          <w:rFonts w:ascii="Calibri" w:eastAsia="Calibri" w:hAnsi="Calibri" w:cs="Calibri"/>
          <w:bCs/>
        </w:rPr>
        <w:t>FoodShelf</w:t>
      </w:r>
      <w:proofErr w:type="spellEnd"/>
      <w:r w:rsidRPr="00E85341">
        <w:rPr>
          <w:rFonts w:ascii="Calibri" w:eastAsia="Calibri" w:hAnsi="Calibri" w:cs="Calibri"/>
          <w:bCs/>
        </w:rPr>
        <w:t xml:space="preserve"> and our federally qualified health clinic.</w:t>
      </w:r>
      <w:r w:rsidR="00A96528" w:rsidRPr="00E85341">
        <w:rPr>
          <w:rFonts w:ascii="Calibri" w:eastAsia="Calibri" w:hAnsi="Calibri" w:cs="Calibri"/>
          <w:bCs/>
        </w:rPr>
        <w:t xml:space="preserve">                                                                                                                                                                                                                                                                                                                                                                                                                                                                                                                                                                                                                                                                                                                                                                         </w:t>
      </w:r>
    </w:p>
    <w:p w14:paraId="1D7AAF48" w14:textId="39FDC9BE" w:rsidR="008B045A" w:rsidRPr="005021F0" w:rsidRDefault="5F884969" w:rsidP="00E451ED">
      <w:pPr>
        <w:spacing w:after="240" w:line="240" w:lineRule="auto"/>
        <w:rPr>
          <w:rFonts w:ascii="Calibri" w:eastAsia="Calibri" w:hAnsi="Calibri" w:cs="Calibri"/>
          <w:b/>
          <w:bCs/>
        </w:rPr>
      </w:pPr>
      <w:r w:rsidRPr="005021F0">
        <w:rPr>
          <w:rFonts w:ascii="Calibri" w:eastAsia="Calibri" w:hAnsi="Calibri" w:cs="Calibri"/>
          <w:b/>
          <w:bCs/>
        </w:rPr>
        <w:t>Public infrastructure, such as sidewalks, pedestria</w:t>
      </w:r>
      <w:r w:rsidR="008B69A7" w:rsidRPr="005021F0">
        <w:rPr>
          <w:rFonts w:ascii="Calibri" w:eastAsia="Calibri" w:hAnsi="Calibri" w:cs="Calibri"/>
          <w:b/>
          <w:bCs/>
        </w:rPr>
        <w:t>n crossings, pedestrian signals</w:t>
      </w:r>
    </w:p>
    <w:p w14:paraId="30ED072F" w14:textId="33E09660" w:rsidR="005021F0" w:rsidRDefault="00E451ED" w:rsidP="005021F0">
      <w:pPr>
        <w:spacing w:after="240" w:line="240" w:lineRule="auto"/>
        <w:ind w:left="360"/>
      </w:pPr>
      <w:r w:rsidRPr="00EC39AB">
        <w:rPr>
          <w:rFonts w:ascii="Calibri" w:eastAsia="Calibri" w:hAnsi="Calibri" w:cs="Calibri"/>
          <w:bCs/>
        </w:rPr>
        <w:t>In 2014, the City conducted an assessment of all 127 miles of sidewalk</w:t>
      </w:r>
      <w:r w:rsidR="00FE280B">
        <w:rPr>
          <w:rFonts w:ascii="Calibri" w:eastAsia="Calibri" w:hAnsi="Calibri" w:cs="Calibri"/>
          <w:bCs/>
        </w:rPr>
        <w:t>. The assessm</w:t>
      </w:r>
      <w:r w:rsidR="006C019C" w:rsidRPr="00EC39AB">
        <w:rPr>
          <w:rFonts w:ascii="Calibri" w:eastAsia="Calibri" w:hAnsi="Calibri" w:cs="Calibri"/>
          <w:bCs/>
        </w:rPr>
        <w:t xml:space="preserve">ent included an inventory and map of the City’s sidewalk network and pedestrian signal infrastructure; </w:t>
      </w:r>
      <w:r w:rsidR="006C019C" w:rsidRPr="00EC39AB">
        <w:t xml:space="preserve">identification </w:t>
      </w:r>
      <w:proofErr w:type="gramStart"/>
      <w:r w:rsidR="006C019C" w:rsidRPr="00EC39AB">
        <w:t>of  areas</w:t>
      </w:r>
      <w:proofErr w:type="gramEnd"/>
      <w:r w:rsidR="006C019C" w:rsidRPr="00EC39AB">
        <w:t xml:space="preserve"> that</w:t>
      </w:r>
      <w:r w:rsidR="006C019C" w:rsidRPr="006C019C">
        <w:t xml:space="preserve"> are not ADA-compliant and development of  an ADA transition plan; and a method to prioritize projects and annual capital funding plan.</w:t>
      </w:r>
      <w:r w:rsidR="005021F0" w:rsidRPr="005021F0">
        <w:t xml:space="preserve"> </w:t>
      </w:r>
      <w:r w:rsidR="005021F0">
        <w:t>The detailed plan outlines repairs and improvements to curb ramps, sidewalks (with connections to elementary schools, transit stops, neighborhood activity centers, parks, downtown, senior centers, medical or social services all scoring has a high priority) and increasing  pedestrian push buttons.</w:t>
      </w:r>
    </w:p>
    <w:p w14:paraId="0A41C5FF" w14:textId="0CE678B8" w:rsidR="005021F0" w:rsidRPr="008B69A7" w:rsidRDefault="005021F0" w:rsidP="005021F0">
      <w:pPr>
        <w:spacing w:after="240" w:line="240" w:lineRule="auto"/>
        <w:ind w:left="360"/>
      </w:pPr>
      <w:r>
        <w:t xml:space="preserve">The City’s Park, Recreation and Waterfront Department is in the process of designing Vermont’s first universally accessible playground at </w:t>
      </w:r>
      <w:proofErr w:type="spellStart"/>
      <w:r>
        <w:t>Oakledge</w:t>
      </w:r>
      <w:proofErr w:type="spellEnd"/>
      <w:r>
        <w:t xml:space="preserve"> Park. This accessible playground will continue to enhance and expand opportunities for children with disabilities. The Community Sailing Center also offers programs for children with disabilities to participate and learn about sailing on Lake Champlain. </w:t>
      </w:r>
    </w:p>
    <w:p w14:paraId="1C4C31FE" w14:textId="583144FB" w:rsidR="00EC39AB" w:rsidRDefault="00EC39AB" w:rsidP="00E451ED">
      <w:pPr>
        <w:spacing w:after="240" w:line="240" w:lineRule="auto"/>
      </w:pPr>
    </w:p>
    <w:p w14:paraId="74606273" w14:textId="77777777" w:rsidR="0071716E" w:rsidRPr="008B69A7" w:rsidRDefault="0071716E" w:rsidP="00E451ED">
      <w:pPr>
        <w:spacing w:after="240" w:line="240" w:lineRule="auto"/>
      </w:pPr>
    </w:p>
    <w:p w14:paraId="06A32ADC" w14:textId="54C3859A" w:rsidR="008B045A" w:rsidRPr="00E65C61" w:rsidRDefault="00AD070A" w:rsidP="00E65C61">
      <w:pPr>
        <w:spacing w:after="240" w:line="240" w:lineRule="auto"/>
        <w:rPr>
          <w:b/>
          <w:bCs/>
        </w:rPr>
      </w:pPr>
      <w:r>
        <w:rPr>
          <w:rFonts w:ascii="Calibri" w:eastAsia="Calibri" w:hAnsi="Calibri" w:cs="Calibri"/>
          <w:b/>
          <w:bCs/>
        </w:rPr>
        <w:lastRenderedPageBreak/>
        <w:t>Transportation</w:t>
      </w:r>
    </w:p>
    <w:p w14:paraId="06D7AC01" w14:textId="39E17BAA" w:rsidR="00FE280B" w:rsidRPr="00FE280B" w:rsidRDefault="00FE280B" w:rsidP="00FE280B">
      <w:pPr>
        <w:spacing w:after="240" w:line="240" w:lineRule="auto"/>
        <w:rPr>
          <w:b/>
          <w:bCs/>
          <w:color w:val="FF0000"/>
        </w:rPr>
      </w:pPr>
      <w:r w:rsidRPr="5F884969">
        <w:rPr>
          <w:rFonts w:ascii="Calibri" w:eastAsia="Times New Roman" w:hAnsi="Calibri" w:cs="Times New Roman"/>
          <w:color w:val="000000" w:themeColor="text1"/>
        </w:rPr>
        <w:t>Green Mountain Transit is equipped for those with disabilities</w:t>
      </w:r>
      <w:r>
        <w:rPr>
          <w:rFonts w:ascii="Calibri" w:eastAsia="Times New Roman" w:hAnsi="Calibri" w:cs="Times New Roman"/>
          <w:color w:val="000000" w:themeColor="text1"/>
        </w:rPr>
        <w:t>. This is most</w:t>
      </w:r>
      <w:r w:rsidRPr="5F884969">
        <w:rPr>
          <w:rFonts w:ascii="Calibri" w:eastAsia="Times New Roman" w:hAnsi="Calibri" w:cs="Times New Roman"/>
          <w:color w:val="000000" w:themeColor="text1"/>
        </w:rPr>
        <w:t xml:space="preserve"> effective within the urban core of Chittenden County as bus service in the rural areas of the Region becomes less frequent. Also SSTA is more available for disabled residents in Burlington and South Burlington. With over 50 vehicles in their fleet, over 30 are lift-equipped for wheelchairs. SSTA provides an average of 600-700 rides per day and coordinates transportation service to many area human service agencies.</w:t>
      </w:r>
      <w:r w:rsidR="00AD070A">
        <w:rPr>
          <w:rFonts w:ascii="Calibri" w:eastAsia="Times New Roman" w:hAnsi="Calibri" w:cs="Times New Roman"/>
          <w:color w:val="000000" w:themeColor="text1"/>
        </w:rPr>
        <w:t xml:space="preserve"> Specific taxi cab companies offer wheelchair accessible taxi service as well.</w:t>
      </w:r>
    </w:p>
    <w:p w14:paraId="71251567" w14:textId="77777777" w:rsidR="004B678A" w:rsidRDefault="004B678A" w:rsidP="00AD070A">
      <w:pPr>
        <w:spacing w:after="240" w:line="240" w:lineRule="auto"/>
        <w:rPr>
          <w:rFonts w:ascii="Calibri" w:eastAsia="Calibri" w:hAnsi="Calibri" w:cs="Calibri"/>
          <w:b/>
          <w:bCs/>
        </w:rPr>
      </w:pPr>
    </w:p>
    <w:p w14:paraId="75302B8B" w14:textId="77777777" w:rsidR="008B69A7" w:rsidRDefault="008B69A7" w:rsidP="00AD070A">
      <w:pPr>
        <w:spacing w:after="240" w:line="240" w:lineRule="auto"/>
        <w:rPr>
          <w:rFonts w:ascii="Calibri" w:eastAsia="Calibri" w:hAnsi="Calibri" w:cs="Calibri"/>
          <w:b/>
          <w:bCs/>
        </w:rPr>
      </w:pPr>
    </w:p>
    <w:p w14:paraId="3CAFFB43" w14:textId="01569FAE" w:rsidR="008B045A" w:rsidRPr="004D40DB" w:rsidRDefault="5F884969" w:rsidP="00AD070A">
      <w:pPr>
        <w:spacing w:after="240" w:line="240" w:lineRule="auto"/>
        <w:rPr>
          <w:rFonts w:ascii="Calibri" w:eastAsia="Calibri" w:hAnsi="Calibri" w:cs="Calibri"/>
          <w:b/>
          <w:bCs/>
        </w:rPr>
      </w:pPr>
      <w:r w:rsidRPr="004D40DB">
        <w:rPr>
          <w:rFonts w:ascii="Calibri" w:eastAsia="Calibri" w:hAnsi="Calibri" w:cs="Calibri"/>
          <w:b/>
          <w:bCs/>
        </w:rPr>
        <w:t>Proficient schools and educational programs</w:t>
      </w:r>
    </w:p>
    <w:p w14:paraId="34F1D077" w14:textId="4BBF52B4" w:rsidR="003F23B6" w:rsidRPr="004D40DB" w:rsidRDefault="003F23B6" w:rsidP="004D40DB">
      <w:pPr>
        <w:shd w:val="clear" w:color="auto" w:fill="FFFFFF"/>
        <w:spacing w:before="100" w:beforeAutospacing="1" w:after="100" w:afterAutospacing="1" w:line="240" w:lineRule="auto"/>
      </w:pPr>
      <w:r w:rsidRPr="003F23B6">
        <w:rPr>
          <w:rFonts w:eastAsia="Times New Roman" w:cs="Times New Roman"/>
          <w:color w:val="333333"/>
          <w:lang w:eastAsia="en-US"/>
        </w:rPr>
        <w:t xml:space="preserve">The City of Burlington is in compliance with Federal law, including Section 504 of the 1973 Rehabilitation Act and the provisions of Title IX of the Education Amendments of 1972. In addition, the State of Vermont has three Acts in support of students all students including Act 157 </w:t>
      </w:r>
      <w:r w:rsidRPr="003F23B6">
        <w:rPr>
          <w:color w:val="333333"/>
        </w:rPr>
        <w:t xml:space="preserve">that schools develop a comprehensive educational support system (ESS) with the capacity to provide a range of social, academic and behavioral supports and Act 264 which allows for the creation of an advisory board and State and Local Interagency Teams to assist in the provision of care for children and adolescents with </w:t>
      </w:r>
      <w:r w:rsidRPr="004D40DB">
        <w:t>severe emotional disturbances.</w:t>
      </w:r>
    </w:p>
    <w:p w14:paraId="3BD729DE" w14:textId="11F2E4DE" w:rsidR="003F23B6" w:rsidRDefault="003F23B6" w:rsidP="004D40DB">
      <w:pPr>
        <w:shd w:val="clear" w:color="auto" w:fill="FFFFFF"/>
        <w:spacing w:before="100" w:beforeAutospacing="1" w:after="100" w:afterAutospacing="1" w:line="240" w:lineRule="auto"/>
        <w:rPr>
          <w:rFonts w:eastAsia="Times New Roman" w:cs="Times New Roman"/>
          <w:sz w:val="24"/>
          <w:szCs w:val="24"/>
          <w:lang w:eastAsia="en-US"/>
        </w:rPr>
      </w:pPr>
      <w:r w:rsidRPr="004D40DB">
        <w:rPr>
          <w:rFonts w:eastAsia="Times New Roman" w:cs="Times New Roman"/>
          <w:lang w:eastAsia="en-US"/>
        </w:rPr>
        <w:t>In Burlington Schools, t</w:t>
      </w:r>
      <w:r w:rsidRPr="003F23B6">
        <w:rPr>
          <w:rFonts w:eastAsia="Times New Roman" w:cs="Times New Roman"/>
          <w:lang w:eastAsia="en-US"/>
        </w:rPr>
        <w:t>here are 729 students or </w:t>
      </w:r>
      <w:r w:rsidRPr="003F23B6">
        <w:rPr>
          <w:rFonts w:eastAsia="Times New Roman" w:cs="Times New Roman"/>
          <w:bCs/>
          <w:lang w:eastAsia="en-US"/>
        </w:rPr>
        <w:t>18.8% </w:t>
      </w:r>
      <w:r w:rsidRPr="003F23B6">
        <w:rPr>
          <w:rFonts w:eastAsia="Times New Roman" w:cs="Times New Roman"/>
          <w:lang w:eastAsia="en-US"/>
        </w:rPr>
        <w:t>with an Individual Education Program (IEP). </w:t>
      </w:r>
      <w:r w:rsidRPr="003F23B6">
        <w:rPr>
          <w:rFonts w:eastAsia="Times New Roman" w:cs="Times New Roman"/>
          <w:bCs/>
          <w:lang w:eastAsia="en-US"/>
        </w:rPr>
        <w:t>69%</w:t>
      </w:r>
      <w:r w:rsidRPr="003F23B6">
        <w:rPr>
          <w:rFonts w:eastAsia="Times New Roman" w:cs="Times New Roman"/>
          <w:lang w:eastAsia="en-US"/>
        </w:rPr>
        <w:t> of all students on IEPs required some type of behavioral interventions based on disability category.</w:t>
      </w:r>
      <w:r w:rsidR="004D40DB" w:rsidRPr="004D40DB">
        <w:rPr>
          <w:rFonts w:eastAsia="Times New Roman" w:cs="Times New Roman"/>
          <w:lang w:eastAsia="en-US"/>
        </w:rPr>
        <w:t xml:space="preserve"> </w:t>
      </w:r>
      <w:r w:rsidRPr="003F23B6">
        <w:rPr>
          <w:rFonts w:eastAsia="Times New Roman" w:cs="Times New Roman"/>
          <w:bCs/>
          <w:sz w:val="24"/>
          <w:szCs w:val="24"/>
          <w:lang w:eastAsia="en-US"/>
        </w:rPr>
        <w:t>24%</w:t>
      </w:r>
      <w:r w:rsidRPr="003F23B6">
        <w:rPr>
          <w:rFonts w:eastAsia="Times New Roman" w:cs="Times New Roman"/>
          <w:sz w:val="24"/>
          <w:szCs w:val="24"/>
          <w:lang w:eastAsia="en-US"/>
        </w:rPr>
        <w:t xml:space="preserve"> of total </w:t>
      </w:r>
      <w:r w:rsidR="004D40DB" w:rsidRPr="004D40DB">
        <w:rPr>
          <w:rFonts w:eastAsia="Times New Roman" w:cs="Times New Roman"/>
          <w:sz w:val="24"/>
          <w:szCs w:val="24"/>
          <w:lang w:eastAsia="en-US"/>
        </w:rPr>
        <w:t xml:space="preserve">Burlington students </w:t>
      </w:r>
      <w:r w:rsidRPr="003F23B6">
        <w:rPr>
          <w:rFonts w:eastAsia="Times New Roman" w:cs="Times New Roman"/>
          <w:sz w:val="24"/>
          <w:szCs w:val="24"/>
          <w:lang w:eastAsia="en-US"/>
        </w:rPr>
        <w:t xml:space="preserve">are identified as having a disability and on a plan (IEP or </w:t>
      </w:r>
      <w:r w:rsidR="004D40DB" w:rsidRPr="004D40DB">
        <w:rPr>
          <w:rFonts w:eastAsia="Times New Roman" w:cs="Times New Roman"/>
          <w:sz w:val="24"/>
          <w:szCs w:val="24"/>
          <w:lang w:eastAsia="en-US"/>
        </w:rPr>
        <w:t xml:space="preserve">504 Plan). Additionally, there are </w:t>
      </w:r>
      <w:r w:rsidRPr="003F23B6">
        <w:rPr>
          <w:rFonts w:eastAsia="Times New Roman" w:cs="Times New Roman"/>
          <w:bCs/>
          <w:sz w:val="24"/>
          <w:szCs w:val="24"/>
          <w:lang w:eastAsia="en-US"/>
        </w:rPr>
        <w:t>81 students</w:t>
      </w:r>
      <w:r w:rsidRPr="003F23B6">
        <w:rPr>
          <w:rFonts w:eastAsia="Times New Roman" w:cs="Times New Roman"/>
          <w:sz w:val="24"/>
          <w:szCs w:val="24"/>
          <w:lang w:eastAsia="en-US"/>
        </w:rPr>
        <w:t> with IEPs who are served in the Early Education Program.</w:t>
      </w:r>
    </w:p>
    <w:p w14:paraId="03E61F89" w14:textId="1BCD2FF9" w:rsidR="004D40DB" w:rsidRPr="003F23B6" w:rsidRDefault="004D40DB" w:rsidP="004D40DB">
      <w:pPr>
        <w:shd w:val="clear" w:color="auto" w:fill="FFFFFF"/>
        <w:spacing w:before="100" w:beforeAutospacing="1" w:after="100" w:afterAutospacing="1" w:line="240" w:lineRule="auto"/>
        <w:rPr>
          <w:rFonts w:eastAsia="Times New Roman" w:cs="Times New Roman"/>
          <w:lang w:eastAsia="en-US"/>
        </w:rPr>
      </w:pPr>
      <w:r>
        <w:t xml:space="preserve">The Burlington School District is committed to providing excellent and equitable education for all students. The District believes that each student deserves the opportunity to learn from a comprehensive curriculum with a diverse population of peers socioeconomically similar to that of the District as a whole. In the Burlington district, there are both neighborhood and magnet school options; magnet schools offer a specialized curriculum designed to attract applicants from </w:t>
      </w:r>
      <w:proofErr w:type="spellStart"/>
      <w:r>
        <w:t>through out</w:t>
      </w:r>
      <w:proofErr w:type="spellEnd"/>
      <w:r>
        <w:t xml:space="preserve"> the City. </w:t>
      </w:r>
    </w:p>
    <w:p w14:paraId="73388CFB" w14:textId="77777777" w:rsidR="003F23B6" w:rsidRPr="00AD070A" w:rsidRDefault="003F23B6" w:rsidP="00AD070A">
      <w:pPr>
        <w:spacing w:after="240" w:line="240" w:lineRule="auto"/>
        <w:rPr>
          <w:b/>
          <w:bCs/>
          <w:color w:val="FF0000"/>
        </w:rPr>
      </w:pPr>
    </w:p>
    <w:p w14:paraId="26F22FC0" w14:textId="77777777" w:rsidR="00BC1DE6" w:rsidRPr="00BC1DE6" w:rsidRDefault="00AD070A" w:rsidP="00BC1DE6">
      <w:pPr>
        <w:spacing w:after="240" w:line="240" w:lineRule="auto"/>
        <w:rPr>
          <w:rFonts w:ascii="Calibri" w:eastAsia="Calibri" w:hAnsi="Calibri" w:cs="Calibri"/>
          <w:b/>
          <w:bCs/>
        </w:rPr>
      </w:pPr>
      <w:r w:rsidRPr="00BC1DE6">
        <w:rPr>
          <w:rFonts w:ascii="Calibri" w:eastAsia="Calibri" w:hAnsi="Calibri" w:cs="Calibri"/>
          <w:b/>
          <w:bCs/>
        </w:rPr>
        <w:t>Jobs</w:t>
      </w:r>
    </w:p>
    <w:p w14:paraId="438935D2" w14:textId="341EB2BD" w:rsidR="00BC1DE6" w:rsidRDefault="00BC1DE6" w:rsidP="00BC1DE6">
      <w:pPr>
        <w:spacing w:after="240" w:line="240" w:lineRule="auto"/>
        <w:rPr>
          <w:rFonts w:eastAsia="Times New Roman" w:cs="Arial"/>
          <w:color w:val="555555"/>
          <w:lang w:eastAsia="en-US"/>
        </w:rPr>
      </w:pPr>
      <w:r w:rsidRPr="00BC1DE6">
        <w:rPr>
          <w:rFonts w:cs="Arial"/>
          <w:color w:val="555555"/>
          <w:shd w:val="clear" w:color="auto" w:fill="FFFFFF"/>
        </w:rPr>
        <w:t xml:space="preserve">Vermont Association of Business, Industry and Rehabilitation, (VABIR), is a statewide private non-profit agency working to assist Vermonters, who face barriers to employment, in finding gainful employment. Established in 1979, this organization provides a link between job-seekers including persons with disabilities and employers. They also provide education and awareness working with individuals who have disabilities; </w:t>
      </w:r>
      <w:r w:rsidRPr="00BC1DE6">
        <w:rPr>
          <w:rFonts w:eastAsia="Times New Roman" w:cs="Arial"/>
          <w:color w:val="555555"/>
          <w:lang w:eastAsia="en-US"/>
        </w:rPr>
        <w:t>arrange free accessibility surveys for businesses and consumers; job assessment for accommodations which will assist employees in performing their job; help employers strategize ways to retain employees who become disabled while in their employ; and consult with an employer on job descriptions, interview techniques, and other employment areas in which disability issues arise.</w:t>
      </w:r>
    </w:p>
    <w:p w14:paraId="6B1BC1DF" w14:textId="540375F2" w:rsidR="00AD070A" w:rsidRPr="008B69A7" w:rsidRDefault="00AD4AE6" w:rsidP="00AD070A">
      <w:pPr>
        <w:spacing w:after="240" w:line="240" w:lineRule="auto"/>
        <w:rPr>
          <w:rFonts w:eastAsia="Calibri" w:cs="Calibri"/>
          <w:b/>
          <w:bCs/>
          <w:color w:val="FF0000"/>
        </w:rPr>
      </w:pPr>
      <w:r>
        <w:rPr>
          <w:rFonts w:eastAsia="Times New Roman" w:cs="Arial"/>
          <w:color w:val="555555"/>
          <w:lang w:eastAsia="en-US"/>
        </w:rPr>
        <w:lastRenderedPageBreak/>
        <w:t xml:space="preserve">The </w:t>
      </w:r>
      <w:r w:rsidRPr="00AD4AE6">
        <w:rPr>
          <w:rFonts w:eastAsia="Times New Roman" w:cs="Arial"/>
          <w:color w:val="555555"/>
          <w:lang w:eastAsia="en-US"/>
        </w:rPr>
        <w:t>City of Burlington</w:t>
      </w:r>
      <w:r>
        <w:rPr>
          <w:rFonts w:eastAsia="Times New Roman" w:cs="Arial"/>
          <w:color w:val="555555"/>
          <w:lang w:eastAsia="en-US"/>
        </w:rPr>
        <w:t xml:space="preserve"> is an Equal Opportunity Employer and also supports the accommodation provisions of the American Disabilities Act which protects persons with a disability who apply for a position. The City understands that reasonable accommodations may be necessary to enable those with disabilities to perform their jobs. Candidates or employees requesting accommodations should contact Human Resources at 802-865- 7145.</w:t>
      </w:r>
    </w:p>
    <w:p w14:paraId="732ADFDC" w14:textId="6375FE3D" w:rsidR="008B045A" w:rsidRPr="00510D74" w:rsidRDefault="5F884969" w:rsidP="00BC1DE6">
      <w:pPr>
        <w:spacing w:after="240" w:line="240" w:lineRule="auto"/>
        <w:rPr>
          <w:rFonts w:ascii="Calibri" w:eastAsia="Calibri" w:hAnsi="Calibri" w:cs="Calibri"/>
          <w:b/>
          <w:bCs/>
          <w:i/>
        </w:rPr>
      </w:pPr>
      <w:r w:rsidRPr="00510D74">
        <w:rPr>
          <w:rFonts w:ascii="Calibri" w:eastAsia="Calibri" w:hAnsi="Calibri" w:cs="Calibri"/>
          <w:b/>
          <w:bCs/>
          <w:i/>
        </w:rPr>
        <w:t>Describe the processes that exist in the jurisdiction and region for persons with disabilities to request and obtain reasonable accommodations and accessibility modifications to address the barriers discussed above.</w:t>
      </w:r>
    </w:p>
    <w:p w14:paraId="6FAA6436" w14:textId="45924D39" w:rsidR="00E14063" w:rsidRDefault="00E14063" w:rsidP="006E2EAC">
      <w:pPr>
        <w:spacing w:after="240" w:line="240" w:lineRule="auto"/>
        <w:rPr>
          <w:rFonts w:ascii="Calibri" w:eastAsia="Calibri" w:hAnsi="Calibri" w:cs="Calibri"/>
          <w:bCs/>
        </w:rPr>
      </w:pPr>
      <w:r w:rsidRPr="006E2EAC">
        <w:rPr>
          <w:rFonts w:ascii="Calibri" w:eastAsia="Calibri" w:hAnsi="Calibri" w:cs="Calibri"/>
          <w:bCs/>
          <w:iCs/>
        </w:rPr>
        <w:t>A number of processes exist and are described specifically under the public housing sections.</w:t>
      </w:r>
      <w:r w:rsidRPr="006E2EAC">
        <w:rPr>
          <w:rFonts w:ascii="Calibri" w:eastAsia="Calibri" w:hAnsi="Calibri" w:cs="Calibri"/>
          <w:bCs/>
        </w:rPr>
        <w:t xml:space="preserve"> </w:t>
      </w:r>
    </w:p>
    <w:p w14:paraId="3459D6D3" w14:textId="02FA7498" w:rsidR="006E2EAC" w:rsidRDefault="006E2EAC" w:rsidP="006E2EAC">
      <w:pPr>
        <w:spacing w:after="240" w:line="240" w:lineRule="auto"/>
      </w:pPr>
      <w:r>
        <w:rPr>
          <w:rFonts w:ascii="Calibri" w:eastAsia="Calibri" w:hAnsi="Calibri" w:cs="Calibri"/>
          <w:bCs/>
        </w:rPr>
        <w:t xml:space="preserve">The Department of Planning and Zoning provides a Design Review Guide for removing barriers to access for businesses and housing. All public meetings are advertised to include </w:t>
      </w:r>
      <w:r>
        <w:t>the City’s commitment to providing proper access to services, facilities, and employment opportunities. For accessibility information or alternative formats, persons are requested to contact Human Resources Department at 802-865-7145</w:t>
      </w:r>
      <w:r w:rsidR="00646763">
        <w:t>.</w:t>
      </w:r>
    </w:p>
    <w:p w14:paraId="100DF847" w14:textId="5D57928E" w:rsidR="00646763" w:rsidRDefault="00646763" w:rsidP="006E2EAC">
      <w:pPr>
        <w:spacing w:after="240" w:line="240" w:lineRule="auto"/>
      </w:pPr>
      <w:r>
        <w:t xml:space="preserve">For transportation needs, persons can call specific taxi companies to request special accommodations, make a scheduled pick up with SSTA or ride one of the public Green Mountain Transit buses. </w:t>
      </w:r>
    </w:p>
    <w:p w14:paraId="039E394B" w14:textId="548CD4E3" w:rsidR="00646763" w:rsidRDefault="00646763" w:rsidP="006E2EAC">
      <w:pPr>
        <w:spacing w:after="240" w:line="240" w:lineRule="auto"/>
      </w:pPr>
      <w:r>
        <w:t>The City’s ADA Coordinator may receive complaints or grievances regarding access.</w:t>
      </w:r>
    </w:p>
    <w:p w14:paraId="18A95CCD" w14:textId="2EE20D03" w:rsidR="006E2EAC" w:rsidRPr="00E14063" w:rsidRDefault="00646763" w:rsidP="006E2EAC">
      <w:pPr>
        <w:spacing w:after="240" w:line="240" w:lineRule="auto"/>
        <w:rPr>
          <w:rFonts w:ascii="Calibri" w:eastAsia="Calibri" w:hAnsi="Calibri" w:cs="Calibri"/>
          <w:bCs/>
        </w:rPr>
      </w:pPr>
      <w:r>
        <w:t xml:space="preserve">The City also recognizes the importance </w:t>
      </w:r>
      <w:r w:rsidR="00272A2B">
        <w:t>o</w:t>
      </w:r>
      <w:r>
        <w:t xml:space="preserve">f making the website accessible and arrangements can be made to meet specific needs as requested. </w:t>
      </w:r>
    </w:p>
    <w:p w14:paraId="6666157F" w14:textId="26C6F12C" w:rsidR="00E14063" w:rsidRPr="009925F0" w:rsidRDefault="5F884969" w:rsidP="004B678A">
      <w:pPr>
        <w:rPr>
          <w:rFonts w:ascii="Calibri" w:eastAsia="Calibri" w:hAnsi="Calibri" w:cs="Calibri"/>
          <w:b/>
          <w:bCs/>
          <w:i/>
        </w:rPr>
      </w:pPr>
      <w:r w:rsidRPr="009925F0">
        <w:rPr>
          <w:rFonts w:ascii="Calibri" w:eastAsia="Calibri" w:hAnsi="Calibri" w:cs="Calibri"/>
          <w:b/>
          <w:bCs/>
          <w:i/>
        </w:rPr>
        <w:t>Describe any difficulties in achieving homeownership experienced by persons with disabilities and by persons with different types of disabilities</w:t>
      </w:r>
      <w:r w:rsidR="004B678A" w:rsidRPr="009925F0">
        <w:rPr>
          <w:rFonts w:ascii="Calibri" w:eastAsia="Calibri" w:hAnsi="Calibri" w:cs="Calibri"/>
          <w:b/>
          <w:bCs/>
          <w:i/>
        </w:rPr>
        <w:t xml:space="preserve"> in the jurisdiction and region.</w:t>
      </w:r>
    </w:p>
    <w:p w14:paraId="020A1C1D" w14:textId="77003318" w:rsidR="004B678A" w:rsidRDefault="004B678A" w:rsidP="004B678A">
      <w:pPr>
        <w:pStyle w:val="NormalWeb"/>
        <w:spacing w:before="0" w:beforeAutospacing="0" w:after="160" w:afterAutospacing="0"/>
        <w:rPr>
          <w:rFonts w:asciiTheme="minorHAnsi" w:hAnsiTheme="minorHAnsi"/>
          <w:sz w:val="22"/>
          <w:szCs w:val="22"/>
        </w:rPr>
      </w:pPr>
      <w:r w:rsidRPr="004B678A">
        <w:rPr>
          <w:rFonts w:asciiTheme="minorHAnsi" w:eastAsia="Calibri" w:hAnsiTheme="minorHAnsi" w:cs="Calibri"/>
          <w:bCs/>
          <w:sz w:val="22"/>
          <w:szCs w:val="22"/>
        </w:rPr>
        <w:t xml:space="preserve">For both the Jurisdiction and the Region, we consulted a statewide agency who works with persons with disabilities, the Vermont Center for Independent Living. </w:t>
      </w:r>
      <w:r w:rsidRPr="004B678A">
        <w:rPr>
          <w:rFonts w:asciiTheme="minorHAnsi" w:hAnsiTheme="minorHAnsi"/>
          <w:sz w:val="22"/>
          <w:szCs w:val="22"/>
        </w:rPr>
        <w:t>.  The primary difficulty faced by those with disabilities in achieving homeownership is financial; many receive Social Security or Social Security Disability Income and because housing costs in the jurisdiction and the region are so high, disabled clients do not believe they have enough to purchase a home.   In fact, since rents are so high, paying for a mortgage seems out of the question to them.</w:t>
      </w:r>
    </w:p>
    <w:p w14:paraId="617149C4" w14:textId="61442957" w:rsidR="004B678A" w:rsidRDefault="004B678A" w:rsidP="004B678A">
      <w:pPr>
        <w:pStyle w:val="NormalWeb"/>
        <w:spacing w:before="0" w:beforeAutospacing="0" w:after="160" w:afterAutospacing="0"/>
        <w:rPr>
          <w:rFonts w:asciiTheme="minorHAnsi" w:hAnsiTheme="minorHAnsi"/>
          <w:color w:val="000000"/>
          <w:sz w:val="22"/>
          <w:szCs w:val="22"/>
        </w:rPr>
      </w:pPr>
      <w:r w:rsidRPr="00FC41D7">
        <w:rPr>
          <w:rFonts w:asciiTheme="minorHAnsi" w:hAnsiTheme="minorHAnsi"/>
          <w:sz w:val="22"/>
          <w:szCs w:val="22"/>
        </w:rPr>
        <w:t xml:space="preserve">Another difficulty in achieving homeownership concerns accessibility issues. </w:t>
      </w:r>
      <w:r w:rsidRPr="00FC41D7">
        <w:rPr>
          <w:rFonts w:asciiTheme="minorHAnsi" w:hAnsiTheme="minorHAnsi"/>
          <w:color w:val="000000"/>
          <w:sz w:val="22"/>
          <w:szCs w:val="22"/>
        </w:rPr>
        <w:t>Most existing houses are not accessible for those peers</w:t>
      </w:r>
      <w:r w:rsidR="00FC41D7" w:rsidRPr="00FC41D7">
        <w:rPr>
          <w:rFonts w:asciiTheme="minorHAnsi" w:hAnsiTheme="minorHAnsi"/>
          <w:color w:val="000000"/>
          <w:sz w:val="22"/>
          <w:szCs w:val="22"/>
        </w:rPr>
        <w:t xml:space="preserve"> with physical disabilities. In addition to the purchase cost</w:t>
      </w:r>
      <w:proofErr w:type="gramStart"/>
      <w:r w:rsidR="00FC41D7" w:rsidRPr="00FC41D7">
        <w:rPr>
          <w:rFonts w:asciiTheme="minorHAnsi" w:hAnsiTheme="minorHAnsi"/>
          <w:color w:val="000000"/>
          <w:sz w:val="22"/>
          <w:szCs w:val="22"/>
        </w:rPr>
        <w:t xml:space="preserve">, </w:t>
      </w:r>
      <w:r w:rsidRPr="00FC41D7">
        <w:rPr>
          <w:rFonts w:asciiTheme="minorHAnsi" w:hAnsiTheme="minorHAnsi"/>
          <w:color w:val="000000"/>
          <w:sz w:val="22"/>
          <w:szCs w:val="22"/>
        </w:rPr>
        <w:t xml:space="preserve"> </w:t>
      </w:r>
      <w:r w:rsidR="00FC41D7" w:rsidRPr="00FC41D7">
        <w:rPr>
          <w:rFonts w:asciiTheme="minorHAnsi" w:hAnsiTheme="minorHAnsi"/>
          <w:color w:val="000000"/>
          <w:sz w:val="22"/>
          <w:szCs w:val="22"/>
        </w:rPr>
        <w:t>a</w:t>
      </w:r>
      <w:proofErr w:type="gramEnd"/>
      <w:r w:rsidR="00FC41D7" w:rsidRPr="00FC41D7">
        <w:rPr>
          <w:rFonts w:asciiTheme="minorHAnsi" w:hAnsiTheme="minorHAnsi"/>
          <w:color w:val="000000"/>
          <w:sz w:val="22"/>
          <w:szCs w:val="22"/>
        </w:rPr>
        <w:t xml:space="preserve"> disabled person would </w:t>
      </w:r>
      <w:r w:rsidRPr="00FC41D7">
        <w:rPr>
          <w:rFonts w:asciiTheme="minorHAnsi" w:hAnsiTheme="minorHAnsi"/>
          <w:color w:val="000000"/>
          <w:sz w:val="22"/>
          <w:szCs w:val="22"/>
        </w:rPr>
        <w:t xml:space="preserve">face the cost of making modifications to </w:t>
      </w:r>
      <w:r w:rsidR="00FC41D7" w:rsidRPr="00FC41D7">
        <w:rPr>
          <w:rFonts w:asciiTheme="minorHAnsi" w:hAnsiTheme="minorHAnsi"/>
          <w:color w:val="000000"/>
          <w:sz w:val="22"/>
          <w:szCs w:val="22"/>
        </w:rPr>
        <w:t xml:space="preserve">the house. Examples of common modifications include </w:t>
      </w:r>
      <w:r w:rsidRPr="00FC41D7">
        <w:rPr>
          <w:rFonts w:asciiTheme="minorHAnsi" w:hAnsiTheme="minorHAnsi"/>
          <w:color w:val="000000"/>
          <w:sz w:val="22"/>
          <w:szCs w:val="22"/>
        </w:rPr>
        <w:t xml:space="preserve">building a ramp, modifying the bathroom, </w:t>
      </w:r>
      <w:r w:rsidR="00FC41D7" w:rsidRPr="00FC41D7">
        <w:rPr>
          <w:rFonts w:asciiTheme="minorHAnsi" w:hAnsiTheme="minorHAnsi"/>
          <w:color w:val="000000"/>
          <w:sz w:val="22"/>
          <w:szCs w:val="22"/>
        </w:rPr>
        <w:t xml:space="preserve">or kitchen. Modifications are not only expensive but </w:t>
      </w:r>
      <w:r w:rsidRPr="00FC41D7">
        <w:rPr>
          <w:rFonts w:asciiTheme="minorHAnsi" w:hAnsiTheme="minorHAnsi"/>
          <w:color w:val="000000"/>
          <w:sz w:val="22"/>
          <w:szCs w:val="22"/>
        </w:rPr>
        <w:t>time-consuming and could cause the person’s housing situation to be in limbo for an extended period of time.</w:t>
      </w:r>
    </w:p>
    <w:p w14:paraId="6B5DE07B" w14:textId="590BA2C4" w:rsidR="00FC41D7" w:rsidRDefault="00FC41D7" w:rsidP="004B678A">
      <w:pPr>
        <w:pStyle w:val="NormalWeb"/>
        <w:spacing w:before="0" w:beforeAutospacing="0" w:after="160" w:afterAutospacing="0"/>
        <w:rPr>
          <w:rFonts w:asciiTheme="minorHAnsi" w:hAnsiTheme="minorHAnsi"/>
          <w:color w:val="000000"/>
          <w:sz w:val="22"/>
          <w:szCs w:val="22"/>
        </w:rPr>
      </w:pPr>
      <w:r>
        <w:rPr>
          <w:rFonts w:asciiTheme="minorHAnsi" w:hAnsiTheme="minorHAnsi"/>
          <w:color w:val="000000"/>
          <w:sz w:val="22"/>
          <w:szCs w:val="22"/>
        </w:rPr>
        <w:t>Lastly, some persons with disabilities express concern about their inability to properly maintain the outside of their property and trying to find dependable live-in caregivers.</w:t>
      </w:r>
    </w:p>
    <w:p w14:paraId="0B79C1C7" w14:textId="692E5CD7" w:rsidR="00FC41D7" w:rsidRPr="00FC41D7" w:rsidRDefault="00FC41D7" w:rsidP="004B678A">
      <w:pPr>
        <w:pStyle w:val="NormalWeb"/>
        <w:spacing w:before="0" w:beforeAutospacing="0" w:after="160" w:afterAutospacing="0"/>
        <w:rPr>
          <w:rFonts w:asciiTheme="minorHAnsi" w:hAnsiTheme="minorHAnsi"/>
          <w:sz w:val="22"/>
          <w:szCs w:val="22"/>
        </w:rPr>
      </w:pPr>
      <w:r>
        <w:rPr>
          <w:rFonts w:asciiTheme="minorHAnsi" w:hAnsiTheme="minorHAnsi"/>
          <w:color w:val="000000"/>
          <w:sz w:val="22"/>
          <w:szCs w:val="22"/>
        </w:rPr>
        <w:t xml:space="preserve">These are the most common difficulties for persons with disabilities to achieving homeownership in the Jurisdiction and the Region. </w:t>
      </w:r>
    </w:p>
    <w:p w14:paraId="5DB52204" w14:textId="08E6EEDD" w:rsidR="004B678A" w:rsidRPr="004B678A" w:rsidRDefault="004B678A" w:rsidP="004B678A">
      <w:pPr>
        <w:pStyle w:val="NormalWeb"/>
        <w:spacing w:before="0" w:beforeAutospacing="0" w:after="160" w:afterAutospacing="0"/>
        <w:rPr>
          <w:rFonts w:asciiTheme="minorHAnsi" w:hAnsiTheme="minorHAnsi"/>
          <w:sz w:val="22"/>
          <w:szCs w:val="22"/>
        </w:rPr>
      </w:pPr>
    </w:p>
    <w:p w14:paraId="0AF9A8A1" w14:textId="415C59DA" w:rsidR="004B678A" w:rsidRPr="004B678A" w:rsidRDefault="004B678A" w:rsidP="004B678A">
      <w:pPr>
        <w:rPr>
          <w:rFonts w:ascii="Calibri" w:eastAsia="Calibri" w:hAnsi="Calibri" w:cs="Calibri"/>
          <w:bCs/>
          <w:color w:val="FF0000"/>
        </w:rPr>
      </w:pPr>
    </w:p>
    <w:p w14:paraId="3F649F0D" w14:textId="5921C129" w:rsidR="008B045A" w:rsidRPr="00E14063" w:rsidRDefault="5F884969" w:rsidP="002F7C2E">
      <w:pPr>
        <w:ind w:left="360"/>
        <w:outlineLvl w:val="0"/>
        <w:rPr>
          <w:b/>
          <w:bCs/>
          <w:u w:val="single"/>
        </w:rPr>
      </w:pPr>
      <w:r w:rsidRPr="00E14063">
        <w:rPr>
          <w:b/>
          <w:bCs/>
          <w:u w:val="single"/>
        </w:rPr>
        <w:t>Disproportionate Housing Needs</w:t>
      </w:r>
    </w:p>
    <w:p w14:paraId="7EFC343B" w14:textId="11AE28F6" w:rsidR="008B045A" w:rsidRPr="000B29A0" w:rsidRDefault="5F884969" w:rsidP="00D74CF8">
      <w:pPr>
        <w:ind w:left="360"/>
        <w:rPr>
          <w:b/>
          <w:bCs/>
          <w:i/>
        </w:rPr>
      </w:pPr>
      <w:r w:rsidRPr="000B29A0">
        <w:rPr>
          <w:b/>
          <w:bCs/>
          <w:i/>
        </w:rPr>
        <w:t>Describe any disproportionate housing needs experienced by persons with disabilities and by persons with certain types of disabilities in the jurisdiction and region.</w:t>
      </w:r>
    </w:p>
    <w:p w14:paraId="719181E2" w14:textId="75576DA7" w:rsidR="00445117" w:rsidRDefault="00600CB3" w:rsidP="007206A3">
      <w:pPr>
        <w:ind w:left="360"/>
      </w:pPr>
      <w:r>
        <w:t xml:space="preserve">Persons with disabilities face cost burden issues along with other protected classes. According to the American Community Survey 2011-2015, of the population 20-64 years who fall below the poverty level, 16% have a disability. Those below poverty level are more likely to be cost burdened – paying more than 30 or 50% of their income to housing. </w:t>
      </w:r>
      <w:r w:rsidR="000B29A0">
        <w:t>Housing costs in the City are already higher for most households; those with limited income on disability or minimally employed face higher cost burdens</w:t>
      </w:r>
    </w:p>
    <w:p w14:paraId="3D86A64A" w14:textId="59553EBF" w:rsidR="008447D0" w:rsidRDefault="001808ED" w:rsidP="007206A3">
      <w:pPr>
        <w:ind w:left="360"/>
      </w:pPr>
      <w:r w:rsidRPr="001808ED">
        <w:t xml:space="preserve">Recognizing the importance of promoting self-sufficiency and independent living opportunities, the City recognizes the need to make homes accessible or accommodating based on disability. Based upon the information provided in Table 26, providing accessibility modifications would represent the highest housing need. The City of Burlington administers an Accessibility Modification Program with CDBG funds, often in partnership with the Vermont Center for Independent Living, to address these issues. Supportive services, </w:t>
      </w:r>
      <w:proofErr w:type="spellStart"/>
      <w:r w:rsidRPr="001808ED">
        <w:t>homesharing</w:t>
      </w:r>
      <w:proofErr w:type="spellEnd"/>
      <w:r w:rsidRPr="001808ED">
        <w:t xml:space="preserve"> and congregate meal sites/senior programs can and do assist those with independent living difficulties.</w:t>
      </w:r>
    </w:p>
    <w:p w14:paraId="5DF25579" w14:textId="12779C26" w:rsidR="008447D0" w:rsidRPr="00E14063" w:rsidRDefault="000B29A0" w:rsidP="000B29A0">
      <w:pPr>
        <w:ind w:left="360"/>
      </w:pPr>
      <w:r>
        <w:t>Under the Publicly Supported Housing section, accommodations for those with disabilities is discussed in detail.</w:t>
      </w:r>
      <w:r w:rsidRPr="00E14063">
        <w:t xml:space="preserve"> </w:t>
      </w:r>
    </w:p>
    <w:p w14:paraId="16891ABD" w14:textId="24E322F5" w:rsidR="008B045A" w:rsidRPr="00E14063" w:rsidRDefault="5F884969" w:rsidP="002F7C2E">
      <w:pPr>
        <w:ind w:left="360"/>
        <w:outlineLvl w:val="0"/>
        <w:rPr>
          <w:b/>
          <w:bCs/>
          <w:u w:val="single"/>
        </w:rPr>
      </w:pPr>
      <w:r w:rsidRPr="00E14063">
        <w:rPr>
          <w:b/>
          <w:bCs/>
          <w:u w:val="single"/>
        </w:rPr>
        <w:t>Additional Information</w:t>
      </w:r>
    </w:p>
    <w:p w14:paraId="38C0CAC6" w14:textId="07AFEA90" w:rsidR="008B045A" w:rsidRPr="00510D74" w:rsidRDefault="5F884969" w:rsidP="5F884969">
      <w:pPr>
        <w:ind w:left="360"/>
        <w:rPr>
          <w:b/>
          <w:bCs/>
          <w:i/>
        </w:rPr>
      </w:pPr>
      <w:r w:rsidRPr="00510D74">
        <w:rPr>
          <w:b/>
          <w:bCs/>
          <w:i/>
        </w:rPr>
        <w:t>Beyond the HUD-provided data, provide additional relevant information, if any, about disability and access issues in the jurisdiction and region affecting groups with other protected characteristics.</w:t>
      </w:r>
    </w:p>
    <w:p w14:paraId="26406C4F" w14:textId="3F1EE58B" w:rsidR="00E57C4D" w:rsidRDefault="5F884969" w:rsidP="5F884969">
      <w:pPr>
        <w:spacing w:after="0" w:line="240" w:lineRule="auto"/>
        <w:ind w:left="360"/>
        <w:rPr>
          <w:rFonts w:ascii="Calibri" w:eastAsia="Times New Roman" w:hAnsi="Calibri" w:cs="Times New Roman"/>
          <w:color w:val="000000" w:themeColor="text1"/>
        </w:rPr>
      </w:pPr>
      <w:r>
        <w:t xml:space="preserve">During an interview with participants on the Mayor’s Committee on Accessibility, </w:t>
      </w:r>
      <w:r w:rsidRPr="5F884969">
        <w:rPr>
          <w:rFonts w:ascii="Calibri" w:eastAsia="Times New Roman" w:hAnsi="Calibri" w:cs="Times New Roman"/>
          <w:color w:val="000000" w:themeColor="text1"/>
        </w:rPr>
        <w:t xml:space="preserve">participants were adamant about making changes to the City’s marketplaces and storefronts to make them more accessible to individuals with disabilities. In addition, members discussed experiences and challenges regarding integration/segregation of disabled populations, as well as the over-institutionalization and medicalization of living arrangements and transportation for those with disabilities, both mental and physical. </w:t>
      </w:r>
    </w:p>
    <w:p w14:paraId="30378F82" w14:textId="77777777" w:rsidR="00E57C4D" w:rsidRDefault="00E57C4D" w:rsidP="00864DDD">
      <w:pPr>
        <w:spacing w:after="0" w:line="240" w:lineRule="auto"/>
        <w:ind w:left="360"/>
        <w:rPr>
          <w:rFonts w:ascii="Calibri" w:eastAsia="Times New Roman" w:hAnsi="Calibri" w:cs="Times New Roman"/>
          <w:color w:val="000000"/>
        </w:rPr>
      </w:pPr>
    </w:p>
    <w:p w14:paraId="5E89484A" w14:textId="3AB73F3F" w:rsidR="00E57C4D" w:rsidRPr="004A003F" w:rsidRDefault="5F884969" w:rsidP="5F884969">
      <w:pPr>
        <w:spacing w:after="0" w:line="240" w:lineRule="auto"/>
        <w:ind w:left="360"/>
        <w:rPr>
          <w:rFonts w:ascii="Times New Roman" w:eastAsia="Times New Roman" w:hAnsi="Times New Roman" w:cs="Times New Roman"/>
          <w:sz w:val="24"/>
          <w:szCs w:val="24"/>
        </w:rPr>
      </w:pPr>
      <w:r w:rsidRPr="5F884969">
        <w:rPr>
          <w:rFonts w:ascii="Calibri" w:eastAsia="Times New Roman" w:hAnsi="Calibri" w:cs="Times New Roman"/>
          <w:color w:val="000000" w:themeColor="text1"/>
        </w:rPr>
        <w:t>A concern from a major housing agency in the area is that private landlords are not willing to make accommodations for persons with disabilities. Vermont Center for Independent Living expressed concerns regarding transportation for those with disabilities. Although the public transportation system, Green Mountain Transit is equipped for those with disabilities, it was suggested GMT could do a better job encouraging usage. This is only effective within the urban core of Chittenden County as bus service in the rural areas of the Region becomes less frequent. Also SSTA is more available for disabled residents in Burlington and South Burlington. With over 50 vehicles in their fleet, over 30 are lift-equipped for wheelchairs. SSTA provides an average of 600-700 rides per day and coordinates transportation service to many area human service agencies.</w:t>
      </w:r>
    </w:p>
    <w:p w14:paraId="36CCAA7E" w14:textId="01D0119D" w:rsidR="00445117" w:rsidRPr="004D1A4A" w:rsidRDefault="00445117" w:rsidP="007206A3">
      <w:pPr>
        <w:ind w:left="360"/>
        <w:rPr>
          <w:color w:val="FF0000"/>
        </w:rPr>
      </w:pPr>
    </w:p>
    <w:p w14:paraId="792D8B1D" w14:textId="0B3C24A0" w:rsidR="00445117" w:rsidRPr="00510D74" w:rsidRDefault="5F884969" w:rsidP="5F884969">
      <w:pPr>
        <w:ind w:left="360"/>
        <w:rPr>
          <w:b/>
          <w:bCs/>
          <w:i/>
        </w:rPr>
      </w:pPr>
      <w:r w:rsidRPr="00510D74">
        <w:rPr>
          <w:b/>
          <w:bCs/>
          <w:i/>
        </w:rPr>
        <w:lastRenderedPageBreak/>
        <w:t>The program participant may also describe other information relevant to its assessment of disability and access issues.</w:t>
      </w:r>
    </w:p>
    <w:p w14:paraId="1D55CD4B" w14:textId="33C123AD" w:rsidR="008447D0" w:rsidRDefault="008447D0" w:rsidP="00BD1098">
      <w:pPr>
        <w:ind w:left="360"/>
        <w:rPr>
          <w:bCs/>
        </w:rPr>
      </w:pPr>
      <w:r>
        <w:rPr>
          <w:bCs/>
        </w:rPr>
        <w:t xml:space="preserve">Almost 19% of the respondents to our Housing and Neighborhood Survey identified themselves or someone in their household as having a disability. This percentage is significantly larger than the </w:t>
      </w:r>
      <w:r w:rsidR="00243B02">
        <w:rPr>
          <w:bCs/>
        </w:rPr>
        <w:t xml:space="preserve">11% disabled population </w:t>
      </w:r>
      <w:r>
        <w:rPr>
          <w:bCs/>
        </w:rPr>
        <w:t xml:space="preserve">in the </w:t>
      </w:r>
      <w:r w:rsidRPr="008447D0">
        <w:rPr>
          <w:bCs/>
        </w:rPr>
        <w:t>City of Burlington</w:t>
      </w:r>
      <w:r>
        <w:rPr>
          <w:bCs/>
        </w:rPr>
        <w:t>.</w:t>
      </w:r>
      <w:r w:rsidR="00243B02">
        <w:rPr>
          <w:bCs/>
        </w:rPr>
        <w:t xml:space="preserve"> In addition, 32 of our respondents noted finding </w:t>
      </w:r>
      <w:r w:rsidR="00243B02" w:rsidRPr="00EF04A7">
        <w:rPr>
          <w:bCs/>
        </w:rPr>
        <w:t>units that accommodated a disability limited the housing options to consider.</w:t>
      </w:r>
    </w:p>
    <w:p w14:paraId="6C463945" w14:textId="4915C305" w:rsidR="00963840" w:rsidRPr="00EF04A7" w:rsidRDefault="00963840" w:rsidP="00BD1098">
      <w:pPr>
        <w:ind w:left="360"/>
        <w:rPr>
          <w:bCs/>
        </w:rPr>
      </w:pPr>
      <w:r>
        <w:rPr>
          <w:bCs/>
        </w:rPr>
        <w:t>Regarding the conditions of streets and sidewalks, 56% of the respondents said the conditions were good or fair; however 21% responded the conditions were poor.</w:t>
      </w:r>
    </w:p>
    <w:p w14:paraId="544A37EB" w14:textId="25E4FBDB" w:rsidR="00EF04A7" w:rsidRPr="00EF04A7" w:rsidRDefault="00EF04A7" w:rsidP="00BD1098">
      <w:pPr>
        <w:ind w:left="360"/>
      </w:pPr>
      <w:r w:rsidRPr="00EF04A7">
        <w:rPr>
          <w:bCs/>
        </w:rPr>
        <w:t xml:space="preserve">During our community outreach, we spoke in depth to members of the disabled community who identified issues of segregation for the disabled and the close proximity and institutionalize nature of some housing developments. The comment shared, ‘Due to the concentrated </w:t>
      </w:r>
      <w:r w:rsidR="000B29A0">
        <w:t xml:space="preserve">nature of the </w:t>
      </w:r>
      <w:r w:rsidRPr="00EF04A7">
        <w:t xml:space="preserve">living situations, autonomy has been degraded.” </w:t>
      </w:r>
    </w:p>
    <w:p w14:paraId="34CC4EDF" w14:textId="77777777" w:rsidR="00EF04A7" w:rsidRPr="008447D0" w:rsidRDefault="00EF04A7" w:rsidP="5F884969">
      <w:pPr>
        <w:ind w:left="360"/>
        <w:rPr>
          <w:bCs/>
        </w:rPr>
      </w:pPr>
    </w:p>
    <w:p w14:paraId="5C212561" w14:textId="4FF5B0A2" w:rsidR="00445117" w:rsidRPr="00E14063" w:rsidRDefault="00445117" w:rsidP="007206A3">
      <w:pPr>
        <w:ind w:left="360"/>
      </w:pPr>
    </w:p>
    <w:p w14:paraId="1D51F16C" w14:textId="0C9D9129" w:rsidR="008B045A" w:rsidRPr="00E14063" w:rsidRDefault="5F884969" w:rsidP="002F7C2E">
      <w:pPr>
        <w:ind w:left="360"/>
        <w:outlineLvl w:val="0"/>
        <w:rPr>
          <w:b/>
          <w:bCs/>
          <w:u w:val="single"/>
        </w:rPr>
      </w:pPr>
      <w:r w:rsidRPr="00E14063">
        <w:rPr>
          <w:b/>
          <w:bCs/>
          <w:u w:val="single"/>
        </w:rPr>
        <w:t>Contributing Factors to Disability and Access Issues</w:t>
      </w:r>
    </w:p>
    <w:p w14:paraId="13D67710" w14:textId="0A20F20B" w:rsidR="008B045A" w:rsidRPr="000B29A0" w:rsidRDefault="5F884969" w:rsidP="5F884969">
      <w:pPr>
        <w:ind w:left="360"/>
        <w:rPr>
          <w:b/>
          <w:bCs/>
        </w:rPr>
      </w:pPr>
      <w:r w:rsidRPr="000B29A0">
        <w:rPr>
          <w:b/>
          <w:bCs/>
        </w:rPr>
        <w:t>Consider the listed factors and any other factors affecting the jurisdiction and region. Identify factors that significantly create, contribute to, perpetuate, or increase the severity of disability and access issues and the fair housing issues, which are Segregation, RECAPs, Disparities in Access to Opportunity, and Disproportionate Housing Needs. For each contributing factor, note which fair housing issue(s) the selected contributing factor relates to.</w:t>
      </w:r>
    </w:p>
    <w:p w14:paraId="7801E662" w14:textId="752708E0" w:rsidR="00DA1BA8" w:rsidRPr="00084D1B" w:rsidRDefault="00DA1BA8" w:rsidP="00E14063">
      <w:pPr>
        <w:tabs>
          <w:tab w:val="left" w:pos="720"/>
          <w:tab w:val="left" w:pos="1152"/>
        </w:tabs>
        <w:spacing w:after="0" w:line="240" w:lineRule="auto"/>
        <w:ind w:left="1440"/>
        <w:textAlignment w:val="baseline"/>
        <w:rPr>
          <w:rFonts w:eastAsia="Times New Roman"/>
          <w:b/>
          <w:bCs/>
          <w:color w:val="FF0000"/>
        </w:rPr>
      </w:pPr>
    </w:p>
    <w:p w14:paraId="7BF04598" w14:textId="20F99FA0" w:rsidR="00DA1BA8" w:rsidRPr="0071716E" w:rsidRDefault="00DA1BA8" w:rsidP="000814F5">
      <w:pPr>
        <w:numPr>
          <w:ilvl w:val="0"/>
          <w:numId w:val="13"/>
        </w:numPr>
        <w:tabs>
          <w:tab w:val="left" w:pos="1152"/>
        </w:tabs>
        <w:spacing w:after="0" w:line="240" w:lineRule="auto"/>
        <w:ind w:left="1440" w:hanging="360"/>
        <w:textAlignment w:val="baseline"/>
        <w:rPr>
          <w:rFonts w:eastAsia="Times New Roman"/>
          <w:b/>
          <w:bCs/>
        </w:rPr>
      </w:pPr>
      <w:r w:rsidRPr="0071716E">
        <w:rPr>
          <w:rFonts w:eastAsia="Times New Roman"/>
          <w:b/>
          <w:bCs/>
          <w:spacing w:val="-1"/>
        </w:rPr>
        <w:t xml:space="preserve">Inaccessible public or private infrastructure </w:t>
      </w:r>
      <w:r w:rsidR="00F36C05" w:rsidRPr="0071716E">
        <w:rPr>
          <w:rFonts w:eastAsia="Times New Roman"/>
          <w:b/>
          <w:bCs/>
          <w:spacing w:val="-1"/>
        </w:rPr>
        <w:t>–</w:t>
      </w:r>
      <w:r w:rsidR="000B29A0" w:rsidRPr="0071716E">
        <w:rPr>
          <w:rFonts w:eastAsia="Times New Roman"/>
          <w:b/>
          <w:bCs/>
          <w:spacing w:val="-1"/>
        </w:rPr>
        <w:t xml:space="preserve"> </w:t>
      </w:r>
      <w:r w:rsidR="00F36C05" w:rsidRPr="0071716E">
        <w:rPr>
          <w:rFonts w:eastAsia="Times New Roman"/>
          <w:bCs/>
          <w:spacing w:val="-1"/>
        </w:rPr>
        <w:t xml:space="preserve">Accessibility issues may be related to sidewalks, pedestrian crossings, lack of ramps or lack of audible pedestrian signals. </w:t>
      </w:r>
    </w:p>
    <w:p w14:paraId="758C6F9C" w14:textId="77777777" w:rsidR="00E14063" w:rsidRPr="0071716E" w:rsidRDefault="00E14063" w:rsidP="00E14063">
      <w:pPr>
        <w:tabs>
          <w:tab w:val="left" w:pos="720"/>
          <w:tab w:val="left" w:pos="1152"/>
        </w:tabs>
        <w:spacing w:after="0" w:line="240" w:lineRule="auto"/>
        <w:textAlignment w:val="baseline"/>
        <w:rPr>
          <w:rFonts w:eastAsia="Times New Roman"/>
          <w:b/>
          <w:bCs/>
          <w:color w:val="FF0000"/>
        </w:rPr>
      </w:pPr>
    </w:p>
    <w:p w14:paraId="503B3F79" w14:textId="31756214" w:rsidR="00DA1BA8" w:rsidRPr="0071716E" w:rsidRDefault="5F884969" w:rsidP="000814F5">
      <w:pPr>
        <w:numPr>
          <w:ilvl w:val="0"/>
          <w:numId w:val="13"/>
        </w:numPr>
        <w:tabs>
          <w:tab w:val="left" w:pos="1152"/>
        </w:tabs>
        <w:spacing w:after="0" w:line="240" w:lineRule="auto"/>
        <w:ind w:left="1440" w:hanging="360"/>
        <w:textAlignment w:val="baseline"/>
        <w:rPr>
          <w:rFonts w:eastAsia="Times New Roman"/>
          <w:bCs/>
        </w:rPr>
      </w:pPr>
      <w:r w:rsidRPr="0071716E">
        <w:rPr>
          <w:rFonts w:eastAsia="Times New Roman"/>
          <w:b/>
          <w:bCs/>
        </w:rPr>
        <w:t>Lack of affordable, accessible housing in range of unit sizes</w:t>
      </w:r>
      <w:r w:rsidR="00F36C05" w:rsidRPr="0071716E">
        <w:rPr>
          <w:rFonts w:eastAsia="Times New Roman"/>
          <w:b/>
          <w:bCs/>
        </w:rPr>
        <w:t xml:space="preserve"> – </w:t>
      </w:r>
      <w:r w:rsidR="00F36C05" w:rsidRPr="0071716E">
        <w:rPr>
          <w:rFonts w:eastAsia="Times New Roman"/>
          <w:bCs/>
        </w:rPr>
        <w:t xml:space="preserve">Accessible housing includes housing that allows individuals with disabilities equal opportunity to be housed in an affordable and safe dwelling. Affordable is defined as not spending more than 30% of the individual’s income on housing costs. </w:t>
      </w:r>
    </w:p>
    <w:p w14:paraId="25BF0270" w14:textId="77777777" w:rsidR="00E14063" w:rsidRPr="0071716E" w:rsidRDefault="00E14063" w:rsidP="00E14063">
      <w:pPr>
        <w:tabs>
          <w:tab w:val="left" w:pos="720"/>
          <w:tab w:val="left" w:pos="1152"/>
        </w:tabs>
        <w:spacing w:after="0" w:line="240" w:lineRule="auto"/>
        <w:textAlignment w:val="baseline"/>
        <w:rPr>
          <w:rFonts w:eastAsia="Times New Roman"/>
          <w:b/>
          <w:bCs/>
          <w:color w:val="FF0000"/>
        </w:rPr>
      </w:pPr>
    </w:p>
    <w:p w14:paraId="7386C57F" w14:textId="2C47EC45" w:rsidR="00791C0B" w:rsidRPr="0071716E" w:rsidRDefault="00F36C05" w:rsidP="009A2CF5">
      <w:pPr>
        <w:pStyle w:val="ListParagraph"/>
        <w:numPr>
          <w:ilvl w:val="0"/>
          <w:numId w:val="36"/>
        </w:numPr>
        <w:tabs>
          <w:tab w:val="left" w:pos="1170"/>
        </w:tabs>
        <w:spacing w:after="0"/>
        <w:textAlignment w:val="baseline"/>
        <w:rPr>
          <w:rFonts w:eastAsia="Times New Roman"/>
          <w:b/>
          <w:bCs/>
        </w:rPr>
      </w:pPr>
      <w:r w:rsidRPr="0071716E">
        <w:rPr>
          <w:b/>
          <w:bCs/>
          <w:sz w:val="23"/>
          <w:szCs w:val="23"/>
        </w:rPr>
        <w:t xml:space="preserve">Lack of assistance for housing accessibility modifications </w:t>
      </w:r>
      <w:r w:rsidRPr="0071716E">
        <w:rPr>
          <w:sz w:val="23"/>
          <w:szCs w:val="23"/>
        </w:rPr>
        <w:t xml:space="preserve">– </w:t>
      </w:r>
      <w:r w:rsidRPr="0071716E">
        <w:t xml:space="preserve">Modifications refer to structural changes made to existing premises, occupied or to be occupied by a person with a disability. Housing accessibility modifications can include structural changes to interiors and exteriors of dwellings and to common and public use areas. Under the Fair Housing Act, landlords are required by fair housing laws to permit certain reasonable modifications to a housing unit, but are not required to pay for the modification unless the housing provider is a recipient of Federal financial assistance and therefore subject to Section 504 of the Rehabilitation Act or is covered by the Americans with Disabilities Act (in such cases the recipient must pay for the structural modification as a reasonable accommodation for an individual with disabilities). However, the cost of these modifications </w:t>
      </w:r>
      <w:r w:rsidR="00160ED1" w:rsidRPr="0071716E">
        <w:t>can be prohibitively expensive.</w:t>
      </w:r>
    </w:p>
    <w:p w14:paraId="5DC85EE0" w14:textId="46CC3448" w:rsidR="005159E9" w:rsidRPr="0071716E" w:rsidRDefault="005159E9" w:rsidP="005159E9">
      <w:pPr>
        <w:pStyle w:val="ListParagraph"/>
        <w:numPr>
          <w:ilvl w:val="0"/>
          <w:numId w:val="36"/>
        </w:numPr>
        <w:tabs>
          <w:tab w:val="left" w:pos="1170"/>
        </w:tabs>
        <w:spacing w:after="0"/>
        <w:textAlignment w:val="baseline"/>
        <w:rPr>
          <w:rFonts w:eastAsia="Times New Roman"/>
          <w:b/>
          <w:bCs/>
          <w:color w:val="FF0000"/>
        </w:rPr>
      </w:pPr>
      <w:r w:rsidRPr="0071716E">
        <w:rPr>
          <w:rFonts w:ascii="Calibri" w:hAnsi="Calibri" w:cs="Calibri"/>
          <w:b/>
          <w:sz w:val="23"/>
          <w:szCs w:val="23"/>
        </w:rPr>
        <w:lastRenderedPageBreak/>
        <w:t xml:space="preserve">Lack of affordable, integrated housing for individuals who need supportive services </w:t>
      </w:r>
      <w:r w:rsidR="008B69A7" w:rsidRPr="0071716E">
        <w:rPr>
          <w:rFonts w:ascii="Calibri" w:hAnsi="Calibri" w:cs="Calibri"/>
          <w:b/>
          <w:sz w:val="23"/>
          <w:szCs w:val="23"/>
        </w:rPr>
        <w:t xml:space="preserve">– </w:t>
      </w:r>
      <w:r w:rsidR="008B69A7" w:rsidRPr="0071716E">
        <w:rPr>
          <w:rFonts w:ascii="Calibri" w:hAnsi="Calibri" w:cs="Calibri"/>
          <w:sz w:val="23"/>
          <w:szCs w:val="23"/>
        </w:rPr>
        <w:t xml:space="preserve">Not only did our survey and interview participants mention the lack of affordable housing but also a perception of a high proportion of those with disabilities </w:t>
      </w:r>
      <w:r w:rsidR="008B69A7" w:rsidRPr="0071716E">
        <w:rPr>
          <w:rFonts w:ascii="Calibri" w:hAnsi="Calibri" w:cs="Calibri"/>
          <w:color w:val="000000"/>
          <w:sz w:val="23"/>
          <w:szCs w:val="23"/>
        </w:rPr>
        <w:t>in the managed multi-family properties.</w:t>
      </w:r>
    </w:p>
    <w:p w14:paraId="14539885" w14:textId="77777777" w:rsidR="00791C0B" w:rsidRDefault="00791C0B" w:rsidP="00F824E8">
      <w:pPr>
        <w:tabs>
          <w:tab w:val="left" w:pos="360"/>
          <w:tab w:val="left" w:pos="1170"/>
        </w:tabs>
        <w:spacing w:after="0" w:line="240" w:lineRule="auto"/>
        <w:ind w:left="1080"/>
        <w:textAlignment w:val="baseline"/>
        <w:rPr>
          <w:rFonts w:eastAsia="Times New Roman"/>
          <w:b/>
          <w:bCs/>
        </w:rPr>
      </w:pPr>
    </w:p>
    <w:p w14:paraId="660ED1B3" w14:textId="77777777" w:rsidR="00791C0B" w:rsidRDefault="00791C0B" w:rsidP="00F824E8">
      <w:pPr>
        <w:tabs>
          <w:tab w:val="left" w:pos="360"/>
          <w:tab w:val="left" w:pos="1170"/>
        </w:tabs>
        <w:spacing w:after="0" w:line="240" w:lineRule="auto"/>
        <w:ind w:left="1080"/>
        <w:textAlignment w:val="baseline"/>
        <w:rPr>
          <w:rFonts w:eastAsia="Times New Roman"/>
          <w:b/>
          <w:bCs/>
        </w:rPr>
      </w:pPr>
    </w:p>
    <w:p w14:paraId="0EC1A268" w14:textId="77777777" w:rsidR="00CD2842" w:rsidRDefault="00CD2842" w:rsidP="00CC04F2">
      <w:pPr>
        <w:tabs>
          <w:tab w:val="left" w:pos="360"/>
          <w:tab w:val="left" w:pos="1170"/>
        </w:tabs>
        <w:spacing w:after="0" w:line="240" w:lineRule="auto"/>
        <w:textAlignment w:val="baseline"/>
        <w:rPr>
          <w:rFonts w:eastAsia="Times New Roman"/>
          <w:b/>
          <w:bCs/>
        </w:rPr>
      </w:pPr>
    </w:p>
    <w:p w14:paraId="0FDA606E" w14:textId="77777777" w:rsidR="00791C0B" w:rsidRDefault="00791C0B" w:rsidP="00F824E8">
      <w:pPr>
        <w:tabs>
          <w:tab w:val="left" w:pos="360"/>
          <w:tab w:val="left" w:pos="1170"/>
        </w:tabs>
        <w:spacing w:after="0" w:line="240" w:lineRule="auto"/>
        <w:ind w:left="1080"/>
        <w:textAlignment w:val="baseline"/>
        <w:rPr>
          <w:rFonts w:eastAsia="Times New Roman"/>
          <w:b/>
          <w:bCs/>
        </w:rPr>
      </w:pPr>
    </w:p>
    <w:p w14:paraId="22FE8C58" w14:textId="77777777" w:rsidR="008B69A7" w:rsidRDefault="008B69A7" w:rsidP="00F824E8">
      <w:pPr>
        <w:tabs>
          <w:tab w:val="left" w:pos="360"/>
          <w:tab w:val="left" w:pos="1170"/>
        </w:tabs>
        <w:spacing w:after="0" w:line="240" w:lineRule="auto"/>
        <w:ind w:left="1080"/>
        <w:textAlignment w:val="baseline"/>
        <w:rPr>
          <w:rFonts w:eastAsia="Times New Roman"/>
          <w:b/>
          <w:bCs/>
        </w:rPr>
      </w:pPr>
    </w:p>
    <w:p w14:paraId="1A5ACBCF" w14:textId="77777777" w:rsidR="008B69A7" w:rsidRPr="00F824E8" w:rsidRDefault="008B69A7" w:rsidP="00F824E8">
      <w:pPr>
        <w:tabs>
          <w:tab w:val="left" w:pos="360"/>
          <w:tab w:val="left" w:pos="1170"/>
        </w:tabs>
        <w:spacing w:after="0" w:line="240" w:lineRule="auto"/>
        <w:ind w:left="1080"/>
        <w:textAlignment w:val="baseline"/>
        <w:rPr>
          <w:rFonts w:eastAsia="Times New Roman"/>
          <w:b/>
          <w:bCs/>
        </w:rPr>
      </w:pPr>
    </w:p>
    <w:p w14:paraId="1CD2157C" w14:textId="77777777" w:rsidR="00135AD9" w:rsidRPr="00135AD9" w:rsidRDefault="5F884969" w:rsidP="002F7C2E">
      <w:pPr>
        <w:pStyle w:val="Heading1"/>
        <w:numPr>
          <w:ilvl w:val="0"/>
          <w:numId w:val="2"/>
        </w:numPr>
        <w:rPr>
          <w:rFonts w:ascii="Garamond" w:hAnsi="Garamond"/>
          <w:b/>
          <w:bCs/>
          <w:sz w:val="26"/>
          <w:szCs w:val="26"/>
        </w:rPr>
      </w:pPr>
      <w:bookmarkStart w:id="46" w:name="FairHousingEnforcementOutreachCapacity"/>
      <w:r w:rsidRPr="5F884969">
        <w:rPr>
          <w:rFonts w:ascii="Garamond" w:hAnsi="Garamond"/>
          <w:b/>
          <w:bCs/>
          <w:sz w:val="26"/>
          <w:szCs w:val="26"/>
        </w:rPr>
        <w:t>Fair Housing Enforcement, Outreach Capacity, and Resources</w:t>
      </w:r>
    </w:p>
    <w:bookmarkEnd w:id="46"/>
    <w:p w14:paraId="78D836B4" w14:textId="550884CE" w:rsidR="00D1423A" w:rsidRDefault="5F884969" w:rsidP="002F7C2E">
      <w:pPr>
        <w:spacing w:after="240" w:line="240" w:lineRule="auto"/>
        <w:ind w:left="360"/>
        <w:contextualSpacing/>
        <w:textAlignment w:val="baseline"/>
        <w:outlineLvl w:val="0"/>
        <w:rPr>
          <w:b/>
          <w:bCs/>
          <w:u w:val="single"/>
        </w:rPr>
      </w:pPr>
      <w:r w:rsidRPr="5F884969">
        <w:rPr>
          <w:b/>
          <w:bCs/>
          <w:u w:val="single"/>
        </w:rPr>
        <w:t xml:space="preserve">Fair Housing Enforcement, Outreach </w:t>
      </w:r>
      <w:r w:rsidR="00B56A3D" w:rsidRPr="5F884969">
        <w:rPr>
          <w:b/>
          <w:bCs/>
          <w:u w:val="single"/>
        </w:rPr>
        <w:t>Capacity</w:t>
      </w:r>
      <w:r w:rsidRPr="5F884969">
        <w:rPr>
          <w:b/>
          <w:bCs/>
          <w:u w:val="single"/>
        </w:rPr>
        <w:t xml:space="preserve"> and Resource Analysis</w:t>
      </w:r>
    </w:p>
    <w:p w14:paraId="1CD641A2" w14:textId="7AF58917" w:rsidR="006C6AC4" w:rsidRDefault="006C6AC4" w:rsidP="006C6AC4">
      <w:pPr>
        <w:ind w:left="360"/>
        <w:rPr>
          <w:b/>
        </w:rPr>
      </w:pPr>
      <w:r w:rsidRPr="00C7573C">
        <w:rPr>
          <w:b/>
        </w:rPr>
        <w:t>List and summarize any of the following that have not been resolved:</w:t>
      </w:r>
    </w:p>
    <w:p w14:paraId="62A0B7B2" w14:textId="77777777" w:rsidR="006C6AC4" w:rsidRPr="00C7573C" w:rsidRDefault="006C6AC4" w:rsidP="009A2CF5">
      <w:pPr>
        <w:numPr>
          <w:ilvl w:val="0"/>
          <w:numId w:val="26"/>
        </w:numPr>
        <w:tabs>
          <w:tab w:val="left" w:pos="360"/>
        </w:tabs>
        <w:spacing w:after="240" w:line="240" w:lineRule="auto"/>
        <w:ind w:left="1440"/>
        <w:contextualSpacing/>
        <w:textAlignment w:val="baseline"/>
        <w:rPr>
          <w:rFonts w:eastAsia="Times New Roman"/>
          <w:b/>
        </w:rPr>
      </w:pPr>
      <w:r w:rsidRPr="00C7573C">
        <w:rPr>
          <w:rFonts w:eastAsia="Times New Roman"/>
          <w:b/>
        </w:rPr>
        <w:t xml:space="preserve">A charge or letter of finding from HUD concerning a violation of a civil rights-related law; </w:t>
      </w:r>
    </w:p>
    <w:p w14:paraId="4AB40B52" w14:textId="77777777" w:rsidR="006C6AC4" w:rsidRPr="00C7573C" w:rsidRDefault="006C6AC4" w:rsidP="009A2CF5">
      <w:pPr>
        <w:numPr>
          <w:ilvl w:val="0"/>
          <w:numId w:val="26"/>
        </w:numPr>
        <w:tabs>
          <w:tab w:val="left" w:pos="360"/>
        </w:tabs>
        <w:spacing w:after="240" w:line="240" w:lineRule="auto"/>
        <w:ind w:left="1440"/>
        <w:contextualSpacing/>
        <w:textAlignment w:val="baseline"/>
        <w:rPr>
          <w:rFonts w:eastAsia="Times New Roman"/>
          <w:b/>
        </w:rPr>
      </w:pPr>
      <w:r w:rsidRPr="00C7573C">
        <w:rPr>
          <w:rFonts w:eastAsia="Times New Roman"/>
          <w:b/>
        </w:rPr>
        <w:t>A cause determination from a substantially equivalent state or local fair housing agency concerning a violation of a state or local fair housing law;</w:t>
      </w:r>
    </w:p>
    <w:p w14:paraId="78231297" w14:textId="77777777" w:rsidR="006C6AC4" w:rsidRPr="00C7573C" w:rsidRDefault="006C6AC4" w:rsidP="009A2CF5">
      <w:pPr>
        <w:numPr>
          <w:ilvl w:val="0"/>
          <w:numId w:val="26"/>
        </w:numPr>
        <w:tabs>
          <w:tab w:val="left" w:pos="360"/>
        </w:tabs>
        <w:spacing w:after="240" w:line="240" w:lineRule="auto"/>
        <w:ind w:left="1440"/>
        <w:contextualSpacing/>
        <w:textAlignment w:val="baseline"/>
        <w:rPr>
          <w:rFonts w:eastAsia="Times New Roman"/>
          <w:b/>
        </w:rPr>
      </w:pPr>
      <w:r w:rsidRPr="00C7573C">
        <w:rPr>
          <w:rFonts w:eastAsia="Times New Roman"/>
          <w:b/>
        </w:rPr>
        <w:t xml:space="preserve">Any voluntary compliance agreements, conciliation agreements, or settlement agreements entered into with HUD or the Department of Justice; </w:t>
      </w:r>
    </w:p>
    <w:p w14:paraId="748D27D5" w14:textId="77777777" w:rsidR="006C6AC4" w:rsidRPr="00C7573C" w:rsidRDefault="006C6AC4" w:rsidP="009A2CF5">
      <w:pPr>
        <w:numPr>
          <w:ilvl w:val="0"/>
          <w:numId w:val="26"/>
        </w:numPr>
        <w:tabs>
          <w:tab w:val="left" w:pos="360"/>
        </w:tabs>
        <w:spacing w:after="240" w:line="240" w:lineRule="auto"/>
        <w:ind w:left="1440"/>
        <w:contextualSpacing/>
        <w:textAlignment w:val="baseline"/>
        <w:rPr>
          <w:rFonts w:eastAsia="Times New Roman"/>
          <w:b/>
        </w:rPr>
      </w:pPr>
      <w:r w:rsidRPr="00C7573C">
        <w:rPr>
          <w:rFonts w:eastAsia="Times New Roman"/>
          <w:b/>
        </w:rPr>
        <w:t xml:space="preserve">A letter of findings issued by or lawsuit filed or joined by the Department of Justice alleging a pattern or practice or systemic violation of a fair housing or civil rights law; </w:t>
      </w:r>
    </w:p>
    <w:p w14:paraId="663E15AE" w14:textId="77777777" w:rsidR="006C6AC4" w:rsidRPr="00C7573C" w:rsidRDefault="006C6AC4" w:rsidP="009A2CF5">
      <w:pPr>
        <w:numPr>
          <w:ilvl w:val="0"/>
          <w:numId w:val="26"/>
        </w:numPr>
        <w:tabs>
          <w:tab w:val="left" w:pos="360"/>
        </w:tabs>
        <w:spacing w:after="240" w:line="240" w:lineRule="auto"/>
        <w:ind w:left="1440"/>
        <w:contextualSpacing/>
        <w:textAlignment w:val="baseline"/>
        <w:rPr>
          <w:rFonts w:eastAsia="Times New Roman"/>
          <w:b/>
        </w:rPr>
      </w:pPr>
      <w:r w:rsidRPr="00C7573C">
        <w:rPr>
          <w:rFonts w:eastAsia="Times New Roman"/>
          <w:b/>
        </w:rPr>
        <w:t xml:space="preserve">A claim under the False Claims Act related to fair housing, nondiscrimination, or civil rights generally, including an alleged failure to affirmatively further fair housing; or </w:t>
      </w:r>
    </w:p>
    <w:p w14:paraId="76D2A56D" w14:textId="77777777" w:rsidR="006C6AC4" w:rsidRDefault="006C6AC4" w:rsidP="009A2CF5">
      <w:pPr>
        <w:numPr>
          <w:ilvl w:val="0"/>
          <w:numId w:val="26"/>
        </w:numPr>
        <w:tabs>
          <w:tab w:val="left" w:pos="360"/>
        </w:tabs>
        <w:spacing w:after="240" w:line="240" w:lineRule="auto"/>
        <w:ind w:left="1440"/>
        <w:contextualSpacing/>
        <w:textAlignment w:val="baseline"/>
        <w:rPr>
          <w:rFonts w:eastAsia="Times New Roman"/>
          <w:b/>
        </w:rPr>
      </w:pPr>
      <w:r w:rsidRPr="00C7573C">
        <w:rPr>
          <w:rFonts w:eastAsia="Times New Roman"/>
          <w:b/>
        </w:rPr>
        <w:t>A pending administrative complaints or lawsuits against the locality alleging fair housing violations or discrimination.</w:t>
      </w:r>
    </w:p>
    <w:p w14:paraId="5D02A8DB" w14:textId="77777777" w:rsidR="006C6AC4" w:rsidRPr="00C7573C" w:rsidRDefault="006C6AC4" w:rsidP="006C6AC4">
      <w:pPr>
        <w:tabs>
          <w:tab w:val="left" w:pos="360"/>
        </w:tabs>
        <w:spacing w:after="240" w:line="240" w:lineRule="auto"/>
        <w:ind w:left="1440"/>
        <w:contextualSpacing/>
        <w:textAlignment w:val="baseline"/>
        <w:rPr>
          <w:rFonts w:eastAsia="Times New Roman"/>
          <w:b/>
        </w:rPr>
      </w:pPr>
    </w:p>
    <w:p w14:paraId="79020F3B" w14:textId="77777777" w:rsidR="007F28B0" w:rsidRDefault="007F28B0" w:rsidP="00760258">
      <w:pPr>
        <w:spacing w:after="240"/>
        <w:ind w:left="360"/>
        <w:textAlignment w:val="baseline"/>
      </w:pPr>
    </w:p>
    <w:p w14:paraId="38E5CF10" w14:textId="0B029831" w:rsidR="007F28B0" w:rsidRDefault="007F28B0" w:rsidP="007F28B0">
      <w:pPr>
        <w:tabs>
          <w:tab w:val="left" w:pos="360"/>
        </w:tabs>
        <w:spacing w:after="240" w:line="240" w:lineRule="auto"/>
        <w:contextualSpacing/>
        <w:textAlignment w:val="baseline"/>
        <w:rPr>
          <w:rFonts w:eastAsia="Times New Roman"/>
        </w:rPr>
      </w:pPr>
      <w:r>
        <w:t xml:space="preserve">According to the Vermont Human Rights Commission, as the State Fair Housing Assistance Program, there are been no cause cases from any of the counties of the Region in the last two years. </w:t>
      </w:r>
      <w:r w:rsidRPr="007F28B0">
        <w:t xml:space="preserve">There have been no </w:t>
      </w:r>
      <w:r w:rsidRPr="007F28B0">
        <w:rPr>
          <w:rFonts w:eastAsia="Times New Roman"/>
        </w:rPr>
        <w:t>voluntary compliance agreements, conciliation agreements, or settlement agreements entered into with HUD or the Department of Justice; nor or letter of findings issued by or lawsuit filed or joined by the Department of Justice alleging a pattern or practice or systemic violation of a fair hous</w:t>
      </w:r>
      <w:r>
        <w:rPr>
          <w:rFonts w:eastAsia="Times New Roman"/>
        </w:rPr>
        <w:t xml:space="preserve">ing or civil rights law. There has been </w:t>
      </w:r>
      <w:r w:rsidRPr="007F28B0">
        <w:rPr>
          <w:rFonts w:eastAsia="Times New Roman"/>
        </w:rPr>
        <w:t>no letter of findings issued by or lawsuit filed or joined by the Department of Justice alleging a pattern or practice or systemic violation of a fair housing or civil rights law</w:t>
      </w:r>
      <w:r>
        <w:rPr>
          <w:rFonts w:eastAsia="Times New Roman"/>
        </w:rPr>
        <w:t>. The Commission has no jurisdiction to bring claims other than under the VT Fair Housing and Public Accommodations Act. The Commission will not comment or even acknowledge whether there are pending cases as they are confidential unless or until there is a reasonable grounds finding by the commission.</w:t>
      </w:r>
    </w:p>
    <w:p w14:paraId="6D178F8D" w14:textId="51332707" w:rsidR="00760258" w:rsidRDefault="00760258" w:rsidP="007F28B0">
      <w:pPr>
        <w:spacing w:after="240"/>
        <w:textAlignment w:val="baseline"/>
      </w:pPr>
    </w:p>
    <w:p w14:paraId="208CDDA1" w14:textId="571F3B63" w:rsidR="00C87A95" w:rsidRDefault="00C87A95" w:rsidP="00B32750">
      <w:pPr>
        <w:spacing w:after="240"/>
        <w:textAlignment w:val="baseline"/>
      </w:pPr>
      <w:r>
        <w:t>Our community survey asked respondents if they thought they were treated differently when they were looking for housing. Thirteen percent said yes and the number one reason was race and then age. Other reasons included familial status, Section 8 usage and gender.</w:t>
      </w:r>
    </w:p>
    <w:p w14:paraId="0347ABE1" w14:textId="482C7880" w:rsidR="0062699A" w:rsidRPr="0062699A" w:rsidRDefault="0062699A" w:rsidP="00D30963">
      <w:pPr>
        <w:spacing w:after="240"/>
        <w:ind w:left="360"/>
        <w:textAlignment w:val="baseline"/>
        <w:rPr>
          <w:color w:val="FF0000"/>
        </w:rPr>
      </w:pPr>
    </w:p>
    <w:p w14:paraId="468C79F8" w14:textId="4BF0ABF4" w:rsidR="00D65EF7" w:rsidRPr="00CC04F2" w:rsidRDefault="5F884969" w:rsidP="5F884969">
      <w:pPr>
        <w:ind w:left="360"/>
        <w:rPr>
          <w:b/>
          <w:bCs/>
          <w:i/>
        </w:rPr>
      </w:pPr>
      <w:r w:rsidRPr="00CC04F2">
        <w:rPr>
          <w:b/>
          <w:bCs/>
          <w:i/>
        </w:rPr>
        <w:t>Describe any state or local fair housing laws.  What characteristics are protected under each law?</w:t>
      </w:r>
    </w:p>
    <w:p w14:paraId="113CC229" w14:textId="71AD7290" w:rsidR="00731C08" w:rsidRDefault="5F884969" w:rsidP="00731C08">
      <w:pPr>
        <w:tabs>
          <w:tab w:val="left" w:pos="540"/>
        </w:tabs>
        <w:spacing w:after="0"/>
        <w:ind w:left="360"/>
      </w:pPr>
      <w:r>
        <w:t>Vermont’s Fair Housing and Public Accommodations Act (FHPA), 9 V.S.A. §4500 et seq., prohibits discrimination on every bases barred by the federal Fair Housing Act plus these additional bases:</w:t>
      </w:r>
    </w:p>
    <w:p w14:paraId="62F158E3" w14:textId="77777777" w:rsidR="00731C08" w:rsidRDefault="5F884969" w:rsidP="009A2CF5">
      <w:pPr>
        <w:pStyle w:val="ListParagraph"/>
        <w:numPr>
          <w:ilvl w:val="0"/>
          <w:numId w:val="27"/>
        </w:numPr>
        <w:tabs>
          <w:tab w:val="left" w:pos="540"/>
        </w:tabs>
        <w:spacing w:after="0"/>
      </w:pPr>
      <w:r>
        <w:t>Age</w:t>
      </w:r>
    </w:p>
    <w:p w14:paraId="5FEBECEE" w14:textId="77777777" w:rsidR="00731C08" w:rsidRDefault="5F884969" w:rsidP="009A2CF5">
      <w:pPr>
        <w:pStyle w:val="ListParagraph"/>
        <w:numPr>
          <w:ilvl w:val="0"/>
          <w:numId w:val="27"/>
        </w:numPr>
        <w:tabs>
          <w:tab w:val="left" w:pos="540"/>
        </w:tabs>
        <w:spacing w:after="0"/>
      </w:pPr>
      <w:r>
        <w:t>Marital status</w:t>
      </w:r>
    </w:p>
    <w:p w14:paraId="78ED58F3" w14:textId="77777777" w:rsidR="00731C08" w:rsidRDefault="5F884969" w:rsidP="009A2CF5">
      <w:pPr>
        <w:pStyle w:val="ListParagraph"/>
        <w:numPr>
          <w:ilvl w:val="0"/>
          <w:numId w:val="27"/>
        </w:numPr>
        <w:tabs>
          <w:tab w:val="left" w:pos="540"/>
        </w:tabs>
        <w:spacing w:after="0"/>
      </w:pPr>
      <w:r>
        <w:t>Sexual orientation</w:t>
      </w:r>
    </w:p>
    <w:p w14:paraId="447A5119" w14:textId="77777777" w:rsidR="00731C08" w:rsidRDefault="5F884969" w:rsidP="009A2CF5">
      <w:pPr>
        <w:pStyle w:val="ListParagraph"/>
        <w:numPr>
          <w:ilvl w:val="0"/>
          <w:numId w:val="27"/>
        </w:numPr>
        <w:tabs>
          <w:tab w:val="left" w:pos="540"/>
        </w:tabs>
        <w:spacing w:after="0"/>
      </w:pPr>
      <w:r>
        <w:t>Gender Identity</w:t>
      </w:r>
    </w:p>
    <w:p w14:paraId="2385F870" w14:textId="77777777" w:rsidR="00731C08" w:rsidRDefault="5F884969" w:rsidP="009A2CF5">
      <w:pPr>
        <w:pStyle w:val="ListParagraph"/>
        <w:numPr>
          <w:ilvl w:val="0"/>
          <w:numId w:val="27"/>
        </w:numPr>
        <w:tabs>
          <w:tab w:val="left" w:pos="540"/>
        </w:tabs>
        <w:spacing w:after="0"/>
      </w:pPr>
      <w:r>
        <w:t>Receipt of public assistance</w:t>
      </w:r>
    </w:p>
    <w:p w14:paraId="659897AF" w14:textId="77777777" w:rsidR="00731C08" w:rsidRDefault="00731C08" w:rsidP="00731C08">
      <w:pPr>
        <w:tabs>
          <w:tab w:val="left" w:pos="540"/>
        </w:tabs>
        <w:spacing w:after="0"/>
      </w:pPr>
    </w:p>
    <w:p w14:paraId="29FFFADA" w14:textId="744C2B69" w:rsidR="00731C08" w:rsidRDefault="00731C08" w:rsidP="00B56A3D">
      <w:pPr>
        <w:tabs>
          <w:tab w:val="left" w:pos="540"/>
        </w:tabs>
        <w:spacing w:after="0"/>
        <w:ind w:left="360"/>
      </w:pPr>
      <w:r>
        <w:t xml:space="preserve">The FHPA also bars land use decisions based on the income of the people who will occupy housing. </w:t>
      </w:r>
    </w:p>
    <w:p w14:paraId="5C4754B6" w14:textId="77777777" w:rsidR="00731C08" w:rsidRDefault="00731C08" w:rsidP="00731C08">
      <w:pPr>
        <w:tabs>
          <w:tab w:val="left" w:pos="540"/>
        </w:tabs>
        <w:spacing w:after="0"/>
      </w:pPr>
    </w:p>
    <w:p w14:paraId="3789A9F4" w14:textId="2610E604" w:rsidR="00731C08" w:rsidRDefault="5F884969" w:rsidP="00B56A3D">
      <w:pPr>
        <w:tabs>
          <w:tab w:val="left" w:pos="540"/>
        </w:tabs>
        <w:spacing w:after="0"/>
        <w:ind w:left="360"/>
      </w:pPr>
      <w:r>
        <w:t>Burlington’s Housing Discrimination ordinance, Chapter 18, Article IV, 18-200 et seq., bars discrimination in housing against a person because of that person’s:</w:t>
      </w:r>
    </w:p>
    <w:p w14:paraId="3749B555" w14:textId="77777777" w:rsidR="00731C08" w:rsidRDefault="5F884969" w:rsidP="009A2CF5">
      <w:pPr>
        <w:pStyle w:val="ListParagraph"/>
        <w:numPr>
          <w:ilvl w:val="0"/>
          <w:numId w:val="27"/>
        </w:numPr>
        <w:tabs>
          <w:tab w:val="left" w:pos="540"/>
        </w:tabs>
        <w:spacing w:after="0"/>
      </w:pPr>
      <w:r>
        <w:t>Handicap;</w:t>
      </w:r>
    </w:p>
    <w:p w14:paraId="21BE407E" w14:textId="77777777" w:rsidR="00731C08" w:rsidRDefault="5F884969" w:rsidP="009A2CF5">
      <w:pPr>
        <w:pStyle w:val="ListParagraph"/>
        <w:numPr>
          <w:ilvl w:val="0"/>
          <w:numId w:val="27"/>
        </w:numPr>
        <w:tabs>
          <w:tab w:val="left" w:pos="540"/>
        </w:tabs>
        <w:spacing w:after="0"/>
      </w:pPr>
      <w:r>
        <w:t>Reliance upon aids such as attendants, dog guides or other specially trained animals, wheelchairs, or similar appliances or devices;</w:t>
      </w:r>
    </w:p>
    <w:p w14:paraId="1ABCE79C" w14:textId="77777777" w:rsidR="00731C08" w:rsidRDefault="5F884969" w:rsidP="009A2CF5">
      <w:pPr>
        <w:pStyle w:val="ListParagraph"/>
        <w:numPr>
          <w:ilvl w:val="0"/>
          <w:numId w:val="27"/>
        </w:numPr>
        <w:tabs>
          <w:tab w:val="left" w:pos="540"/>
        </w:tabs>
        <w:spacing w:after="0"/>
      </w:pPr>
      <w:r>
        <w:t>Intent to occupy a rental unit with one or more minor children;</w:t>
      </w:r>
    </w:p>
    <w:p w14:paraId="6B448C2A" w14:textId="77777777" w:rsidR="00DC2F1F" w:rsidRDefault="5F884969" w:rsidP="009A2CF5">
      <w:pPr>
        <w:pStyle w:val="ListParagraph"/>
        <w:numPr>
          <w:ilvl w:val="0"/>
          <w:numId w:val="27"/>
        </w:numPr>
        <w:tabs>
          <w:tab w:val="left" w:pos="540"/>
        </w:tabs>
        <w:spacing w:after="0"/>
      </w:pPr>
      <w:r>
        <w:t>Receipt of public assistance;</w:t>
      </w:r>
    </w:p>
    <w:p w14:paraId="3FC21A7F" w14:textId="77777777" w:rsidR="00DC2F1F" w:rsidRDefault="5F884969" w:rsidP="009A2CF5">
      <w:pPr>
        <w:pStyle w:val="ListParagraph"/>
        <w:numPr>
          <w:ilvl w:val="0"/>
          <w:numId w:val="27"/>
        </w:numPr>
        <w:tabs>
          <w:tab w:val="left" w:pos="540"/>
        </w:tabs>
        <w:spacing w:after="0"/>
      </w:pPr>
      <w:r>
        <w:t>sexual preference;</w:t>
      </w:r>
    </w:p>
    <w:p w14:paraId="147F6211" w14:textId="77777777" w:rsidR="00DC2F1F" w:rsidRDefault="5F884969" w:rsidP="009A2CF5">
      <w:pPr>
        <w:pStyle w:val="ListParagraph"/>
        <w:numPr>
          <w:ilvl w:val="0"/>
          <w:numId w:val="27"/>
        </w:numPr>
        <w:tabs>
          <w:tab w:val="left" w:pos="540"/>
        </w:tabs>
        <w:spacing w:after="0"/>
      </w:pPr>
      <w:r>
        <w:t>age; or</w:t>
      </w:r>
    </w:p>
    <w:p w14:paraId="75E1D72D" w14:textId="77777777" w:rsidR="00DC2F1F" w:rsidRDefault="5F884969" w:rsidP="009A2CF5">
      <w:pPr>
        <w:pStyle w:val="ListParagraph"/>
        <w:numPr>
          <w:ilvl w:val="0"/>
          <w:numId w:val="27"/>
        </w:numPr>
        <w:tabs>
          <w:tab w:val="left" w:pos="540"/>
        </w:tabs>
        <w:spacing w:after="0"/>
      </w:pPr>
      <w:proofErr w:type="gramStart"/>
      <w:r>
        <w:t>gender</w:t>
      </w:r>
      <w:proofErr w:type="gramEnd"/>
      <w:r>
        <w:t>.</w:t>
      </w:r>
    </w:p>
    <w:p w14:paraId="4AA3C156" w14:textId="77777777" w:rsidR="00731C08" w:rsidRPr="00CC04F2" w:rsidRDefault="00731C08" w:rsidP="00DC2F1F">
      <w:pPr>
        <w:tabs>
          <w:tab w:val="left" w:pos="540"/>
        </w:tabs>
        <w:spacing w:after="0"/>
        <w:rPr>
          <w:i/>
        </w:rPr>
      </w:pPr>
    </w:p>
    <w:p w14:paraId="1249F2F3" w14:textId="7BBA6935" w:rsidR="00D65EF7" w:rsidRPr="00CC04F2" w:rsidRDefault="5F884969" w:rsidP="5F884969">
      <w:pPr>
        <w:ind w:left="360"/>
        <w:rPr>
          <w:b/>
          <w:bCs/>
          <w:i/>
        </w:rPr>
      </w:pPr>
      <w:r w:rsidRPr="00CC04F2">
        <w:rPr>
          <w:b/>
          <w:bCs/>
          <w:i/>
        </w:rPr>
        <w:t>Identify any local and regional agencies and organizations that provide fair housing information, outreach, and enforcement, including their capacity and the resources available to them.</w:t>
      </w:r>
    </w:p>
    <w:p w14:paraId="479B6D31" w14:textId="28280F1B" w:rsidR="00DC2F1F" w:rsidRDefault="00DC2F1F" w:rsidP="00DC2F1F">
      <w:pPr>
        <w:tabs>
          <w:tab w:val="left" w:pos="540"/>
        </w:tabs>
        <w:spacing w:after="0"/>
        <w:ind w:left="360"/>
      </w:pPr>
      <w:proofErr w:type="gramStart"/>
      <w:r>
        <w:t>a.  The</w:t>
      </w:r>
      <w:proofErr w:type="gramEnd"/>
      <w:r>
        <w:t xml:space="preserve"> Vermont Human Rights Commission (HRC) is a state commission of five commissioners appointed by the governor. The HRC has an executive director, three law examiners, and an executive staff assistant. The HRC receives a FHAP grant from HUD and investigates charges of housing discrimination referred to it by HUD or filed directly by the complainant at the HRC.  </w:t>
      </w:r>
      <w:hyperlink r:id="rId75" w:history="1">
        <w:r w:rsidRPr="0079735E">
          <w:rPr>
            <w:rStyle w:val="Hyperlink"/>
          </w:rPr>
          <w:t>http://hrc.vermont.gov/about-us</w:t>
        </w:r>
      </w:hyperlink>
      <w:r>
        <w:t xml:space="preserve"> </w:t>
      </w:r>
    </w:p>
    <w:p w14:paraId="23D84086" w14:textId="77777777" w:rsidR="0062699A" w:rsidRDefault="0062699A" w:rsidP="00DC2F1F">
      <w:pPr>
        <w:tabs>
          <w:tab w:val="left" w:pos="540"/>
        </w:tabs>
        <w:spacing w:after="0"/>
        <w:ind w:left="360"/>
      </w:pPr>
    </w:p>
    <w:p w14:paraId="30B8C219" w14:textId="71BA6EF0" w:rsidR="00DC2F1F" w:rsidRDefault="0062699A" w:rsidP="0062699A">
      <w:pPr>
        <w:tabs>
          <w:tab w:val="left" w:pos="540"/>
        </w:tabs>
        <w:spacing w:after="0"/>
        <w:ind w:left="360"/>
      </w:pPr>
      <w:proofErr w:type="gramStart"/>
      <w:r>
        <w:t xml:space="preserve">b. </w:t>
      </w:r>
      <w:r w:rsidR="00DC2F1F">
        <w:t>Vermont</w:t>
      </w:r>
      <w:proofErr w:type="gramEnd"/>
      <w:r w:rsidR="00DC2F1F">
        <w:t xml:space="preserve"> Legal Aid (VLA) is a nonprofit, statewide, civil legal services program that provides legal advice and representation in civil matters. VLA receives a FHIP (Fair Housing Initiatives Program) grant from HUD which funds the Housing Discrimination Law Project. The HDLP is staffed by a director attorney, a testing coordinator, and a staff attorney as well as shared clerical, web, and management support. The HDLP gives fair housing complainants legal advice, drafts pro se documents, and represents plaintiffs in federal and state court and before HUD and the HRC. The testing coordinator conducts both complaint-based and audit/systemic fair housing testing. The HDLP also advocate with state and local officials for inclusionary zoning and affordable housing in high opportunity areas. The HDLP writes legal information and forms about housing discrimination content to the </w:t>
      </w:r>
      <w:hyperlink r:id="rId76" w:history="1">
        <w:r w:rsidR="00DC2F1F" w:rsidRPr="0079735E">
          <w:rPr>
            <w:rStyle w:val="Hyperlink"/>
          </w:rPr>
          <w:t>www.vtlawhelp.org</w:t>
        </w:r>
      </w:hyperlink>
      <w:r w:rsidR="00DC2F1F">
        <w:t xml:space="preserve">  website and provides housing discrimination training to VLA and Law Line advocates. </w:t>
      </w:r>
      <w:hyperlink r:id="rId77" w:history="1">
        <w:r w:rsidR="00DC2F1F" w:rsidRPr="0079735E">
          <w:rPr>
            <w:rStyle w:val="Hyperlink"/>
          </w:rPr>
          <w:t>https://vtlawhelp.org/discriminationfair-housing</w:t>
        </w:r>
      </w:hyperlink>
      <w:r w:rsidR="00DC2F1F">
        <w:t xml:space="preserve"> </w:t>
      </w:r>
    </w:p>
    <w:p w14:paraId="3A30139F" w14:textId="77777777" w:rsidR="0062699A" w:rsidRDefault="0062699A" w:rsidP="0062699A">
      <w:pPr>
        <w:ind w:left="360"/>
      </w:pPr>
    </w:p>
    <w:p w14:paraId="3AFB15FE" w14:textId="29C63661" w:rsidR="00DC2F1F" w:rsidRDefault="0062699A" w:rsidP="0062699A">
      <w:pPr>
        <w:tabs>
          <w:tab w:val="left" w:pos="540"/>
        </w:tabs>
        <w:spacing w:after="0"/>
        <w:ind w:left="360"/>
      </w:pPr>
      <w:r>
        <w:t xml:space="preserve">c. </w:t>
      </w:r>
      <w:r w:rsidR="00DC2F1F">
        <w:t xml:space="preserve">Legal Services Law Line of Vermont (Law Line), is a nonprofit, statewide, civil legal services                     program. Law Line provides quick advice and ongoing pro se advice and document writing for people representing themselves in court or in various administrative fora including at the HRC. Law Line also coordinates landlord-tenant legal clinics in three courts. They manage </w:t>
      </w:r>
      <w:hyperlink r:id="rId78" w:history="1">
        <w:r w:rsidR="00DC2F1F" w:rsidRPr="0079735E">
          <w:rPr>
            <w:rStyle w:val="Hyperlink"/>
          </w:rPr>
          <w:t>www.vtlawhelp.org</w:t>
        </w:r>
      </w:hyperlink>
      <w:r w:rsidR="00DC2F1F">
        <w:t xml:space="preserve"> together with VLA.</w:t>
      </w:r>
    </w:p>
    <w:p w14:paraId="183EE7D9" w14:textId="77777777" w:rsidR="0062699A" w:rsidRDefault="0062699A" w:rsidP="0062699A">
      <w:pPr>
        <w:ind w:left="360"/>
      </w:pPr>
    </w:p>
    <w:p w14:paraId="4A24D96B" w14:textId="77777777" w:rsidR="00DC2F1F" w:rsidRPr="00DC2F1F" w:rsidRDefault="5F884969" w:rsidP="0062699A">
      <w:pPr>
        <w:spacing w:after="0" w:line="240" w:lineRule="auto"/>
        <w:ind w:left="360"/>
      </w:pPr>
      <w:r>
        <w:t xml:space="preserve">d. The </w:t>
      </w:r>
      <w:r w:rsidRPr="5F884969">
        <w:rPr>
          <w:u w:val="single"/>
        </w:rPr>
        <w:t xml:space="preserve">Fair Housing Project </w:t>
      </w:r>
      <w:r>
        <w:t xml:space="preserve">of the </w:t>
      </w:r>
      <w:r w:rsidRPr="5F884969">
        <w:rPr>
          <w:u w:val="single"/>
        </w:rPr>
        <w:t xml:space="preserve">Champlain Valley Office of Economic Opportunity </w:t>
      </w:r>
      <w:r>
        <w:t xml:space="preserve">(FHP) is an education and outreach oriented program that focuses primarily on systemic policy and practices which tend to limit fair housing choice by people in federal and state protected classes.  The FHP works with state agencies, municipal agencies and boards, such as local and regional planning commissions and other nonprofit organizations to promote policy </w:t>
      </w:r>
      <w:proofErr w:type="gramStart"/>
      <w:r>
        <w:t>changes  such</w:t>
      </w:r>
      <w:proofErr w:type="gramEnd"/>
      <w:r>
        <w:t xml:space="preserve"> as zoning by-law adjustments which tend to “Affirmatively Further Fair Housing.” Increasing community inclusiveness, housing affordability, and enhanced fair housing opportunity throughout the state is the primary goal of the FHP.</w:t>
      </w:r>
    </w:p>
    <w:p w14:paraId="74FF5AE4" w14:textId="77777777" w:rsidR="00DC2F1F" w:rsidRPr="00DC2F1F" w:rsidRDefault="00DC2F1F" w:rsidP="00DC2F1F">
      <w:pPr>
        <w:spacing w:line="240" w:lineRule="auto"/>
      </w:pPr>
    </w:p>
    <w:p w14:paraId="4569B36C" w14:textId="2ED5A30F" w:rsidR="00652BC9" w:rsidRDefault="5F884969" w:rsidP="0062699A">
      <w:pPr>
        <w:spacing w:line="240" w:lineRule="auto"/>
        <w:ind w:left="360"/>
      </w:pPr>
      <w:r>
        <w:t>The FHP is currently funded almost exclusively by a HUD Education and Outreach (EOI) grant. The FHP is working with organizational partners on a statewide campaign called, “Building a Vibrant Inclusive Vermont.” This campaign is committed to public education and outreach that changes “hearts and minds” as well as public policies. In this current project the FHP’s core partners include: City of Burlington Community &amp; Economic Development Office (CEDO);</w:t>
      </w:r>
      <w:r w:rsidR="00652BC9">
        <w:t xml:space="preserve"> Champlain Housing Trust (CHT)</w:t>
      </w:r>
    </w:p>
    <w:p w14:paraId="02B5A8F4" w14:textId="156D6BD8" w:rsidR="00DC2F1F" w:rsidRPr="00DC2F1F" w:rsidRDefault="5F884969" w:rsidP="0062699A">
      <w:pPr>
        <w:spacing w:line="240" w:lineRule="auto"/>
        <w:ind w:left="360"/>
      </w:pPr>
      <w:r>
        <w:t>Chittenden County Regional Planning Commission (CCRPC); Lamoille Regional Planning Commission (LRPC); Two Rivers-</w:t>
      </w:r>
      <w:proofErr w:type="spellStart"/>
      <w:r>
        <w:t>Ottauquechee</w:t>
      </w:r>
      <w:proofErr w:type="spellEnd"/>
      <w:r>
        <w:t xml:space="preserve"> Regional Commission (TRORC)</w:t>
      </w:r>
      <w:r w:rsidR="00652BC9">
        <w:t>.</w:t>
      </w:r>
    </w:p>
    <w:p w14:paraId="133CA1B0" w14:textId="39F00277" w:rsidR="00D65EF7" w:rsidRDefault="00D65EF7" w:rsidP="00652BC9"/>
    <w:p w14:paraId="37E84CE6" w14:textId="698502FB" w:rsidR="00D65EF7" w:rsidRPr="00D65EF7" w:rsidRDefault="5F884969" w:rsidP="002F7C2E">
      <w:pPr>
        <w:ind w:left="360"/>
        <w:outlineLvl w:val="0"/>
        <w:rPr>
          <w:b/>
          <w:bCs/>
          <w:u w:val="single"/>
        </w:rPr>
      </w:pPr>
      <w:r w:rsidRPr="5F884969">
        <w:rPr>
          <w:b/>
          <w:bCs/>
          <w:u w:val="single"/>
        </w:rPr>
        <w:t>Additional Information</w:t>
      </w:r>
    </w:p>
    <w:p w14:paraId="2ED05524" w14:textId="181CB621" w:rsidR="00D65EF7" w:rsidRPr="00160ED1" w:rsidRDefault="5F884969" w:rsidP="5F884969">
      <w:pPr>
        <w:ind w:left="360"/>
        <w:rPr>
          <w:b/>
          <w:bCs/>
          <w:i/>
        </w:rPr>
      </w:pPr>
      <w:r w:rsidRPr="00160ED1">
        <w:rPr>
          <w:b/>
          <w:bCs/>
          <w:i/>
        </w:rPr>
        <w:t>Provide relevant information, if any, about fair housing enforcement, outreach capacity, and resources in the jurisdiction and region.</w:t>
      </w:r>
    </w:p>
    <w:p w14:paraId="150B5C80" w14:textId="01D9360E" w:rsidR="00B928F1" w:rsidRPr="0062699A" w:rsidRDefault="5F884969" w:rsidP="5F884969">
      <w:pPr>
        <w:pStyle w:val="Default"/>
        <w:ind w:left="360"/>
        <w:rPr>
          <w:rFonts w:ascii="Calibri" w:hAnsi="Calibri"/>
          <w:sz w:val="22"/>
          <w:szCs w:val="22"/>
        </w:rPr>
      </w:pPr>
      <w:r w:rsidRPr="0062699A">
        <w:rPr>
          <w:rFonts w:ascii="Calibri" w:hAnsi="Calibri"/>
          <w:sz w:val="22"/>
          <w:szCs w:val="22"/>
        </w:rPr>
        <w:t xml:space="preserve">VLA regularly conducts outreach and updates its website, </w:t>
      </w:r>
      <w:hyperlink r:id="rId79">
        <w:r w:rsidRPr="0062699A">
          <w:rPr>
            <w:rStyle w:val="Hyperlink"/>
            <w:rFonts w:ascii="Calibri" w:hAnsi="Calibri"/>
            <w:sz w:val="22"/>
            <w:szCs w:val="22"/>
          </w:rPr>
          <w:t>www.vtlawhelp.org</w:t>
        </w:r>
      </w:hyperlink>
      <w:r w:rsidRPr="0062699A">
        <w:rPr>
          <w:rFonts w:ascii="Calibri" w:hAnsi="Calibri"/>
          <w:sz w:val="22"/>
          <w:szCs w:val="22"/>
        </w:rPr>
        <w:t xml:space="preserve">. VLA provides fair housing education through six outreach/education events annually, media interviews, newsletter articles and sharing information via Facebook. </w:t>
      </w:r>
    </w:p>
    <w:p w14:paraId="04FB70DC" w14:textId="77777777" w:rsidR="00B928F1" w:rsidRDefault="00B928F1" w:rsidP="00B928F1">
      <w:pPr>
        <w:pStyle w:val="Default"/>
        <w:ind w:left="360"/>
        <w:rPr>
          <w:sz w:val="22"/>
          <w:szCs w:val="22"/>
        </w:rPr>
      </w:pPr>
    </w:p>
    <w:p w14:paraId="32F5422E" w14:textId="6E78AD5C" w:rsidR="00B928F1" w:rsidRDefault="5F884969" w:rsidP="5F884969">
      <w:pPr>
        <w:spacing w:after="240" w:line="240" w:lineRule="auto"/>
        <w:ind w:left="345"/>
        <w:rPr>
          <w:rFonts w:eastAsia="PMingLiU"/>
        </w:rPr>
      </w:pPr>
      <w:r w:rsidRPr="5F884969">
        <w:rPr>
          <w:rFonts w:eastAsia="PMingLiU"/>
          <w:i/>
          <w:iCs/>
        </w:rPr>
        <w:t xml:space="preserve">The Champlain Valley Office of Economic Opportunity’s FHP, based in Burlington, conducts education and outreach activities through the state of Vermont but has a somewhat higher focus on Chittenden County. </w:t>
      </w:r>
      <w:r w:rsidRPr="5F884969">
        <w:rPr>
          <w:rFonts w:eastAsia="PMingLiU"/>
        </w:rPr>
        <w:t xml:space="preserve">In addition to sponsoring annual activities and outreach during April’s Fair Housing Month, CVOEO hosts a quarterly television show, coordinates themed art exhibits, distributes fair housing guides </w:t>
      </w:r>
      <w:r w:rsidR="0062699A" w:rsidRPr="5F884969">
        <w:rPr>
          <w:rFonts w:eastAsia="PMingLiU"/>
        </w:rPr>
        <w:t>and hosts</w:t>
      </w:r>
      <w:r w:rsidRPr="5F884969">
        <w:rPr>
          <w:rFonts w:eastAsia="PMingLiU"/>
        </w:rPr>
        <w:t xml:space="preserve"> outreach luncheons to realtors.</w:t>
      </w:r>
    </w:p>
    <w:p w14:paraId="709B9AE0" w14:textId="5BF8C0DB" w:rsidR="0021335D" w:rsidRPr="00DC0784" w:rsidRDefault="5F884969" w:rsidP="00DC0784">
      <w:pPr>
        <w:spacing w:after="240" w:line="240" w:lineRule="auto"/>
        <w:ind w:left="345"/>
        <w:rPr>
          <w:rFonts w:eastAsia="PMingLiU"/>
        </w:rPr>
      </w:pPr>
      <w:r>
        <w:t>The Vermont Human Rights Commission (HRC) continues to lead proactive outreach and education efforts to the public. Efforts included a public service announcements on local broadcasting stations. Efforts are expected to continue during FY17 due to additional grant funding from HUD.</w:t>
      </w:r>
    </w:p>
    <w:p w14:paraId="2B738CEF" w14:textId="3A9360BE" w:rsidR="00D65EF7" w:rsidRPr="0021335D" w:rsidRDefault="5F884969" w:rsidP="002F7C2E">
      <w:pPr>
        <w:ind w:left="360"/>
        <w:outlineLvl w:val="0"/>
        <w:rPr>
          <w:b/>
          <w:bCs/>
          <w:u w:val="single"/>
        </w:rPr>
      </w:pPr>
      <w:r w:rsidRPr="5F884969">
        <w:rPr>
          <w:b/>
          <w:bCs/>
          <w:u w:val="single"/>
        </w:rPr>
        <w:lastRenderedPageBreak/>
        <w:t>Fair Housing Enforcement, Outreach Capacity, and Resources Contributing Factors</w:t>
      </w:r>
    </w:p>
    <w:p w14:paraId="620425DF" w14:textId="4FCBB46B" w:rsidR="0021335D" w:rsidRPr="0021335D" w:rsidRDefault="5F884969" w:rsidP="5F884969">
      <w:pPr>
        <w:ind w:left="360"/>
        <w:rPr>
          <w:b/>
          <w:bCs/>
        </w:rPr>
      </w:pPr>
      <w:r w:rsidRPr="5F884969">
        <w:rPr>
          <w:b/>
          <w:bCs/>
          <w:i/>
          <w:iCs/>
        </w:rPr>
        <w:t xml:space="preserve"> </w:t>
      </w:r>
      <w:r w:rsidRPr="5F884969">
        <w:rPr>
          <w:b/>
          <w:bCs/>
        </w:rPr>
        <w:t>Consider the listed factors and any other factors affecting the jurisdiction and region. Identify factors that significantly create, contribute to, perpetuate, or increase the severity of fair housing enforcement, outreach capacity, and resources and the fair housing issues, which are Segregation, RECAPs, Disparities in Access to Opportunity, and Disproportionate Housing Needs. For each significant contributing factor, note which fair housing issue(s) the selected contributing factor impacts.</w:t>
      </w:r>
    </w:p>
    <w:p w14:paraId="7C54082B" w14:textId="77777777" w:rsidR="00C7573C" w:rsidRDefault="5F884969" w:rsidP="009A2CF5">
      <w:pPr>
        <w:pStyle w:val="ColorfulList-Accent11"/>
        <w:numPr>
          <w:ilvl w:val="0"/>
          <w:numId w:val="14"/>
        </w:numPr>
        <w:spacing w:after="240"/>
        <w:ind w:left="1440"/>
        <w:rPr>
          <w:rFonts w:asciiTheme="minorHAnsi" w:hAnsiTheme="minorHAnsi"/>
          <w:b/>
          <w:bCs/>
        </w:rPr>
      </w:pPr>
      <w:r w:rsidRPr="5F884969">
        <w:rPr>
          <w:rFonts w:asciiTheme="minorHAnsi" w:hAnsiTheme="minorHAnsi"/>
          <w:b/>
          <w:bCs/>
        </w:rPr>
        <w:t>Lack of local private fair housing outreach and enforcement</w:t>
      </w:r>
    </w:p>
    <w:p w14:paraId="691C22DA" w14:textId="763084FE" w:rsidR="00227563" w:rsidRDefault="5F884969" w:rsidP="00227563">
      <w:pPr>
        <w:pStyle w:val="ListParagraph"/>
        <w:tabs>
          <w:tab w:val="left" w:pos="540"/>
        </w:tabs>
        <w:spacing w:after="0"/>
        <w:ind w:left="1416"/>
      </w:pPr>
      <w:r>
        <w:t>Although Burlington is home to two agencies who conduct fair housing outreach and enforcement, both programs are based solely on grants to operate. Vermont Legal Aid does not have sufficient resources to conduct testing, bring enforcement actions, or conduct training and outreach. VLA’s current FHIP grant ends in February, 2018. The HUD FHIP grant is the only grant funding HDLP’s work.</w:t>
      </w:r>
    </w:p>
    <w:p w14:paraId="284994C0" w14:textId="77777777" w:rsidR="008B69A7" w:rsidRDefault="008B69A7" w:rsidP="00227563">
      <w:pPr>
        <w:pStyle w:val="ListParagraph"/>
        <w:tabs>
          <w:tab w:val="left" w:pos="540"/>
        </w:tabs>
        <w:spacing w:after="0"/>
        <w:ind w:left="1416"/>
      </w:pPr>
    </w:p>
    <w:p w14:paraId="445C48A7" w14:textId="77777777" w:rsidR="008B69A7" w:rsidRDefault="008B69A7" w:rsidP="00227563">
      <w:pPr>
        <w:pStyle w:val="ListParagraph"/>
        <w:tabs>
          <w:tab w:val="left" w:pos="540"/>
        </w:tabs>
        <w:spacing w:after="0"/>
        <w:ind w:left="1416"/>
      </w:pPr>
    </w:p>
    <w:p w14:paraId="0998EBFC" w14:textId="66A5C8C2" w:rsidR="00227563" w:rsidRPr="00227563" w:rsidRDefault="00227563" w:rsidP="00227563">
      <w:pPr>
        <w:pStyle w:val="ColorfulList-Accent11"/>
        <w:spacing w:after="240"/>
        <w:ind w:left="1440"/>
        <w:rPr>
          <w:rFonts w:asciiTheme="minorHAnsi" w:hAnsiTheme="minorHAnsi"/>
        </w:rPr>
      </w:pPr>
    </w:p>
    <w:p w14:paraId="3ECA44B2" w14:textId="77777777" w:rsidR="00C7573C" w:rsidRDefault="5F884969" w:rsidP="009A2CF5">
      <w:pPr>
        <w:pStyle w:val="ColorfulList-Accent11"/>
        <w:numPr>
          <w:ilvl w:val="0"/>
          <w:numId w:val="14"/>
        </w:numPr>
        <w:spacing w:after="240"/>
        <w:ind w:left="1440"/>
        <w:rPr>
          <w:rFonts w:asciiTheme="minorHAnsi" w:hAnsiTheme="minorHAnsi"/>
          <w:b/>
          <w:bCs/>
        </w:rPr>
      </w:pPr>
      <w:r w:rsidRPr="5F884969">
        <w:rPr>
          <w:rFonts w:asciiTheme="minorHAnsi" w:hAnsiTheme="minorHAnsi"/>
          <w:b/>
          <w:bCs/>
        </w:rPr>
        <w:t>Lack of local public fair housing enforcement</w:t>
      </w:r>
    </w:p>
    <w:p w14:paraId="7771F2AA" w14:textId="69775785" w:rsidR="00227563" w:rsidRPr="00227563" w:rsidRDefault="5F884969" w:rsidP="5F884969">
      <w:pPr>
        <w:pStyle w:val="ColorfulList-Accent11"/>
        <w:spacing w:after="240"/>
        <w:ind w:left="1440"/>
        <w:rPr>
          <w:rFonts w:asciiTheme="minorHAnsi" w:hAnsiTheme="minorHAnsi"/>
        </w:rPr>
      </w:pPr>
      <w:r w:rsidRPr="5F884969">
        <w:rPr>
          <w:rFonts w:asciiTheme="minorHAnsi" w:hAnsiTheme="minorHAnsi"/>
        </w:rPr>
        <w:t>There is no city agency dedicated to enforcing the Fair Housing Act or the State or local fair housing laws.</w:t>
      </w:r>
    </w:p>
    <w:p w14:paraId="68C3C6C3" w14:textId="56F52E3E" w:rsidR="007F3A75" w:rsidRDefault="5F884969" w:rsidP="009A2CF5">
      <w:pPr>
        <w:numPr>
          <w:ilvl w:val="0"/>
          <w:numId w:val="14"/>
        </w:numPr>
        <w:spacing w:after="240" w:line="240" w:lineRule="auto"/>
        <w:ind w:left="1440"/>
        <w:rPr>
          <w:rFonts w:eastAsia="PMingLiU"/>
          <w:b/>
          <w:bCs/>
        </w:rPr>
      </w:pPr>
      <w:r w:rsidRPr="5F884969">
        <w:rPr>
          <w:rFonts w:eastAsia="PMingLiU"/>
          <w:b/>
          <w:bCs/>
        </w:rPr>
        <w:t xml:space="preserve">Other </w:t>
      </w:r>
    </w:p>
    <w:p w14:paraId="1DB570B9" w14:textId="5A645E26" w:rsidR="00854395" w:rsidRDefault="5F884969" w:rsidP="004B7381">
      <w:pPr>
        <w:spacing w:after="240" w:line="240" w:lineRule="auto"/>
        <w:ind w:left="1440"/>
      </w:pPr>
      <w:r>
        <w:t>The most important course of action for Burlington in the realm of AFFH and inclusion is to continue, and consider enhancing, those policies and practices that have tended to help Burlington to proactively affirmatively further fair housing, such as the City’s inclusionary zoning bylaws. Exploring ways of possibly including some more units of affordable housing in certain high property value areas of the City could be worth some thought and study going forward.</w:t>
      </w:r>
    </w:p>
    <w:p w14:paraId="5CE29922" w14:textId="77777777" w:rsidR="00800081" w:rsidRDefault="00800081" w:rsidP="0062699A">
      <w:pPr>
        <w:spacing w:after="240" w:line="240" w:lineRule="auto"/>
        <w:ind w:left="1440"/>
      </w:pPr>
    </w:p>
    <w:p w14:paraId="5D947C58" w14:textId="4B5C3B50" w:rsidR="0048153A" w:rsidRPr="00135AD9" w:rsidRDefault="00DB2051" w:rsidP="002F7C2E">
      <w:pPr>
        <w:pStyle w:val="Heading1"/>
        <w:numPr>
          <w:ilvl w:val="0"/>
          <w:numId w:val="2"/>
        </w:numPr>
        <w:rPr>
          <w:rFonts w:ascii="Garamond" w:hAnsi="Garamond"/>
          <w:b/>
          <w:bCs/>
          <w:sz w:val="26"/>
          <w:szCs w:val="26"/>
        </w:rPr>
      </w:pPr>
      <w:bookmarkStart w:id="47" w:name="Winooski"/>
      <w:r>
        <w:rPr>
          <w:rFonts w:ascii="Garamond" w:hAnsi="Garamond"/>
          <w:b/>
          <w:bCs/>
          <w:sz w:val="26"/>
          <w:szCs w:val="26"/>
        </w:rPr>
        <w:t>Winooski Housing Authority Inserts</w:t>
      </w:r>
    </w:p>
    <w:bookmarkEnd w:id="47"/>
    <w:p w14:paraId="1EA8A4DA" w14:textId="77777777" w:rsidR="00336260" w:rsidRDefault="00336260" w:rsidP="0062699A">
      <w:pPr>
        <w:pStyle w:val="ColorfulList-Accent11"/>
        <w:spacing w:after="240"/>
        <w:ind w:left="0"/>
        <w:textAlignment w:val="baseline"/>
        <w:rPr>
          <w:rFonts w:eastAsia="Times New Roman"/>
        </w:rPr>
      </w:pPr>
    </w:p>
    <w:p w14:paraId="0058B329" w14:textId="1E77A3E4" w:rsidR="00B5749D" w:rsidRPr="008B69A7" w:rsidRDefault="5F884969" w:rsidP="008B69A7">
      <w:pPr>
        <w:pStyle w:val="ColorfulList-Accent11"/>
        <w:spacing w:after="240"/>
        <w:ind w:left="360"/>
        <w:textAlignment w:val="baseline"/>
        <w:rPr>
          <w:i/>
          <w:iCs/>
        </w:rPr>
      </w:pPr>
      <w:r w:rsidRPr="5F884969">
        <w:rPr>
          <w:i/>
          <w:iCs/>
        </w:rPr>
        <w:t xml:space="preserve">This section is only to be completed when a PHA with 1,250 or fewer combined public housing units and housing choice vouchers partners with a Local Government, when the Local Government is the lead entity in the joint or regional Assessment of Fair Housing.  A collaborating PHA’s analysis of fair housing issues in its Assessment of Fair Housing may either be conducted by using this section or sections V.A.-E. </w:t>
      </w:r>
      <w:proofErr w:type="gramStart"/>
      <w:r w:rsidRPr="5F884969">
        <w:rPr>
          <w:i/>
          <w:iCs/>
        </w:rPr>
        <w:t>of</w:t>
      </w:r>
      <w:proofErr w:type="gramEnd"/>
      <w:r w:rsidRPr="5F884969">
        <w:rPr>
          <w:i/>
          <w:iCs/>
        </w:rPr>
        <w:t xml:space="preserve"> the Assessment Tool for its service area and region, along with all other sections in this Assessment Tool, and as directed by</w:t>
      </w:r>
      <w:r w:rsidR="008B69A7">
        <w:rPr>
          <w:i/>
          <w:iCs/>
        </w:rPr>
        <w:t xml:space="preserve"> the questions and instructions</w:t>
      </w:r>
    </w:p>
    <w:p w14:paraId="0BD7B0CD" w14:textId="77777777" w:rsidR="00B5749D" w:rsidRPr="008B69A7" w:rsidRDefault="00B5749D" w:rsidP="008B69A7">
      <w:pPr>
        <w:spacing w:after="0" w:line="240" w:lineRule="auto"/>
        <w:outlineLvl w:val="0"/>
        <w:rPr>
          <w:b/>
          <w:bCs/>
          <w:sz w:val="24"/>
          <w:szCs w:val="24"/>
          <w:u w:val="single"/>
        </w:rPr>
      </w:pPr>
    </w:p>
    <w:p w14:paraId="09494465" w14:textId="77777777" w:rsidR="006C6AC4" w:rsidRDefault="006C6AC4" w:rsidP="0062699A">
      <w:pPr>
        <w:pStyle w:val="ListParagraph"/>
        <w:spacing w:after="0" w:line="240" w:lineRule="auto"/>
        <w:ind w:left="360"/>
        <w:outlineLvl w:val="0"/>
        <w:rPr>
          <w:b/>
          <w:bCs/>
          <w:sz w:val="24"/>
          <w:szCs w:val="24"/>
          <w:u w:val="single"/>
        </w:rPr>
      </w:pPr>
    </w:p>
    <w:p w14:paraId="41F862F5" w14:textId="1CB3F5C1" w:rsidR="00210EF0" w:rsidRPr="00210EF0" w:rsidRDefault="00210EF0" w:rsidP="0062699A">
      <w:pPr>
        <w:pStyle w:val="ListParagraph"/>
        <w:spacing w:after="0" w:line="240" w:lineRule="auto"/>
        <w:ind w:left="360"/>
        <w:outlineLvl w:val="0"/>
        <w:rPr>
          <w:b/>
          <w:bCs/>
          <w:sz w:val="24"/>
          <w:szCs w:val="24"/>
          <w:u w:val="single"/>
        </w:rPr>
      </w:pPr>
      <w:r w:rsidRPr="00210EF0">
        <w:rPr>
          <w:b/>
          <w:bCs/>
          <w:sz w:val="24"/>
          <w:szCs w:val="24"/>
          <w:u w:val="single"/>
        </w:rPr>
        <w:t>Winooski</w:t>
      </w:r>
      <w:r w:rsidR="006C6AC4">
        <w:rPr>
          <w:b/>
          <w:bCs/>
          <w:sz w:val="24"/>
          <w:szCs w:val="24"/>
          <w:u w:val="single"/>
        </w:rPr>
        <w:t xml:space="preserve"> Insert</w:t>
      </w:r>
    </w:p>
    <w:p w14:paraId="385C4C07" w14:textId="5ED40109" w:rsidR="00336260" w:rsidRPr="00D47CDD" w:rsidRDefault="5F884969" w:rsidP="0062699A">
      <w:pPr>
        <w:pStyle w:val="ListParagraph"/>
        <w:spacing w:after="0" w:line="240" w:lineRule="auto"/>
        <w:ind w:left="360"/>
        <w:outlineLvl w:val="0"/>
        <w:rPr>
          <w:b/>
          <w:bCs/>
        </w:rPr>
      </w:pPr>
      <w:r w:rsidRPr="5F884969">
        <w:rPr>
          <w:b/>
          <w:bCs/>
        </w:rPr>
        <w:t>Demographics</w:t>
      </w:r>
    </w:p>
    <w:p w14:paraId="164A6D83" w14:textId="23C5404F" w:rsidR="00336260" w:rsidRPr="00874B99" w:rsidRDefault="5F884969" w:rsidP="0062699A">
      <w:pPr>
        <w:ind w:left="360"/>
      </w:pPr>
      <w:r>
        <w:lastRenderedPageBreak/>
        <w:t xml:space="preserve">Winooski's population has increased 10 percent during the past 15 years, to 7,130 people. The median age dropped from 32.9 to 30.5 between 2000 and 2015. Refugees from the Congo, Somalia, Nepal and Bhutan are among the refugee arrivals over the last decade. About 14.5 percent of Winooski residents are foreign-born, compared to 4.3 percent in Vermont overall. </w:t>
      </w:r>
    </w:p>
    <w:p w14:paraId="4057F33C" w14:textId="77777777" w:rsidR="00336260" w:rsidRPr="00A80BD6" w:rsidRDefault="5F884969" w:rsidP="0062699A">
      <w:pPr>
        <w:pStyle w:val="ListParagraph"/>
        <w:spacing w:after="0" w:line="240" w:lineRule="auto"/>
        <w:ind w:left="360"/>
        <w:outlineLvl w:val="0"/>
        <w:rPr>
          <w:b/>
          <w:bCs/>
        </w:rPr>
      </w:pPr>
      <w:r w:rsidRPr="5F884969">
        <w:rPr>
          <w:b/>
          <w:bCs/>
        </w:rPr>
        <w:t xml:space="preserve">Segregation/Integration </w:t>
      </w:r>
    </w:p>
    <w:p w14:paraId="4C3F7B37" w14:textId="77777777" w:rsidR="00336260" w:rsidRDefault="5F884969" w:rsidP="0062699A">
      <w:pPr>
        <w:pStyle w:val="ListParagraph"/>
        <w:ind w:left="360"/>
      </w:pPr>
      <w:r>
        <w:t>As WHA is in the same CBSA as the Local Government acting as the lead entity for collaboration, the following information applies to WHA’s service area.</w:t>
      </w:r>
    </w:p>
    <w:p w14:paraId="01411D60" w14:textId="77777777" w:rsidR="00336260" w:rsidRDefault="00336260" w:rsidP="0062699A">
      <w:pPr>
        <w:pStyle w:val="ListParagraph"/>
        <w:ind w:left="360"/>
        <w:rPr>
          <w:rFonts w:ascii="Calibri" w:hAnsi="Calibri"/>
        </w:rPr>
      </w:pPr>
    </w:p>
    <w:p w14:paraId="152B095A" w14:textId="77777777" w:rsidR="00336260" w:rsidRPr="00336260" w:rsidRDefault="5F884969" w:rsidP="0062699A">
      <w:pPr>
        <w:pStyle w:val="ListParagraph"/>
        <w:ind w:left="360"/>
        <w:rPr>
          <w:rFonts w:ascii="Calibri" w:hAnsi="Calibri"/>
        </w:rPr>
      </w:pPr>
      <w:r w:rsidRPr="5F884969">
        <w:rPr>
          <w:rFonts w:ascii="Calibri" w:hAnsi="Calibri"/>
        </w:rPr>
        <w:t xml:space="preserve">In the greater Burlington-South Burlington region, racial/ethnic dissimilarity between Non-White and White populations, as well as Hispanic and White populations show low levels of segregation. Dissimilarity between Black and White Populations are, for the first time, considered to be showing “moderate” segregation. The same is true for segregation between Asian or Pacific Islander and White populations. </w:t>
      </w:r>
    </w:p>
    <w:p w14:paraId="2F126F67" w14:textId="77777777" w:rsidR="00336260" w:rsidRPr="00336260" w:rsidRDefault="00336260" w:rsidP="0062699A">
      <w:pPr>
        <w:pStyle w:val="ListParagraph"/>
        <w:ind w:left="360"/>
        <w:rPr>
          <w:rFonts w:ascii="Calibri" w:hAnsi="Calibri"/>
        </w:rPr>
      </w:pPr>
    </w:p>
    <w:p w14:paraId="7148949D" w14:textId="4699AC55" w:rsidR="00336260" w:rsidRPr="00336260" w:rsidRDefault="5F884969" w:rsidP="0062699A">
      <w:pPr>
        <w:pStyle w:val="ListParagraph"/>
        <w:ind w:left="360"/>
        <w:rPr>
          <w:rFonts w:ascii="Calibri" w:hAnsi="Calibri"/>
        </w:rPr>
      </w:pPr>
      <w:r w:rsidRPr="5F884969">
        <w:rPr>
          <w:rFonts w:ascii="Calibri" w:hAnsi="Calibri"/>
        </w:rPr>
        <w:t>As we see within Burlington, the greater Burlington-South Burli</w:t>
      </w:r>
      <w:r w:rsidR="00664F27">
        <w:rPr>
          <w:rFonts w:ascii="Calibri" w:hAnsi="Calibri"/>
        </w:rPr>
        <w:t>ngton region, including Winoosk</w:t>
      </w:r>
      <w:r w:rsidRPr="5F884969">
        <w:rPr>
          <w:rFonts w:ascii="Calibri" w:hAnsi="Calibri"/>
        </w:rPr>
        <w:t>i</w:t>
      </w:r>
      <w:r w:rsidR="00664F27">
        <w:rPr>
          <w:rFonts w:ascii="Calibri" w:hAnsi="Calibri"/>
        </w:rPr>
        <w:t>,</w:t>
      </w:r>
      <w:r w:rsidRPr="5F884969">
        <w:rPr>
          <w:rFonts w:ascii="Calibri" w:hAnsi="Calibri"/>
        </w:rPr>
        <w:t xml:space="preserve"> also shows the highest level of segregation </w:t>
      </w:r>
      <w:r w:rsidR="00664F27">
        <w:rPr>
          <w:rFonts w:ascii="Calibri" w:hAnsi="Calibri"/>
        </w:rPr>
        <w:t xml:space="preserve">between Asian </w:t>
      </w:r>
      <w:proofErr w:type="gramStart"/>
      <w:r w:rsidR="00664F27">
        <w:rPr>
          <w:rFonts w:ascii="Calibri" w:hAnsi="Calibri"/>
        </w:rPr>
        <w:t>or</w:t>
      </w:r>
      <w:proofErr w:type="gramEnd"/>
      <w:r w:rsidR="00664F27">
        <w:rPr>
          <w:rFonts w:ascii="Calibri" w:hAnsi="Calibri"/>
        </w:rPr>
        <w:t xml:space="preserve"> Pacific Islander</w:t>
      </w:r>
      <w:r w:rsidRPr="5F884969">
        <w:rPr>
          <w:rFonts w:ascii="Calibri" w:hAnsi="Calibri"/>
        </w:rPr>
        <w:t xml:space="preserve"> populations, and the lowest segregation levels between Hispanic and White Populations. Dissimilarity is higher overall in the Burlington-South Burlington region when compared to the Burlington jurisdiction.</w:t>
      </w:r>
    </w:p>
    <w:p w14:paraId="087A2ED8" w14:textId="77777777" w:rsidR="00336260" w:rsidRPr="00336260" w:rsidRDefault="00336260" w:rsidP="0062699A">
      <w:pPr>
        <w:pStyle w:val="ListParagraph"/>
        <w:ind w:left="360"/>
        <w:rPr>
          <w:rFonts w:ascii="Calibri" w:hAnsi="Calibri"/>
        </w:rPr>
      </w:pPr>
    </w:p>
    <w:p w14:paraId="5263C5D8" w14:textId="77777777" w:rsidR="00336260" w:rsidRPr="00336260" w:rsidRDefault="5F884969" w:rsidP="0062699A">
      <w:pPr>
        <w:pStyle w:val="ListParagraph"/>
        <w:ind w:left="360"/>
        <w:outlineLvl w:val="0"/>
        <w:rPr>
          <w:rFonts w:ascii="Calibri" w:hAnsi="Calibri"/>
          <w:u w:val="single"/>
        </w:rPr>
      </w:pPr>
      <w:r w:rsidRPr="5F884969">
        <w:rPr>
          <w:rFonts w:ascii="Calibri" w:hAnsi="Calibri"/>
          <w:u w:val="single"/>
        </w:rPr>
        <w:t>Burlington-South Burlington Region Dissimilarity Trends</w:t>
      </w:r>
    </w:p>
    <w:p w14:paraId="091B2AEE" w14:textId="1E5EF36D" w:rsidR="00336260" w:rsidRPr="0062699A" w:rsidRDefault="0062699A" w:rsidP="0062699A">
      <w:pPr>
        <w:ind w:left="360"/>
        <w:rPr>
          <w:rFonts w:ascii="Calibri" w:hAnsi="Calibri"/>
        </w:rPr>
      </w:pPr>
      <w:r>
        <w:rPr>
          <w:rFonts w:ascii="Calibri" w:hAnsi="Calibri"/>
        </w:rPr>
        <w:t xml:space="preserve">Again, refer to figure 16 for a visualization of </w:t>
      </w:r>
      <w:r w:rsidR="006C6AC4">
        <w:rPr>
          <w:rFonts w:ascii="Calibri" w:hAnsi="Calibri"/>
        </w:rPr>
        <w:t>table 13</w:t>
      </w:r>
      <w:r w:rsidR="5F884969" w:rsidRPr="5F884969">
        <w:rPr>
          <w:rFonts w:ascii="Calibri" w:hAnsi="Calibri"/>
        </w:rPr>
        <w:t xml:space="preserve"> data </w:t>
      </w:r>
      <w:r>
        <w:rPr>
          <w:rFonts w:ascii="Calibri" w:hAnsi="Calibri"/>
        </w:rPr>
        <w:t>in the</w:t>
      </w:r>
      <w:r w:rsidR="00A12348">
        <w:rPr>
          <w:rFonts w:ascii="Calibri" w:hAnsi="Calibri"/>
        </w:rPr>
        <w:t xml:space="preserve"> </w:t>
      </w:r>
      <w:r w:rsidR="5F884969" w:rsidRPr="5F884969">
        <w:rPr>
          <w:rFonts w:ascii="Calibri" w:hAnsi="Calibri"/>
        </w:rPr>
        <w:t>Burlington-South Burlington region. The region has also experienced a steady increase in segregation between non-white and white populations since 1990, yet remains in the “low” category. It is expected that a large increase in dissimilarity between 2010 and 2015 at the regional level will be reported. Winooski, similar to Burlington, is home to refugees.  This increase should be watched closely in the next decennial census for verification.</w:t>
      </w:r>
    </w:p>
    <w:p w14:paraId="3176C7ED" w14:textId="77777777" w:rsidR="00336260" w:rsidRDefault="00336260" w:rsidP="00336260">
      <w:pPr>
        <w:pStyle w:val="ListParagraph"/>
        <w:ind w:left="900"/>
      </w:pPr>
    </w:p>
    <w:p w14:paraId="32637EC3" w14:textId="6140DF4E" w:rsidR="002E4413" w:rsidRDefault="5F884969" w:rsidP="0062699A">
      <w:pPr>
        <w:pStyle w:val="ListParagraph"/>
        <w:spacing w:after="0" w:line="240" w:lineRule="auto"/>
        <w:ind w:left="450"/>
        <w:outlineLvl w:val="0"/>
        <w:rPr>
          <w:b/>
          <w:bCs/>
        </w:rPr>
      </w:pPr>
      <w:r w:rsidRPr="5F884969">
        <w:rPr>
          <w:b/>
          <w:bCs/>
        </w:rPr>
        <w:t xml:space="preserve">R/ECAPs </w:t>
      </w:r>
    </w:p>
    <w:p w14:paraId="10C38D8E" w14:textId="77777777" w:rsidR="00D47CDD" w:rsidRPr="00D47CDD" w:rsidRDefault="00D47CDD" w:rsidP="0062699A">
      <w:pPr>
        <w:pStyle w:val="ListParagraph"/>
        <w:spacing w:after="0" w:line="240" w:lineRule="auto"/>
        <w:ind w:left="450"/>
        <w:rPr>
          <w:b/>
          <w:bCs/>
        </w:rPr>
      </w:pPr>
    </w:p>
    <w:p w14:paraId="5C80A33A" w14:textId="77777777" w:rsidR="002E4413" w:rsidRDefault="5F884969" w:rsidP="0062699A">
      <w:pPr>
        <w:ind w:left="450"/>
      </w:pPr>
      <w:r>
        <w:t>As WHA is in the same CBSA as the Local Government acting as the lead entity for collaboration, it is noted that the service area has no R/CAPS.</w:t>
      </w:r>
    </w:p>
    <w:p w14:paraId="25B8BF29" w14:textId="1F13E984" w:rsidR="00336260" w:rsidRPr="00F567FC" w:rsidRDefault="00336260" w:rsidP="00F567FC">
      <w:pPr>
        <w:rPr>
          <w:color w:val="FF0000"/>
        </w:rPr>
      </w:pPr>
    </w:p>
    <w:p w14:paraId="43A3DFB3" w14:textId="77777777" w:rsidR="00336260" w:rsidRDefault="00336260" w:rsidP="0062699A">
      <w:pPr>
        <w:pStyle w:val="ListParagraph"/>
        <w:ind w:left="450"/>
        <w:rPr>
          <w:b/>
        </w:rPr>
      </w:pPr>
    </w:p>
    <w:p w14:paraId="00C99C8A" w14:textId="77777777" w:rsidR="00336260" w:rsidRDefault="5F884969" w:rsidP="0062699A">
      <w:pPr>
        <w:pStyle w:val="ListParagraph"/>
        <w:spacing w:after="0" w:line="240" w:lineRule="auto"/>
        <w:ind w:left="450"/>
        <w:outlineLvl w:val="0"/>
        <w:rPr>
          <w:b/>
          <w:bCs/>
        </w:rPr>
      </w:pPr>
      <w:r w:rsidRPr="5F884969">
        <w:rPr>
          <w:b/>
          <w:bCs/>
        </w:rPr>
        <w:t>Disparities in Access to Opportunity</w:t>
      </w:r>
    </w:p>
    <w:p w14:paraId="51870AB0" w14:textId="77777777" w:rsidR="00336260" w:rsidRDefault="00336260" w:rsidP="0062699A">
      <w:pPr>
        <w:pStyle w:val="ListParagraph"/>
        <w:ind w:left="450"/>
        <w:rPr>
          <w:b/>
        </w:rPr>
      </w:pPr>
    </w:p>
    <w:p w14:paraId="44B1D063" w14:textId="77777777" w:rsidR="00336260" w:rsidRDefault="5F884969" w:rsidP="0062699A">
      <w:pPr>
        <w:pStyle w:val="ListParagraph"/>
        <w:ind w:left="450"/>
      </w:pPr>
      <w:r>
        <w:t>Describe any disparities in access to the following opportunities for households in the service area (and region, if applicable), based on protected class:</w:t>
      </w:r>
    </w:p>
    <w:p w14:paraId="74945215" w14:textId="77777777" w:rsidR="00336260" w:rsidRDefault="00336260" w:rsidP="00336260"/>
    <w:p w14:paraId="391A2860" w14:textId="77777777" w:rsidR="00D47CDD" w:rsidRDefault="00D47CDD" w:rsidP="5F884969">
      <w:pPr>
        <w:ind w:left="1260"/>
        <w:rPr>
          <w:b/>
          <w:bCs/>
        </w:rPr>
      </w:pPr>
    </w:p>
    <w:p w14:paraId="175B9148" w14:textId="77777777" w:rsidR="002E4413" w:rsidRPr="002E4413" w:rsidRDefault="5F884969" w:rsidP="009A70B1">
      <w:pPr>
        <w:ind w:left="450"/>
        <w:outlineLvl w:val="0"/>
        <w:rPr>
          <w:b/>
          <w:bCs/>
        </w:rPr>
      </w:pPr>
      <w:r w:rsidRPr="5F884969">
        <w:rPr>
          <w:b/>
          <w:bCs/>
        </w:rPr>
        <w:t>Educational Opportunities</w:t>
      </w:r>
    </w:p>
    <w:p w14:paraId="40825C99" w14:textId="555A05B6" w:rsidR="002E4413" w:rsidRPr="00D47CDD" w:rsidRDefault="5F884969" w:rsidP="009A70B1">
      <w:pPr>
        <w:ind w:left="450"/>
      </w:pPr>
      <w:r>
        <w:lastRenderedPageBreak/>
        <w:t>Mostly due to a burgeoning refugee community, Winooski's is the only "majority-minority" school district in the state. About 73 percent of the district's students qualify for free and reduced lunch.</w:t>
      </w:r>
    </w:p>
    <w:p w14:paraId="4E8DAC2C" w14:textId="799A02B6" w:rsidR="002E4413" w:rsidRPr="00D47CDD" w:rsidRDefault="5F884969" w:rsidP="009A70B1">
      <w:pPr>
        <w:ind w:left="450"/>
        <w:outlineLvl w:val="0"/>
        <w:rPr>
          <w:b/>
          <w:bCs/>
        </w:rPr>
      </w:pPr>
      <w:r w:rsidRPr="5F884969">
        <w:rPr>
          <w:b/>
          <w:bCs/>
        </w:rPr>
        <w:t>Employment Opportunities</w:t>
      </w:r>
    </w:p>
    <w:p w14:paraId="704B4604" w14:textId="2466FA07" w:rsidR="002E4413" w:rsidRPr="002E4413" w:rsidRDefault="5F884969" w:rsidP="009A70B1">
      <w:pPr>
        <w:widowControl w:val="0"/>
        <w:autoSpaceDE w:val="0"/>
        <w:autoSpaceDN w:val="0"/>
        <w:adjustRightInd w:val="0"/>
        <w:ind w:left="450"/>
        <w:rPr>
          <w:rFonts w:cs="Times"/>
        </w:rPr>
      </w:pPr>
      <w:r w:rsidRPr="5F884969">
        <w:rPr>
          <w:rFonts w:cs="Times"/>
        </w:rPr>
        <w:t>The Vermont Student Assistance Corporation is based in Winooski. Community College of Vermont has a large presence in the city as well. There are numerous restaurants, pubs, micro-breweries and small businesses.</w:t>
      </w:r>
    </w:p>
    <w:p w14:paraId="69A34039" w14:textId="1D92A667" w:rsidR="002E4413" w:rsidRPr="00D47CDD" w:rsidRDefault="5F884969" w:rsidP="009A70B1">
      <w:pPr>
        <w:widowControl w:val="0"/>
        <w:autoSpaceDE w:val="0"/>
        <w:autoSpaceDN w:val="0"/>
        <w:adjustRightInd w:val="0"/>
        <w:ind w:left="450"/>
        <w:rPr>
          <w:rFonts w:cs="Times"/>
          <w:color w:val="000000" w:themeColor="text1"/>
        </w:rPr>
      </w:pPr>
      <w:r w:rsidRPr="5F884969">
        <w:rPr>
          <w:rFonts w:cs="Times"/>
          <w:color w:val="000000" w:themeColor="text1"/>
        </w:rPr>
        <w:t>The labor market engagement index within the greater Burlington-South Burlington region shows, overall, slightly higher access to labor markets when compared to the Burlington jurisdiction. Asian or Pacific Islanders have the highest level of labor market access at the regional level, with 81.4 index points. The Native American population, however, has much lower access to labor markets, with 67.01 index points. The disparity in labor market access between these two groups is higher than that found within Burlington, showing a difference of 14.39 index points.</w:t>
      </w:r>
    </w:p>
    <w:p w14:paraId="5B8D4295" w14:textId="1E067850" w:rsidR="002E4413" w:rsidRPr="00D47CDD" w:rsidRDefault="5F884969" w:rsidP="009A70B1">
      <w:pPr>
        <w:widowControl w:val="0"/>
        <w:autoSpaceDE w:val="0"/>
        <w:autoSpaceDN w:val="0"/>
        <w:adjustRightInd w:val="0"/>
        <w:ind w:left="450"/>
        <w:rPr>
          <w:rFonts w:cs="Times"/>
          <w:color w:val="000000" w:themeColor="text1"/>
        </w:rPr>
      </w:pPr>
      <w:r w:rsidRPr="5F884969">
        <w:rPr>
          <w:rFonts w:cs="Times"/>
          <w:color w:val="000000" w:themeColor="text1"/>
        </w:rPr>
        <w:t>Interestingly, while Asian or Pacific Islanders experience the highest level of labor market access at the regional level, they have the lowest job proximity according to the jobs proximity index, with 52.76 index points. Showing a similar but not quite as dramatic of a reversal, the Native American population had the lowest labor market index rating, but has the second highest jobs proximity index rating, at 62.38 index points. The Hispanic population at the regional level has the highest proximity to jobs with 63.15 index points.</w:t>
      </w:r>
    </w:p>
    <w:p w14:paraId="1C5AE376" w14:textId="035234DB" w:rsidR="002E4413" w:rsidRDefault="5F884969" w:rsidP="009A70B1">
      <w:pPr>
        <w:ind w:left="450"/>
      </w:pPr>
      <w:r>
        <w:t>In the Burlington-South Burlington region, Blacks also have the highest scores on both the Labor Market Engagement Index and Jobs Proximity Index across all races, that is, 82.99 and 55.83, respectively, although there’s not significant variation across the races on these two indices. However, the data does suggest that low-income people in Burlington are closer to jobs than their counterparts in the region, as a whole.</w:t>
      </w:r>
    </w:p>
    <w:p w14:paraId="65D4F2BE" w14:textId="77777777" w:rsidR="002E4413" w:rsidRPr="002E4413" w:rsidRDefault="5F884969" w:rsidP="009A70B1">
      <w:pPr>
        <w:ind w:left="450"/>
        <w:outlineLvl w:val="0"/>
        <w:rPr>
          <w:b/>
          <w:bCs/>
        </w:rPr>
      </w:pPr>
      <w:r w:rsidRPr="5F884969">
        <w:rPr>
          <w:b/>
          <w:bCs/>
        </w:rPr>
        <w:t>Transportation</w:t>
      </w:r>
    </w:p>
    <w:p w14:paraId="564F63E7" w14:textId="03C25C27" w:rsidR="002E4413" w:rsidRPr="00D47CDD" w:rsidRDefault="5F884969" w:rsidP="009A70B1">
      <w:pPr>
        <w:ind w:left="450"/>
      </w:pPr>
      <w:r>
        <w:t>Within the past ten years, Winooski’s downtown core has modernized and upgraded its transportation infrastructure. New wide, pedestrian-friendly sidewalks have been constructed to promote vibrancy on the streetscapes. Traffic patterns have been redesigned to promote greater flow. In addition, city-wide bus service is provided by the Chittenden County Transportation Authority.</w:t>
      </w:r>
    </w:p>
    <w:p w14:paraId="448959A2" w14:textId="5255E630" w:rsidR="002E4413" w:rsidRDefault="5F884969" w:rsidP="009A70B1">
      <w:pPr>
        <w:ind w:left="450"/>
      </w:pPr>
      <w:r>
        <w:t>As WHA is in the same CBSA as the Local Government acting as the lead entity for collaboration, and as the Lead Entity’s answer to this question is also responsive to WHA’s service area.</w:t>
      </w:r>
    </w:p>
    <w:p w14:paraId="644064C1" w14:textId="77777777" w:rsidR="002E4413" w:rsidRDefault="5F884969" w:rsidP="009A70B1">
      <w:pPr>
        <w:pStyle w:val="ListParagraph"/>
        <w:ind w:left="450"/>
      </w:pPr>
      <w:r>
        <w:t>The region as a whole has generally lower scores for the Transit Index. For the total population of the region, the lowest Transit Index score is the Native American population with a score of 35.72 and the highest score is the Black, non-Hispanic population with 54.91. For the population below the poverty line, the highest score is Asian or Pacific Islanders with 61.94 and the lowest is the Hispanic population with a score of 48.31.</w:t>
      </w:r>
    </w:p>
    <w:p w14:paraId="15663634" w14:textId="77777777" w:rsidR="002E4413" w:rsidRPr="000F35CC" w:rsidRDefault="002E4413" w:rsidP="009A70B1">
      <w:pPr>
        <w:pStyle w:val="ListParagraph"/>
        <w:ind w:left="450"/>
      </w:pPr>
    </w:p>
    <w:p w14:paraId="0D3A268F" w14:textId="77777777" w:rsidR="002E4413" w:rsidRDefault="5F884969" w:rsidP="009A70B1">
      <w:pPr>
        <w:pStyle w:val="ListParagraph"/>
        <w:ind w:left="450"/>
      </w:pPr>
      <w:r>
        <w:t xml:space="preserve">The scores for the Low Transportation Cost Index are generally lower and show greater variance in the region as a whole than it is in Burlington. For the total population, the highest score was 74.47 </w:t>
      </w:r>
      <w:r>
        <w:lastRenderedPageBreak/>
        <w:t xml:space="preserve">(Black, non-Hispanic) and the lowest score was 58.60 (Native American). For populations below the poverty line, the highest score was 79.71 for the Asian population and the lowest score was 67.64 for the Hispanic population. </w:t>
      </w:r>
    </w:p>
    <w:p w14:paraId="0AE6023C" w14:textId="77777777" w:rsidR="002E4413" w:rsidRDefault="002E4413" w:rsidP="009A70B1">
      <w:pPr>
        <w:pStyle w:val="ListParagraph"/>
        <w:ind w:left="450"/>
      </w:pPr>
    </w:p>
    <w:p w14:paraId="34F079CF" w14:textId="77777777" w:rsidR="002E4413" w:rsidRPr="002E4413" w:rsidRDefault="5F884969" w:rsidP="009A70B1">
      <w:pPr>
        <w:pStyle w:val="ListParagraph"/>
        <w:ind w:left="450"/>
        <w:outlineLvl w:val="0"/>
        <w:rPr>
          <w:b/>
          <w:bCs/>
        </w:rPr>
      </w:pPr>
      <w:r w:rsidRPr="5F884969">
        <w:rPr>
          <w:b/>
          <w:bCs/>
        </w:rPr>
        <w:t>Low Poverty Exposure</w:t>
      </w:r>
    </w:p>
    <w:p w14:paraId="087DD504" w14:textId="77777777" w:rsidR="002E4413" w:rsidRPr="002E4413" w:rsidRDefault="002E4413" w:rsidP="009A70B1">
      <w:pPr>
        <w:pStyle w:val="ListParagraph"/>
        <w:ind w:left="450"/>
        <w:rPr>
          <w:b/>
        </w:rPr>
      </w:pPr>
    </w:p>
    <w:p w14:paraId="5E61B39F" w14:textId="77777777" w:rsidR="002E4413" w:rsidRDefault="5F884969" w:rsidP="009A70B1">
      <w:pPr>
        <w:pStyle w:val="ListParagraph"/>
        <w:ind w:left="450"/>
      </w:pPr>
      <w:r>
        <w:t>As WHA is in the same CBSA as the Local Government acting as the lead entity for collaboration, and as the Lead Entity’s answer to this question is also responsive to WHA’s service area.</w:t>
      </w:r>
    </w:p>
    <w:p w14:paraId="6534CB4D" w14:textId="77777777" w:rsidR="002E4413" w:rsidRPr="002E4413" w:rsidRDefault="002E4413" w:rsidP="009A70B1">
      <w:pPr>
        <w:pStyle w:val="ListParagraph"/>
        <w:widowControl w:val="0"/>
        <w:autoSpaceDE w:val="0"/>
        <w:autoSpaceDN w:val="0"/>
        <w:adjustRightInd w:val="0"/>
        <w:ind w:left="450"/>
        <w:rPr>
          <w:rFonts w:ascii="Calibri" w:hAnsi="Calibri" w:cs="Times"/>
          <w:color w:val="000000"/>
        </w:rPr>
      </w:pPr>
    </w:p>
    <w:p w14:paraId="3568426F" w14:textId="77777777" w:rsidR="002E4413" w:rsidRPr="002E4413" w:rsidRDefault="5F884969" w:rsidP="009A70B1">
      <w:pPr>
        <w:pStyle w:val="ListParagraph"/>
        <w:widowControl w:val="0"/>
        <w:autoSpaceDE w:val="0"/>
        <w:autoSpaceDN w:val="0"/>
        <w:adjustRightInd w:val="0"/>
        <w:ind w:left="450"/>
        <w:rPr>
          <w:rFonts w:ascii="Calibri" w:hAnsi="Calibri" w:cs="Times"/>
          <w:color w:val="000000" w:themeColor="text1"/>
        </w:rPr>
      </w:pPr>
      <w:r w:rsidRPr="5F884969">
        <w:rPr>
          <w:rFonts w:ascii="Calibri" w:hAnsi="Calibri" w:cs="Times"/>
          <w:color w:val="000000" w:themeColor="text1"/>
        </w:rPr>
        <w:t>Within the Burlington-South Burlington region, there is less exposure to poverty, in general, when compared to poverty levels within Burlington. However, disparity in exposure to poverty among populations based on racial and ethnic differences are slightly higher in the region than compared to the Burlington jurisdiction. Again, the White population experiences the least exposure to poverty with 68.23 index points, and the Black population has the highest exposure to poverty with 52.54 points. Native American, Asian or Pacific Islander, and Hispanic populations’ exposure to poverty fall in between those two groups, with 57.17, 62.69, and 64.34 index points, respectively.</w:t>
      </w:r>
    </w:p>
    <w:p w14:paraId="7BC960A8" w14:textId="77777777" w:rsidR="002E4413" w:rsidRPr="002E4413" w:rsidRDefault="002E4413" w:rsidP="009A70B1">
      <w:pPr>
        <w:pStyle w:val="ListParagraph"/>
        <w:widowControl w:val="0"/>
        <w:autoSpaceDE w:val="0"/>
        <w:autoSpaceDN w:val="0"/>
        <w:adjustRightInd w:val="0"/>
        <w:ind w:left="450"/>
        <w:rPr>
          <w:rFonts w:ascii="Calibri" w:hAnsi="Calibri" w:cs="Times"/>
          <w:color w:val="000000"/>
        </w:rPr>
      </w:pPr>
    </w:p>
    <w:p w14:paraId="778E000B" w14:textId="77777777" w:rsidR="002E4413" w:rsidRPr="002E4413" w:rsidRDefault="5F884969" w:rsidP="009A70B1">
      <w:pPr>
        <w:pStyle w:val="ListParagraph"/>
        <w:widowControl w:val="0"/>
        <w:autoSpaceDE w:val="0"/>
        <w:autoSpaceDN w:val="0"/>
        <w:adjustRightInd w:val="0"/>
        <w:ind w:left="450"/>
        <w:rPr>
          <w:rFonts w:ascii="Calibri" w:hAnsi="Calibri" w:cs="Times"/>
        </w:rPr>
      </w:pPr>
      <w:r w:rsidRPr="5F884969">
        <w:rPr>
          <w:rFonts w:ascii="Calibri" w:hAnsi="Calibri" w:cs="Times"/>
        </w:rPr>
        <w:t xml:space="preserve">It is important to note however, the poverty rate of Winooski is comparable to Burlington and 25% of the population accesses food stamps. </w:t>
      </w:r>
    </w:p>
    <w:p w14:paraId="1DA49F4F" w14:textId="77777777" w:rsidR="002E4413" w:rsidRPr="002E4413" w:rsidRDefault="002E4413" w:rsidP="009A70B1">
      <w:pPr>
        <w:pStyle w:val="ListParagraph"/>
        <w:widowControl w:val="0"/>
        <w:autoSpaceDE w:val="0"/>
        <w:autoSpaceDN w:val="0"/>
        <w:adjustRightInd w:val="0"/>
        <w:ind w:left="450"/>
        <w:rPr>
          <w:rFonts w:ascii="Calibri" w:hAnsi="Calibri" w:cs="Times"/>
          <w:b/>
        </w:rPr>
      </w:pPr>
    </w:p>
    <w:p w14:paraId="4F80502C" w14:textId="77777777" w:rsidR="002E4413" w:rsidRPr="002E4413" w:rsidRDefault="5F884969" w:rsidP="009A70B1">
      <w:pPr>
        <w:pStyle w:val="ListParagraph"/>
        <w:widowControl w:val="0"/>
        <w:autoSpaceDE w:val="0"/>
        <w:autoSpaceDN w:val="0"/>
        <w:adjustRightInd w:val="0"/>
        <w:ind w:left="450"/>
        <w:outlineLvl w:val="0"/>
        <w:rPr>
          <w:rFonts w:ascii="Calibri" w:hAnsi="Calibri" w:cs="Times"/>
          <w:b/>
          <w:bCs/>
        </w:rPr>
      </w:pPr>
      <w:r w:rsidRPr="5F884969">
        <w:rPr>
          <w:rFonts w:ascii="Calibri" w:hAnsi="Calibri" w:cs="Times"/>
          <w:b/>
          <w:bCs/>
        </w:rPr>
        <w:t>Environmentally Healthy Neighborhoods</w:t>
      </w:r>
    </w:p>
    <w:p w14:paraId="089083DA" w14:textId="77777777" w:rsidR="002E4413" w:rsidRDefault="002E4413" w:rsidP="009A70B1">
      <w:pPr>
        <w:pStyle w:val="ListParagraph"/>
        <w:ind w:left="450"/>
      </w:pPr>
    </w:p>
    <w:p w14:paraId="5BFD6D97" w14:textId="446C9BBD" w:rsidR="002E4413" w:rsidRPr="00D47CDD" w:rsidRDefault="5F884969" w:rsidP="009A70B1">
      <w:pPr>
        <w:pStyle w:val="ListParagraph"/>
        <w:ind w:left="450"/>
      </w:pPr>
      <w:r>
        <w:t>As WHA is in the same CBSA as the Local Government acting as the lead entity for collaboration, and as the Lead Entity’s answer to this question is also responsive to WHA’s service area.</w:t>
      </w:r>
    </w:p>
    <w:p w14:paraId="6160E7EC" w14:textId="159F8A30" w:rsidR="002E4413" w:rsidRPr="00D47CDD" w:rsidRDefault="5F884969" w:rsidP="009A70B1">
      <w:pPr>
        <w:widowControl w:val="0"/>
        <w:autoSpaceDE w:val="0"/>
        <w:autoSpaceDN w:val="0"/>
        <w:adjustRightInd w:val="0"/>
        <w:ind w:left="450"/>
        <w:rPr>
          <w:rFonts w:cs="Times"/>
          <w:color w:val="000000" w:themeColor="text1"/>
        </w:rPr>
      </w:pPr>
      <w:r w:rsidRPr="5F884969">
        <w:rPr>
          <w:rFonts w:cs="Times"/>
          <w:color w:val="000000" w:themeColor="text1"/>
        </w:rPr>
        <w:t>There is more disparity among racial/ethnic groups’ access to environmentally healthy neighborhoods within the greater Burlington-South Burlington region than within the Burlington Jurisdiction. In contrast to Burlington, the Native American population at the regional level has the highest access to environmentally friendly neighborhoods, with 87.49 index points. The white population has the second highest access to environmentally healthy neighborhoods, with 85.45 index points. The Black population, in a complete reversal from the Burlington jurisdiction, has the lowest access to environmentally health areas with 72.33 index points. Overall disparity is moderate regionally, spanning 13.12 index points.</w:t>
      </w:r>
    </w:p>
    <w:p w14:paraId="738E5CF6" w14:textId="0A482F3D" w:rsidR="00512E5B" w:rsidRPr="008B69A7" w:rsidRDefault="5F884969" w:rsidP="008B69A7">
      <w:pPr>
        <w:widowControl w:val="0"/>
        <w:autoSpaceDE w:val="0"/>
        <w:autoSpaceDN w:val="0"/>
        <w:adjustRightInd w:val="0"/>
        <w:ind w:left="450"/>
        <w:rPr>
          <w:rFonts w:cs="Times"/>
          <w:color w:val="000000" w:themeColor="text1"/>
        </w:rPr>
      </w:pPr>
      <w:r w:rsidRPr="5F884969">
        <w:rPr>
          <w:rFonts w:cs="Times"/>
          <w:color w:val="000000" w:themeColor="text1"/>
        </w:rPr>
        <w:t>With the closure of Winooski’s outdoor municipal pool, an important recreational/wellness resource has been lost. The city is working on addressing this challenge.  In addition, given Winooski’s long history in manufacturing, some sites have issues with moderate levels of soils contamination</w:t>
      </w:r>
      <w:r w:rsidR="008B69A7">
        <w:rPr>
          <w:rFonts w:cs="Times"/>
          <w:color w:val="000000" w:themeColor="text1"/>
        </w:rPr>
        <w:t>.</w:t>
      </w:r>
    </w:p>
    <w:p w14:paraId="379137D0" w14:textId="77777777" w:rsidR="00512E5B" w:rsidRDefault="00512E5B" w:rsidP="009A70B1">
      <w:pPr>
        <w:pStyle w:val="ListParagraph"/>
        <w:spacing w:after="0" w:line="240" w:lineRule="auto"/>
        <w:ind w:left="450"/>
        <w:outlineLvl w:val="0"/>
        <w:rPr>
          <w:b/>
          <w:bCs/>
        </w:rPr>
      </w:pPr>
    </w:p>
    <w:p w14:paraId="5916F683" w14:textId="77777777" w:rsidR="00512E5B" w:rsidRDefault="00512E5B" w:rsidP="009A70B1">
      <w:pPr>
        <w:pStyle w:val="ListParagraph"/>
        <w:spacing w:after="0" w:line="240" w:lineRule="auto"/>
        <w:ind w:left="450"/>
        <w:outlineLvl w:val="0"/>
        <w:rPr>
          <w:b/>
          <w:bCs/>
        </w:rPr>
      </w:pPr>
    </w:p>
    <w:p w14:paraId="312829B9" w14:textId="77777777" w:rsidR="00336260" w:rsidRDefault="5F884969" w:rsidP="009A70B1">
      <w:pPr>
        <w:pStyle w:val="ListParagraph"/>
        <w:spacing w:after="0" w:line="240" w:lineRule="auto"/>
        <w:ind w:left="450"/>
        <w:outlineLvl w:val="0"/>
        <w:rPr>
          <w:b/>
          <w:bCs/>
        </w:rPr>
      </w:pPr>
      <w:r w:rsidRPr="5F884969">
        <w:rPr>
          <w:b/>
          <w:bCs/>
        </w:rPr>
        <w:t>Disproportionate Housing Needs</w:t>
      </w:r>
    </w:p>
    <w:p w14:paraId="6CD57EDD" w14:textId="77777777" w:rsidR="00336260" w:rsidRDefault="00336260" w:rsidP="009A70B1">
      <w:pPr>
        <w:pStyle w:val="ListParagraph"/>
        <w:ind w:left="450"/>
      </w:pPr>
    </w:p>
    <w:p w14:paraId="5570CA43" w14:textId="77777777" w:rsidR="00336260" w:rsidRPr="00512E5B" w:rsidRDefault="5F884969" w:rsidP="009A70B1">
      <w:pPr>
        <w:pStyle w:val="ListParagraph"/>
        <w:ind w:left="450"/>
        <w:rPr>
          <w:b/>
          <w:i/>
        </w:rPr>
      </w:pPr>
      <w:r w:rsidRPr="00512E5B">
        <w:rPr>
          <w:b/>
          <w:i/>
        </w:rPr>
        <w:t xml:space="preserve">Describe which protected class groups in the PHA’s service area (and region, if applicable) experience higher rates of housing problems (housing cost burden, severe housing cost burden, substandard housing conditions, and overcrowding). </w:t>
      </w:r>
    </w:p>
    <w:p w14:paraId="63C99B73" w14:textId="77777777" w:rsidR="00DA10B6" w:rsidRDefault="00DA10B6" w:rsidP="009A70B1">
      <w:pPr>
        <w:pStyle w:val="ListParagraph"/>
        <w:ind w:left="450"/>
      </w:pPr>
    </w:p>
    <w:p w14:paraId="683EE1DC" w14:textId="7A6B4032" w:rsidR="00DA10B6" w:rsidRPr="00275905" w:rsidRDefault="5F884969" w:rsidP="009A70B1">
      <w:pPr>
        <w:ind w:left="450"/>
        <w:rPr>
          <w:rFonts w:ascii="Calibri" w:hAnsi="Calibri"/>
        </w:rPr>
      </w:pPr>
      <w:r w:rsidRPr="5F884969">
        <w:rPr>
          <w:rFonts w:ascii="Calibri" w:hAnsi="Calibri"/>
        </w:rPr>
        <w:t xml:space="preserve">According to the most recent census data, the City of Winooski has a very low (2.1%) vacancy rate. The wait for Section 8 Housing Choice Voucher assistance is 3-5 years. The wait for public housing assistance varies by bedroom size and ranges from 6 months to five years.  </w:t>
      </w:r>
    </w:p>
    <w:p w14:paraId="4F6BB426" w14:textId="77777777" w:rsidR="00DA10B6" w:rsidRDefault="5F884969" w:rsidP="009A70B1">
      <w:pPr>
        <w:pStyle w:val="ListParagraph"/>
        <w:widowControl w:val="0"/>
        <w:autoSpaceDE w:val="0"/>
        <w:autoSpaceDN w:val="0"/>
        <w:adjustRightInd w:val="0"/>
        <w:ind w:left="450"/>
        <w:rPr>
          <w:rFonts w:cs="Calibri"/>
          <w:color w:val="000000" w:themeColor="text1"/>
        </w:rPr>
      </w:pPr>
      <w:r w:rsidRPr="5F884969">
        <w:rPr>
          <w:rFonts w:cs="Calibri"/>
          <w:color w:val="000000" w:themeColor="text1"/>
        </w:rPr>
        <w:t>The Burlington-South Burlington data show us that Asian or Pacific Islander populations have the highest percentage of housing problems when compared to other populations. Similar to Burlington, nonfamily household experience more household problems than households with families.</w:t>
      </w:r>
    </w:p>
    <w:p w14:paraId="71EAFFFA" w14:textId="77777777" w:rsidR="00DA10B6" w:rsidRDefault="00DA10B6" w:rsidP="009A70B1">
      <w:pPr>
        <w:pStyle w:val="ListParagraph"/>
        <w:widowControl w:val="0"/>
        <w:autoSpaceDE w:val="0"/>
        <w:autoSpaceDN w:val="0"/>
        <w:adjustRightInd w:val="0"/>
        <w:ind w:left="450"/>
        <w:rPr>
          <w:rFonts w:cs="Calibri"/>
          <w:bCs/>
          <w:color w:val="000000"/>
        </w:rPr>
      </w:pPr>
    </w:p>
    <w:p w14:paraId="485D716E" w14:textId="32E6B0D5" w:rsidR="00DA10B6" w:rsidRPr="00D47CDD" w:rsidRDefault="5F884969" w:rsidP="009A70B1">
      <w:pPr>
        <w:pStyle w:val="ListParagraph"/>
        <w:widowControl w:val="0"/>
        <w:autoSpaceDE w:val="0"/>
        <w:autoSpaceDN w:val="0"/>
        <w:adjustRightInd w:val="0"/>
        <w:ind w:left="450"/>
        <w:rPr>
          <w:rFonts w:cs="Calibri"/>
          <w:color w:val="000000" w:themeColor="text1"/>
        </w:rPr>
      </w:pPr>
      <w:r w:rsidRPr="5F884969">
        <w:rPr>
          <w:rFonts w:cs="Calibri"/>
          <w:color w:val="000000" w:themeColor="text1"/>
        </w:rPr>
        <w:t xml:space="preserve">Within the greater region, Asian or Pacific Islander populations also experience the highest rate of </w:t>
      </w:r>
      <w:r w:rsidRPr="5F884969">
        <w:rPr>
          <w:rFonts w:cs="Calibri"/>
          <w:i/>
          <w:iCs/>
          <w:color w:val="000000" w:themeColor="text1"/>
        </w:rPr>
        <w:t>severe</w:t>
      </w:r>
      <w:r w:rsidRPr="5F884969">
        <w:rPr>
          <w:rFonts w:cs="Calibri"/>
          <w:color w:val="000000" w:themeColor="text1"/>
        </w:rPr>
        <w:t xml:space="preserve"> household problems, including severe housing cost burden. Like Burlington, nonfamily households experience the highest rate of </w:t>
      </w:r>
      <w:r w:rsidRPr="5F884969">
        <w:rPr>
          <w:rFonts w:cs="Calibri"/>
          <w:i/>
          <w:iCs/>
          <w:color w:val="000000" w:themeColor="text1"/>
        </w:rPr>
        <w:t>severe</w:t>
      </w:r>
      <w:r w:rsidRPr="5F884969">
        <w:rPr>
          <w:rFonts w:cs="Calibri"/>
          <w:color w:val="000000" w:themeColor="text1"/>
        </w:rPr>
        <w:t xml:space="preserve"> housing co</w:t>
      </w:r>
      <w:r w:rsidR="00D47CDD">
        <w:rPr>
          <w:rFonts w:cs="Calibri"/>
          <w:color w:val="000000" w:themeColor="text1"/>
        </w:rPr>
        <w:t>st burden at the regional level.</w:t>
      </w:r>
    </w:p>
    <w:p w14:paraId="630C4E6B" w14:textId="77777777" w:rsidR="00336260" w:rsidRPr="00B13AC8" w:rsidRDefault="00336260" w:rsidP="009A70B1">
      <w:pPr>
        <w:pStyle w:val="ColorfulList-Accent11"/>
        <w:spacing w:after="240"/>
        <w:ind w:left="450"/>
        <w:textAlignment w:val="baseline"/>
        <w:rPr>
          <w:rFonts w:eastAsia="Times New Roman"/>
          <w:b/>
        </w:rPr>
      </w:pPr>
    </w:p>
    <w:p w14:paraId="6A295628" w14:textId="77777777" w:rsidR="00336260" w:rsidRPr="00D47CDD" w:rsidRDefault="5F884969" w:rsidP="009A70B1">
      <w:pPr>
        <w:pStyle w:val="ColorfulList-Accent11"/>
        <w:spacing w:after="240"/>
        <w:ind w:left="450"/>
        <w:textAlignment w:val="baseline"/>
        <w:rPr>
          <w:rFonts w:ascii="Calibri" w:eastAsia="Times New Roman" w:hAnsi="Calibri"/>
          <w:b/>
          <w:bCs/>
        </w:rPr>
      </w:pPr>
      <w:r w:rsidRPr="00D47CDD">
        <w:rPr>
          <w:rFonts w:ascii="Calibri" w:eastAsia="Times New Roman" w:hAnsi="Calibri"/>
          <w:b/>
          <w:bCs/>
        </w:rPr>
        <w:t xml:space="preserve">Contributing Factors of Segregation, R/ECAPs, Disparities in Access to Opportunity, and Disproportionate Housing Needs  </w:t>
      </w:r>
    </w:p>
    <w:p w14:paraId="4EDB1CF7" w14:textId="77777777" w:rsidR="00336260" w:rsidRDefault="00336260" w:rsidP="009A70B1">
      <w:pPr>
        <w:pStyle w:val="ColorfulList-Accent11"/>
        <w:spacing w:after="240"/>
        <w:ind w:left="450"/>
        <w:textAlignment w:val="baseline"/>
        <w:rPr>
          <w:rFonts w:eastAsia="Times New Roman"/>
          <w:b/>
        </w:rPr>
      </w:pPr>
    </w:p>
    <w:p w14:paraId="46F300CE" w14:textId="77777777" w:rsidR="00336260" w:rsidRPr="00D47CDD" w:rsidRDefault="5F884969" w:rsidP="009A70B1">
      <w:pPr>
        <w:pStyle w:val="ColorfulList-Accent11"/>
        <w:spacing w:after="240"/>
        <w:ind w:left="450"/>
        <w:textAlignment w:val="baseline"/>
        <w:rPr>
          <w:rFonts w:ascii="Calibri" w:eastAsia="Times New Roman" w:hAnsi="Calibri"/>
          <w:i/>
          <w:iCs/>
        </w:rPr>
      </w:pPr>
      <w:r w:rsidRPr="00D47CDD">
        <w:rPr>
          <w:rFonts w:ascii="Calibri" w:eastAsia="Times New Roman" w:hAnsi="Calibri"/>
          <w:i/>
          <w:iCs/>
        </w:rPr>
        <w:t>Consider the factors listed that are generally applicable to Segregation, R/ECAPs, Disparities in Access to Opportunity, and Disproportionate Housing Needs and any other factors affecting the service area (and region, if applicable).  Identify factors that significantly create, contribute to, perpetuate, or increase the severity of one or more fair housing issues. For each contributing factor that is significant, note which fair housing issue(s) the selected contributing factor relates to.</w:t>
      </w:r>
    </w:p>
    <w:p w14:paraId="7372A6D7" w14:textId="77777777" w:rsidR="00336260" w:rsidRPr="00D47CDD" w:rsidRDefault="00336260" w:rsidP="009A70B1">
      <w:pPr>
        <w:pStyle w:val="ColorfulList-Accent11"/>
        <w:spacing w:after="240"/>
        <w:ind w:left="450"/>
        <w:textAlignment w:val="baseline"/>
        <w:rPr>
          <w:rFonts w:ascii="Calibri" w:eastAsia="Times New Roman" w:hAnsi="Calibri"/>
          <w:i/>
        </w:rPr>
      </w:pPr>
    </w:p>
    <w:p w14:paraId="1077754D" w14:textId="77777777" w:rsidR="00336260" w:rsidRPr="00D47CDD" w:rsidRDefault="5F884969" w:rsidP="009A70B1">
      <w:pPr>
        <w:pStyle w:val="ColorfulList-Accent11"/>
        <w:spacing w:after="240"/>
        <w:ind w:left="450"/>
        <w:textAlignment w:val="baseline"/>
        <w:rPr>
          <w:rFonts w:ascii="Calibri" w:eastAsia="Times New Roman" w:hAnsi="Calibri"/>
          <w:b/>
          <w:bCs/>
          <w:u w:val="single"/>
        </w:rPr>
      </w:pPr>
      <w:r w:rsidRPr="00D47CDD">
        <w:rPr>
          <w:rFonts w:ascii="Calibri" w:eastAsia="Times New Roman" w:hAnsi="Calibri"/>
          <w:b/>
          <w:bCs/>
          <w:u w:val="single"/>
        </w:rPr>
        <w:t>Generally Applicable Contributing Factors (Segregation, R/ECAPs, Disparities in Access to Opportunity, and Disproportionate Housing Needs)</w:t>
      </w:r>
    </w:p>
    <w:p w14:paraId="7A323B6F" w14:textId="77777777" w:rsidR="00336260" w:rsidRDefault="00336260" w:rsidP="00336260">
      <w:pPr>
        <w:pStyle w:val="ColorfulList-Accent11"/>
        <w:spacing w:after="240"/>
        <w:textAlignment w:val="baseline"/>
        <w:rPr>
          <w:rFonts w:eastAsia="Times New Roman"/>
        </w:rPr>
      </w:pPr>
    </w:p>
    <w:p w14:paraId="26E8BDC0" w14:textId="1AB60715" w:rsidR="00745C27" w:rsidRPr="00512E5B" w:rsidRDefault="00512E5B" w:rsidP="00512E5B">
      <w:pPr>
        <w:pStyle w:val="ColorfulList-Accent11"/>
        <w:spacing w:after="240"/>
        <w:textAlignment w:val="baseline"/>
        <w:rPr>
          <w:rFonts w:eastAsia="Times New Roman"/>
        </w:rPr>
      </w:pPr>
      <w:r>
        <w:rPr>
          <w:rFonts w:eastAsia="Times New Roman"/>
        </w:rPr>
        <w:t>Contributing factors are discussed in the main portion of the Assessment.</w:t>
      </w:r>
    </w:p>
    <w:p w14:paraId="3FC59546" w14:textId="19FC66AA" w:rsidR="009B4BEA" w:rsidRDefault="5F884969" w:rsidP="009B4BEA">
      <w:pPr>
        <w:ind w:left="450"/>
        <w:rPr>
          <w:b/>
          <w:bCs/>
        </w:rPr>
      </w:pPr>
      <w:r w:rsidRPr="5F884969">
        <w:rPr>
          <w:b/>
          <w:bCs/>
        </w:rPr>
        <w:t>Publicly Supported Housing Section</w:t>
      </w:r>
    </w:p>
    <w:p w14:paraId="545B9551" w14:textId="571A9D3D" w:rsidR="00DA10B6" w:rsidRPr="00D47CDD" w:rsidRDefault="5F884969" w:rsidP="009B4BEA">
      <w:pPr>
        <w:ind w:left="450"/>
        <w:outlineLvl w:val="0"/>
        <w:rPr>
          <w:u w:val="single"/>
        </w:rPr>
      </w:pPr>
      <w:r w:rsidRPr="5F884969">
        <w:rPr>
          <w:u w:val="single"/>
        </w:rPr>
        <w:t>Questions on the location and occupancy of the PHA’s publicly supported housing</w:t>
      </w:r>
    </w:p>
    <w:p w14:paraId="587C1A98" w14:textId="77777777" w:rsidR="00DA10B6" w:rsidRPr="009B4BEA" w:rsidRDefault="5F884969" w:rsidP="009A2CF5">
      <w:pPr>
        <w:numPr>
          <w:ilvl w:val="0"/>
          <w:numId w:val="28"/>
        </w:numPr>
        <w:spacing w:after="0" w:line="240" w:lineRule="auto"/>
        <w:rPr>
          <w:b/>
          <w:i/>
          <w:iCs/>
        </w:rPr>
      </w:pPr>
      <w:r w:rsidRPr="009B4BEA">
        <w:rPr>
          <w:b/>
          <w:i/>
          <w:iCs/>
        </w:rPr>
        <w:t>Demographics</w:t>
      </w:r>
    </w:p>
    <w:p w14:paraId="2C150EB7" w14:textId="77777777" w:rsidR="00DA10B6" w:rsidRPr="009B4BEA" w:rsidRDefault="5F884969" w:rsidP="5F884969">
      <w:pPr>
        <w:ind w:left="1080"/>
        <w:rPr>
          <w:b/>
          <w:i/>
          <w:iCs/>
        </w:rPr>
      </w:pPr>
      <w:r w:rsidRPr="009B4BEA">
        <w:rPr>
          <w:b/>
          <w:i/>
          <w:iCs/>
        </w:rPr>
        <w:t>Provide demographic information, including protected class groups, on the residents of the PHA and compare these with the demographics of the service area (and region, if applicable).</w:t>
      </w:r>
    </w:p>
    <w:p w14:paraId="3EE23F9F" w14:textId="77777777" w:rsidR="00DA10B6" w:rsidRDefault="00DA10B6" w:rsidP="00DA10B6">
      <w:pPr>
        <w:ind w:left="1080"/>
        <w:rPr>
          <w:i/>
        </w:rPr>
      </w:pPr>
    </w:p>
    <w:p w14:paraId="08AF98FF" w14:textId="77777777" w:rsidR="00DA10B6" w:rsidRDefault="5F884969" w:rsidP="009A2CF5">
      <w:pPr>
        <w:numPr>
          <w:ilvl w:val="0"/>
          <w:numId w:val="29"/>
        </w:numPr>
        <w:spacing w:after="0" w:line="240" w:lineRule="auto"/>
        <w:ind w:left="1440"/>
      </w:pPr>
      <w:r>
        <w:t xml:space="preserve">77% of WHA clients are white only, compared to 94% in the region. </w:t>
      </w:r>
    </w:p>
    <w:p w14:paraId="538D2722" w14:textId="77777777" w:rsidR="00DA10B6" w:rsidRDefault="5F884969" w:rsidP="009A2CF5">
      <w:pPr>
        <w:numPr>
          <w:ilvl w:val="0"/>
          <w:numId w:val="29"/>
        </w:numPr>
        <w:spacing w:after="0" w:line="240" w:lineRule="auto"/>
        <w:ind w:left="1440"/>
      </w:pPr>
      <w:r>
        <w:t>9% of WHA clients are Black/African American only compared to 3% in the region.</w:t>
      </w:r>
    </w:p>
    <w:p w14:paraId="69231B8A" w14:textId="77777777" w:rsidR="00DA10B6" w:rsidRDefault="5F884969" w:rsidP="009A2CF5">
      <w:pPr>
        <w:numPr>
          <w:ilvl w:val="0"/>
          <w:numId w:val="29"/>
        </w:numPr>
        <w:spacing w:after="0" w:line="240" w:lineRule="auto"/>
        <w:ind w:left="1440"/>
      </w:pPr>
      <w:r>
        <w:t xml:space="preserve">12% of WHA clients are Asian </w:t>
      </w:r>
      <w:proofErr w:type="gramStart"/>
      <w:r>
        <w:t>Only</w:t>
      </w:r>
      <w:proofErr w:type="gramEnd"/>
      <w:r>
        <w:t>, compared to 2% in the region.</w:t>
      </w:r>
    </w:p>
    <w:p w14:paraId="02E47552" w14:textId="77777777" w:rsidR="00DA10B6" w:rsidRDefault="5F884969" w:rsidP="009A2CF5">
      <w:pPr>
        <w:numPr>
          <w:ilvl w:val="0"/>
          <w:numId w:val="29"/>
        </w:numPr>
        <w:spacing w:after="0" w:line="240" w:lineRule="auto"/>
        <w:ind w:left="1440"/>
      </w:pPr>
      <w:r>
        <w:t>2% of WHA’s clients are Hispanic or Latin, compared to 1% in the region.</w:t>
      </w:r>
    </w:p>
    <w:p w14:paraId="11758BC1" w14:textId="77777777" w:rsidR="00DA10B6" w:rsidRDefault="00DA10B6" w:rsidP="00DA10B6"/>
    <w:p w14:paraId="5B8B6F96" w14:textId="4CD4094A" w:rsidR="00DA10B6" w:rsidRPr="009B4BEA" w:rsidRDefault="5F884969" w:rsidP="009A2CF5">
      <w:pPr>
        <w:numPr>
          <w:ilvl w:val="0"/>
          <w:numId w:val="28"/>
        </w:numPr>
        <w:spacing w:after="0" w:line="240" w:lineRule="auto"/>
        <w:rPr>
          <w:b/>
          <w:i/>
          <w:iCs/>
        </w:rPr>
      </w:pPr>
      <w:r w:rsidRPr="009B4BEA">
        <w:rPr>
          <w:b/>
          <w:i/>
          <w:iCs/>
        </w:rPr>
        <w:t>Segregation and R/ECAPs</w:t>
      </w:r>
    </w:p>
    <w:p w14:paraId="7D752B9B" w14:textId="77777777" w:rsidR="00D47CDD" w:rsidRPr="00D47CDD" w:rsidRDefault="00D47CDD" w:rsidP="00D47CDD">
      <w:pPr>
        <w:spacing w:after="0" w:line="240" w:lineRule="auto"/>
        <w:ind w:left="1080"/>
        <w:rPr>
          <w:i/>
          <w:iCs/>
        </w:rPr>
      </w:pPr>
    </w:p>
    <w:p w14:paraId="0F44AFBA" w14:textId="77777777" w:rsidR="00DA10B6" w:rsidRPr="00512E5B" w:rsidRDefault="5F884969" w:rsidP="5F884969">
      <w:pPr>
        <w:ind w:left="720"/>
        <w:rPr>
          <w:b/>
          <w:i/>
          <w:iCs/>
        </w:rPr>
      </w:pPr>
      <w:r w:rsidRPr="00512E5B">
        <w:rPr>
          <w:b/>
          <w:i/>
        </w:rPr>
        <w:lastRenderedPageBreak/>
        <w:t xml:space="preserve">i. Describe the location </w:t>
      </w:r>
      <w:proofErr w:type="gramStart"/>
      <w:r w:rsidRPr="00512E5B">
        <w:rPr>
          <w:b/>
          <w:i/>
        </w:rPr>
        <w:t>of  the</w:t>
      </w:r>
      <w:proofErr w:type="gramEnd"/>
      <w:r w:rsidRPr="00512E5B">
        <w:rPr>
          <w:b/>
          <w:i/>
        </w:rPr>
        <w:t xml:space="preserve"> PHAs properties in relation to areas of segregation and R/ECAPs in the service area</w:t>
      </w:r>
      <w:r w:rsidRPr="00512E5B">
        <w:rPr>
          <w:b/>
          <w:i/>
          <w:iCs/>
        </w:rPr>
        <w:t>.</w:t>
      </w:r>
    </w:p>
    <w:p w14:paraId="59162B11" w14:textId="77777777" w:rsidR="00DA10B6" w:rsidRDefault="00DA10B6" w:rsidP="00512E5B">
      <w:pPr>
        <w:rPr>
          <w:u w:val="single"/>
        </w:rPr>
      </w:pPr>
    </w:p>
    <w:p w14:paraId="427F035E" w14:textId="6BE2DD4C" w:rsidR="00DA10B6" w:rsidRDefault="5F884969" w:rsidP="00DA10B6">
      <w:pPr>
        <w:ind w:left="720"/>
      </w:pPr>
      <w:r>
        <w:t>-Winooski Housing Authori</w:t>
      </w:r>
      <w:r w:rsidR="009B4BEA">
        <w:t>t</w:t>
      </w:r>
      <w:r>
        <w:t>y’s properties are located in the city of Winooski, comprised of one (1) square mile within the CBSA. Based on the HUD provided data, it appears none of WHA properties are located in areas of segregation and R/ECAPs in the service area.</w:t>
      </w:r>
    </w:p>
    <w:p w14:paraId="1DB0FEF9" w14:textId="77777777" w:rsidR="00DA10B6" w:rsidRDefault="00DA10B6" w:rsidP="00DA10B6">
      <w:pPr>
        <w:ind w:left="1080"/>
      </w:pPr>
    </w:p>
    <w:p w14:paraId="2A32576C" w14:textId="77777777" w:rsidR="00DA10B6" w:rsidRPr="00512E5B" w:rsidRDefault="5F884969" w:rsidP="00DA10B6">
      <w:pPr>
        <w:ind w:left="720"/>
        <w:rPr>
          <w:b/>
          <w:i/>
        </w:rPr>
      </w:pPr>
      <w:r w:rsidRPr="00512E5B">
        <w:rPr>
          <w:b/>
          <w:i/>
        </w:rPr>
        <w:t>ii. Describe the location of the PHA’s Housing Choice vouchers in relation to areas of segregation and R/ECAPS in the service area (and region, if applicable).</w:t>
      </w:r>
    </w:p>
    <w:p w14:paraId="68509037" w14:textId="7BB1B7BE" w:rsidR="00DA10B6" w:rsidRDefault="5F884969" w:rsidP="00DA10B6">
      <w:pPr>
        <w:ind w:left="720"/>
      </w:pPr>
      <w:r>
        <w:t>Based on the HUD provided data, it appears none of WHA’s vouchers are located in areas of segregation and R/ECAPs in the service area.</w:t>
      </w:r>
    </w:p>
    <w:p w14:paraId="75B980D8" w14:textId="77777777" w:rsidR="00DA10B6" w:rsidRDefault="00DA10B6" w:rsidP="00DA10B6"/>
    <w:p w14:paraId="6890C9C4" w14:textId="77777777" w:rsidR="00DA10B6" w:rsidRPr="009B4BEA" w:rsidRDefault="5F884969" w:rsidP="00DA10B6">
      <w:pPr>
        <w:ind w:left="720"/>
        <w:rPr>
          <w:b/>
        </w:rPr>
      </w:pPr>
      <w:r w:rsidRPr="00512E5B">
        <w:rPr>
          <w:b/>
          <w:i/>
        </w:rPr>
        <w:t>iii If there are R/ECAPs, describe and differences in the demographics, including by protected class group, of PHA assisted households who live in R/ECAPS versus those who live outside of R/ECAPs in the service area</w:t>
      </w:r>
      <w:r w:rsidRPr="009B4BEA">
        <w:rPr>
          <w:b/>
        </w:rPr>
        <w:t>.</w:t>
      </w:r>
    </w:p>
    <w:p w14:paraId="338EF66D" w14:textId="02FB3F22" w:rsidR="00DA10B6" w:rsidRDefault="00DA10B6" w:rsidP="00DA10B6">
      <w:r>
        <w:tab/>
        <w:t>-N/A</w:t>
      </w:r>
    </w:p>
    <w:p w14:paraId="0E908C64" w14:textId="77777777" w:rsidR="00DA10B6" w:rsidRPr="00512E5B" w:rsidRDefault="5F884969" w:rsidP="00DA10B6">
      <w:pPr>
        <w:ind w:left="720"/>
        <w:rPr>
          <w:b/>
          <w:i/>
        </w:rPr>
      </w:pPr>
      <w:r w:rsidRPr="00512E5B">
        <w:rPr>
          <w:b/>
          <w:i/>
        </w:rPr>
        <w:t>iv. Describe the demographics, by protected class group, of each of the PHA’s publicly supported developments.</w:t>
      </w:r>
    </w:p>
    <w:p w14:paraId="5A66952B" w14:textId="77777777" w:rsidR="00DA10B6" w:rsidRDefault="00DA10B6" w:rsidP="00DA10B6">
      <w:pPr>
        <w:ind w:left="720"/>
      </w:pPr>
    </w:p>
    <w:p w14:paraId="2C757F58" w14:textId="77777777" w:rsidR="00DA10B6" w:rsidRDefault="5F884969" w:rsidP="009A2CF5">
      <w:pPr>
        <w:numPr>
          <w:ilvl w:val="0"/>
          <w:numId w:val="29"/>
        </w:numPr>
        <w:spacing w:after="0" w:line="240" w:lineRule="auto"/>
      </w:pPr>
      <w:r>
        <w:t>Spring Gardens Apartments:  two disabled individuals (4%).</w:t>
      </w:r>
    </w:p>
    <w:p w14:paraId="32A31BF3" w14:textId="77777777" w:rsidR="00DA10B6" w:rsidRDefault="5F884969" w:rsidP="009A2CF5">
      <w:pPr>
        <w:numPr>
          <w:ilvl w:val="0"/>
          <w:numId w:val="29"/>
        </w:numPr>
        <w:spacing w:after="0" w:line="240" w:lineRule="auto"/>
      </w:pPr>
      <w:r>
        <w:t>Elm and Franklin Street Apartments: five disabled individuals (7%), 21 Black (28%), 27 Asian (36%) and 4 Hispanic (5%).</w:t>
      </w:r>
    </w:p>
    <w:p w14:paraId="36740FF8" w14:textId="77777777" w:rsidR="00DA10B6" w:rsidRDefault="5F884969" w:rsidP="009A2CF5">
      <w:pPr>
        <w:numPr>
          <w:ilvl w:val="0"/>
          <w:numId w:val="29"/>
        </w:numPr>
        <w:spacing w:after="0" w:line="240" w:lineRule="auto"/>
      </w:pPr>
      <w:r>
        <w:t>Senior Tower: three disabled individuals (5%), 1 Black (1%), 1 Asian (1%).</w:t>
      </w:r>
    </w:p>
    <w:p w14:paraId="1D957D01" w14:textId="77777777" w:rsidR="00DA10B6" w:rsidRDefault="5F884969" w:rsidP="009A2CF5">
      <w:pPr>
        <w:numPr>
          <w:ilvl w:val="0"/>
          <w:numId w:val="29"/>
        </w:numPr>
        <w:spacing w:after="0" w:line="240" w:lineRule="auto"/>
      </w:pPr>
      <w:r>
        <w:t>The Terrace: two disabled individuals (4%).</w:t>
      </w:r>
    </w:p>
    <w:p w14:paraId="0AE95606" w14:textId="3F276297" w:rsidR="00DA10B6" w:rsidRPr="00385C2D" w:rsidRDefault="00DA10B6" w:rsidP="00F567FC">
      <w:pPr>
        <w:rPr>
          <w:color w:val="FF0000"/>
        </w:rPr>
      </w:pPr>
    </w:p>
    <w:p w14:paraId="3495E2AC" w14:textId="77777777" w:rsidR="00DA10B6" w:rsidRPr="009B4BEA" w:rsidRDefault="5F884969" w:rsidP="009A2CF5">
      <w:pPr>
        <w:numPr>
          <w:ilvl w:val="0"/>
          <w:numId w:val="28"/>
        </w:numPr>
        <w:spacing w:after="0" w:line="240" w:lineRule="auto"/>
        <w:rPr>
          <w:b/>
          <w:i/>
          <w:iCs/>
        </w:rPr>
      </w:pPr>
      <w:r w:rsidRPr="009B4BEA">
        <w:rPr>
          <w:b/>
          <w:i/>
          <w:iCs/>
        </w:rPr>
        <w:t>Disparities in Access to Opportunity</w:t>
      </w:r>
    </w:p>
    <w:p w14:paraId="7525A6B0" w14:textId="0B538C4A" w:rsidR="00DA10B6" w:rsidRDefault="00512E5B" w:rsidP="00DA10B6">
      <w:pPr>
        <w:ind w:left="720"/>
      </w:pPr>
      <w:r>
        <w:t>Any disparities are discussed in the main portion of this Assessment.</w:t>
      </w:r>
    </w:p>
    <w:p w14:paraId="4078B5B5" w14:textId="77777777" w:rsidR="00DA10B6" w:rsidRDefault="00DA10B6" w:rsidP="00DA10B6">
      <w:pPr>
        <w:ind w:left="720"/>
      </w:pPr>
    </w:p>
    <w:p w14:paraId="71DFBFAF" w14:textId="77777777" w:rsidR="00DA10B6" w:rsidRPr="009B4BEA" w:rsidRDefault="5F884969" w:rsidP="009A2CF5">
      <w:pPr>
        <w:numPr>
          <w:ilvl w:val="0"/>
          <w:numId w:val="28"/>
        </w:numPr>
        <w:spacing w:after="0" w:line="240" w:lineRule="auto"/>
        <w:rPr>
          <w:b/>
          <w:i/>
          <w:iCs/>
        </w:rPr>
      </w:pPr>
      <w:r w:rsidRPr="009B4BEA">
        <w:rPr>
          <w:b/>
          <w:i/>
          <w:iCs/>
        </w:rPr>
        <w:t>Disproportionate Housing Needs</w:t>
      </w:r>
    </w:p>
    <w:p w14:paraId="655C66EE" w14:textId="0B600F72" w:rsidR="00DA10B6" w:rsidRPr="009B4BEA" w:rsidRDefault="5F884969" w:rsidP="009A2CF5">
      <w:pPr>
        <w:numPr>
          <w:ilvl w:val="1"/>
          <w:numId w:val="28"/>
        </w:numPr>
        <w:tabs>
          <w:tab w:val="clear" w:pos="2160"/>
          <w:tab w:val="num" w:pos="1620"/>
        </w:tabs>
        <w:spacing w:after="0" w:line="240" w:lineRule="auto"/>
        <w:ind w:left="1170" w:hanging="180"/>
        <w:rPr>
          <w:b/>
        </w:rPr>
      </w:pPr>
      <w:r w:rsidRPr="009B4BEA">
        <w:rPr>
          <w:b/>
        </w:rPr>
        <w:t>Compare the demographics, including by protected class group, of the PHA’s assisted households to households in the service area with disproportionate housing needs in the service area (and region, if applicable).</w:t>
      </w:r>
    </w:p>
    <w:p w14:paraId="24E5AE1A" w14:textId="77777777" w:rsidR="00DA10B6" w:rsidRDefault="5F884969" w:rsidP="009A2CF5">
      <w:pPr>
        <w:numPr>
          <w:ilvl w:val="0"/>
          <w:numId w:val="29"/>
        </w:numPr>
        <w:spacing w:after="0" w:line="240" w:lineRule="auto"/>
      </w:pPr>
      <w:r>
        <w:t>77% of WHA clients are white only, in the region, 34.99% of this cohort have disproportionate housing needs.</w:t>
      </w:r>
    </w:p>
    <w:p w14:paraId="1A54D5AB" w14:textId="77777777" w:rsidR="00DA10B6" w:rsidRDefault="5F884969" w:rsidP="009A2CF5">
      <w:pPr>
        <w:numPr>
          <w:ilvl w:val="0"/>
          <w:numId w:val="29"/>
        </w:numPr>
        <w:spacing w:after="0" w:line="240" w:lineRule="auto"/>
      </w:pPr>
      <w:r>
        <w:t>9% of WHA clients are Black/African American only, in the region, 58.43% of this cohort have disproportionate housing needs.</w:t>
      </w:r>
    </w:p>
    <w:p w14:paraId="4395B9C4" w14:textId="77777777" w:rsidR="00DA10B6" w:rsidRDefault="5F884969" w:rsidP="009A2CF5">
      <w:pPr>
        <w:numPr>
          <w:ilvl w:val="0"/>
          <w:numId w:val="29"/>
        </w:numPr>
        <w:spacing w:after="0" w:line="240" w:lineRule="auto"/>
      </w:pPr>
      <w:r>
        <w:t xml:space="preserve">12% of WHA clients are Asian </w:t>
      </w:r>
      <w:proofErr w:type="gramStart"/>
      <w:r>
        <w:t>Only</w:t>
      </w:r>
      <w:proofErr w:type="gramEnd"/>
      <w:r>
        <w:t>, in the region, 64.95% of this cohort have disproportionate housing needs.</w:t>
      </w:r>
    </w:p>
    <w:p w14:paraId="62047A54" w14:textId="77777777" w:rsidR="00DA10B6" w:rsidRDefault="5F884969" w:rsidP="009A2CF5">
      <w:pPr>
        <w:numPr>
          <w:ilvl w:val="0"/>
          <w:numId w:val="29"/>
        </w:numPr>
        <w:spacing w:after="0" w:line="240" w:lineRule="auto"/>
      </w:pPr>
      <w:r>
        <w:lastRenderedPageBreak/>
        <w:t>2% of WHA’s clients are Hispanic or Latin, in the region, 44.94% of this cohort have disproportionate housing needs.</w:t>
      </w:r>
    </w:p>
    <w:p w14:paraId="60D5D875" w14:textId="77777777" w:rsidR="00DA10B6" w:rsidRDefault="00DA10B6" w:rsidP="00DA10B6">
      <w:pPr>
        <w:ind w:left="720"/>
      </w:pPr>
    </w:p>
    <w:p w14:paraId="06DDE895" w14:textId="77777777" w:rsidR="00DA10B6" w:rsidRPr="00512E5B" w:rsidRDefault="5F884969" w:rsidP="009A2CF5">
      <w:pPr>
        <w:numPr>
          <w:ilvl w:val="1"/>
          <w:numId w:val="28"/>
        </w:numPr>
        <w:spacing w:after="0" w:line="240" w:lineRule="auto"/>
        <w:ind w:left="1080" w:hanging="360"/>
        <w:rPr>
          <w:b/>
          <w:i/>
        </w:rPr>
      </w:pPr>
      <w:r w:rsidRPr="00512E5B">
        <w:rPr>
          <w:b/>
          <w:i/>
        </w:rPr>
        <w:t>Compare the needs of families with children in the PHA’s service area (and region, if applicable) for housing units with two, and three or more bedrooms, with the PHA’s available stock of assisted units.</w:t>
      </w:r>
    </w:p>
    <w:p w14:paraId="36B44964" w14:textId="77777777" w:rsidR="00DA10B6" w:rsidRDefault="00DA10B6" w:rsidP="009B4BEA">
      <w:pPr>
        <w:spacing w:after="0" w:line="240" w:lineRule="auto"/>
        <w:ind w:left="2160"/>
      </w:pPr>
    </w:p>
    <w:p w14:paraId="0A305B13" w14:textId="44CD7226" w:rsidR="00DA10B6" w:rsidRDefault="5F884969" w:rsidP="00DA10B6">
      <w:pPr>
        <w:ind w:left="720"/>
      </w:pPr>
      <w:r>
        <w:t>-There are</w:t>
      </w:r>
      <w:r w:rsidR="00FA5579">
        <w:t xml:space="preserve"> </w:t>
      </w:r>
      <w:r>
        <w:t xml:space="preserve">15,054 families with </w:t>
      </w:r>
      <w:proofErr w:type="gramStart"/>
      <w:r>
        <w:t>children  requiring</w:t>
      </w:r>
      <w:proofErr w:type="gramEnd"/>
      <w:r>
        <w:t xml:space="preserve"> housing units with two and three or more bedrooms in WHA’s region with disproportionate housing needs. WHA has a stock of 75 two and three or more units with none currently vacant and available.</w:t>
      </w:r>
    </w:p>
    <w:p w14:paraId="7C228B31" w14:textId="77777777" w:rsidR="00DA10B6" w:rsidRDefault="00DA10B6" w:rsidP="00DA10B6">
      <w:pPr>
        <w:ind w:left="720"/>
      </w:pPr>
    </w:p>
    <w:p w14:paraId="5442C5D8" w14:textId="77777777" w:rsidR="00DA10B6" w:rsidRPr="009B4BEA" w:rsidRDefault="5F884969" w:rsidP="009A2CF5">
      <w:pPr>
        <w:numPr>
          <w:ilvl w:val="0"/>
          <w:numId w:val="28"/>
        </w:numPr>
        <w:spacing w:after="0" w:line="240" w:lineRule="auto"/>
        <w:rPr>
          <w:b/>
        </w:rPr>
      </w:pPr>
      <w:r w:rsidRPr="009B4BEA">
        <w:rPr>
          <w:b/>
        </w:rPr>
        <w:t>Policies and Practices</w:t>
      </w:r>
    </w:p>
    <w:p w14:paraId="20ACD0CE" w14:textId="77777777" w:rsidR="00DA10B6" w:rsidRPr="009B4BEA" w:rsidRDefault="5F884969" w:rsidP="00DA10B6">
      <w:pPr>
        <w:ind w:left="720"/>
        <w:rPr>
          <w:b/>
        </w:rPr>
      </w:pPr>
      <w:r w:rsidRPr="009B4BEA">
        <w:rPr>
          <w:b/>
        </w:rPr>
        <w:t>Describe any policies and practices of the PHA and how they relate to fair housing choice including:</w:t>
      </w:r>
    </w:p>
    <w:p w14:paraId="20D32071" w14:textId="77777777" w:rsidR="00DA10B6" w:rsidRDefault="5F884969" w:rsidP="00DA10B6">
      <w:pPr>
        <w:ind w:left="720"/>
      </w:pPr>
      <w:r>
        <w:t>*Access with Persons with disabilities</w:t>
      </w:r>
    </w:p>
    <w:p w14:paraId="5E904BF7" w14:textId="77777777" w:rsidR="00DA10B6" w:rsidRDefault="5F884969" w:rsidP="00DA10B6">
      <w:pPr>
        <w:ind w:left="1440"/>
      </w:pPr>
      <w:r>
        <w:t>-Reasonable accommodations requests are reviewed when made, Section 504 reviews are conducted on an annual basis to ensure program access.</w:t>
      </w:r>
    </w:p>
    <w:p w14:paraId="60BF366B" w14:textId="77777777" w:rsidR="00DA10B6" w:rsidRDefault="5F884969" w:rsidP="00DA10B6">
      <w:pPr>
        <w:ind w:left="720"/>
      </w:pPr>
      <w:r>
        <w:t>* Admissions policies, preferences, and housing designations (including grounds for denial of admission, evection and subsidy termination.)</w:t>
      </w:r>
    </w:p>
    <w:p w14:paraId="22979218" w14:textId="77777777" w:rsidR="00DA10B6" w:rsidRDefault="5F884969" w:rsidP="00DA10B6">
      <w:pPr>
        <w:ind w:left="1440"/>
      </w:pPr>
      <w:r>
        <w:t>-WHA’s Admissions and Continued Occupancy Policy and Section 8 Administrative Plan contain fair housing elements relative to the above.</w:t>
      </w:r>
    </w:p>
    <w:p w14:paraId="2BCC79C9" w14:textId="77777777" w:rsidR="00DA10B6" w:rsidRDefault="00DA10B6" w:rsidP="00DA10B6">
      <w:r>
        <w:tab/>
        <w:t>* Affirmative Marketing Plan</w:t>
      </w:r>
    </w:p>
    <w:p w14:paraId="5E68F068" w14:textId="77777777" w:rsidR="00DA10B6" w:rsidRDefault="5F884969" w:rsidP="00DA10B6">
      <w:pPr>
        <w:ind w:left="1440"/>
      </w:pPr>
      <w:r>
        <w:t>-WHA’s Admissions and Continued Occupancy policy contains an affirmative fair housing marketing element.</w:t>
      </w:r>
    </w:p>
    <w:p w14:paraId="7ADB9E32" w14:textId="77777777" w:rsidR="00DA10B6" w:rsidRDefault="00DA10B6" w:rsidP="00DA10B6">
      <w:r>
        <w:tab/>
        <w:t>* Meaningful Access for persons with limited English proficiency.</w:t>
      </w:r>
    </w:p>
    <w:p w14:paraId="5650CAE4" w14:textId="77777777" w:rsidR="00DA10B6" w:rsidRDefault="5F884969" w:rsidP="00DA10B6">
      <w:pPr>
        <w:ind w:left="1440"/>
      </w:pPr>
      <w:r>
        <w:t>-WHA’s Admissions and Continued Occupancy Policy and Section 8 Administrative Plan contain elements to ensure meaningful Access for persons with limited English proficiency.</w:t>
      </w:r>
    </w:p>
    <w:p w14:paraId="748467DD" w14:textId="77777777" w:rsidR="00DA10B6" w:rsidRDefault="00DA10B6" w:rsidP="00DA10B6">
      <w:r>
        <w:tab/>
        <w:t>*Voucher mobility and portability policies and practices.</w:t>
      </w:r>
    </w:p>
    <w:p w14:paraId="16917DBA" w14:textId="77777777" w:rsidR="00DA10B6" w:rsidRDefault="5F884969" w:rsidP="00DA10B6">
      <w:pPr>
        <w:ind w:left="1440"/>
      </w:pPr>
      <w:r>
        <w:t>-WHA’s Admissions and Continued Occupancy policy includes Voucher mobility and portability policies and practices.</w:t>
      </w:r>
    </w:p>
    <w:p w14:paraId="66910689" w14:textId="77777777" w:rsidR="00DA10B6" w:rsidRDefault="00DA10B6" w:rsidP="00DA10B6">
      <w:r>
        <w:tab/>
      </w:r>
    </w:p>
    <w:p w14:paraId="64B497EC" w14:textId="77777777" w:rsidR="00DA10B6" w:rsidRPr="009B4BEA" w:rsidRDefault="5F884969" w:rsidP="009A2CF5">
      <w:pPr>
        <w:numPr>
          <w:ilvl w:val="0"/>
          <w:numId w:val="28"/>
        </w:numPr>
        <w:spacing w:after="0" w:line="240" w:lineRule="auto"/>
        <w:rPr>
          <w:b/>
        </w:rPr>
      </w:pPr>
      <w:r w:rsidRPr="009B4BEA">
        <w:rPr>
          <w:b/>
        </w:rPr>
        <w:t>Questions on other categories of publicly supported housing</w:t>
      </w:r>
    </w:p>
    <w:p w14:paraId="7F3536FC" w14:textId="77777777" w:rsidR="00DA10B6" w:rsidRDefault="00DA10B6" w:rsidP="00DA10B6">
      <w:pPr>
        <w:ind w:left="720"/>
      </w:pPr>
    </w:p>
    <w:p w14:paraId="378B6439" w14:textId="77777777" w:rsidR="00DA10B6" w:rsidRPr="00512E5B" w:rsidRDefault="5F884969" w:rsidP="00DA10B6">
      <w:pPr>
        <w:ind w:left="720"/>
        <w:rPr>
          <w:b/>
          <w:i/>
        </w:rPr>
      </w:pPr>
      <w:r w:rsidRPr="00512E5B">
        <w:rPr>
          <w:b/>
          <w:i/>
        </w:rPr>
        <w:t xml:space="preserve">Describe other publicly supported housing programs, if any, in the PHA’s service area. Identify the location by category of publicly supported housing in relation to areas of segregation and </w:t>
      </w:r>
      <w:r w:rsidRPr="00512E5B">
        <w:rPr>
          <w:b/>
          <w:i/>
        </w:rPr>
        <w:lastRenderedPageBreak/>
        <w:t>R/ECAPs and the demographics of the households of each category of publicly supported housing, by protected class in the service area (and region, if applicable).</w:t>
      </w:r>
    </w:p>
    <w:p w14:paraId="7990B027" w14:textId="77777777" w:rsidR="00DA10B6" w:rsidRDefault="00DA10B6" w:rsidP="00DA10B6">
      <w:pPr>
        <w:ind w:left="720"/>
      </w:pPr>
    </w:p>
    <w:p w14:paraId="3EC2B304" w14:textId="6A07F96D" w:rsidR="00DA10B6" w:rsidRDefault="5F884969" w:rsidP="00DA10B6">
      <w:pPr>
        <w:ind w:left="1440"/>
      </w:pPr>
      <w:r>
        <w:t>As WHA is in the same CBSA as the Local Government acting as the lead entity for collaboration, and as the Lead Entity’s answer to this question is also responsive to WHA’s service area, please refer to the Lead Entity’s responses to questions V.,C,1(b.)</w:t>
      </w:r>
      <w:proofErr w:type="spellStart"/>
      <w:proofErr w:type="gramStart"/>
      <w:r>
        <w:t>i,</w:t>
      </w:r>
      <w:proofErr w:type="gramEnd"/>
      <w:r>
        <w:t>ii,iii</w:t>
      </w:r>
      <w:proofErr w:type="spellEnd"/>
      <w:r>
        <w:t xml:space="preserve"> and iv(A) and (B).</w:t>
      </w:r>
    </w:p>
    <w:p w14:paraId="4E5A7B31" w14:textId="77777777" w:rsidR="00DA10B6" w:rsidRDefault="00DA10B6" w:rsidP="00DA10B6"/>
    <w:p w14:paraId="0034DF5F" w14:textId="77777777" w:rsidR="00DA10B6" w:rsidRDefault="00DA10B6" w:rsidP="00DA10B6"/>
    <w:p w14:paraId="0769E774" w14:textId="77777777" w:rsidR="00DA10B6" w:rsidRPr="009B4BEA" w:rsidRDefault="5F884969" w:rsidP="009A2CF5">
      <w:pPr>
        <w:numPr>
          <w:ilvl w:val="0"/>
          <w:numId w:val="28"/>
        </w:numPr>
        <w:spacing w:after="0" w:line="240" w:lineRule="auto"/>
        <w:rPr>
          <w:b/>
          <w:i/>
          <w:iCs/>
          <w:u w:val="single"/>
        </w:rPr>
      </w:pPr>
      <w:r w:rsidRPr="009B4BEA">
        <w:rPr>
          <w:b/>
          <w:i/>
          <w:iCs/>
          <w:u w:val="single"/>
        </w:rPr>
        <w:t>Contributing Factors of Publicly Supported Housing</w:t>
      </w:r>
    </w:p>
    <w:p w14:paraId="04E0F981" w14:textId="77777777" w:rsidR="00DA10B6" w:rsidRDefault="00DA10B6" w:rsidP="00DA10B6">
      <w:pPr>
        <w:ind w:left="720"/>
        <w:rPr>
          <w:i/>
          <w:u w:val="single"/>
        </w:rPr>
      </w:pPr>
    </w:p>
    <w:p w14:paraId="45D079BC" w14:textId="77777777" w:rsidR="00DA10B6" w:rsidRPr="009B4BEA" w:rsidRDefault="5F884969" w:rsidP="5F884969">
      <w:pPr>
        <w:ind w:left="720"/>
        <w:rPr>
          <w:b/>
          <w:i/>
          <w:iCs/>
        </w:rPr>
      </w:pPr>
      <w:r w:rsidRPr="009B4BEA">
        <w:rPr>
          <w:b/>
          <w:i/>
          <w:iCs/>
        </w:rPr>
        <w:t>Consider the listed factors and any other factors affecting the service area and region. Identify factors that significantly create, contribute to, perpetuate, or increase the severity of fair housing issues related to publicly supported housing, including Segregation, R/ECAPs, Disparities in Access to Opportunities, and Disproportionate Housing Needs. For each contributing factor that is significant, note which fair housing issue(s) the selected contributing factor relates to.</w:t>
      </w:r>
    </w:p>
    <w:p w14:paraId="69DAEE80" w14:textId="77777777" w:rsidR="00DA10B6" w:rsidRDefault="00DA10B6" w:rsidP="00DA10B6">
      <w:pPr>
        <w:ind w:left="720"/>
        <w:rPr>
          <w:i/>
        </w:rPr>
      </w:pPr>
    </w:p>
    <w:p w14:paraId="0EFC8935" w14:textId="7950A551" w:rsidR="00DA10B6" w:rsidRDefault="5F884969" w:rsidP="00DA10B6">
      <w:pPr>
        <w:ind w:left="1440"/>
      </w:pPr>
      <w:r>
        <w:t>As WHA is in the same CBSA as the Local Government acting as the lead entity for collaboration, and as the Lead Entity’s answer to this question is also responsive to WHA’s service area, please refer to the Lead Entity’s responses to questions V.,C,(3).</w:t>
      </w:r>
    </w:p>
    <w:p w14:paraId="09286E87" w14:textId="77777777" w:rsidR="00DA10B6" w:rsidRDefault="00DA10B6" w:rsidP="00DA10B6"/>
    <w:p w14:paraId="6F24F453" w14:textId="77777777" w:rsidR="00DA10B6" w:rsidRDefault="5F884969" w:rsidP="002F7C2E">
      <w:pPr>
        <w:outlineLvl w:val="0"/>
      </w:pPr>
      <w:proofErr w:type="gramStart"/>
      <w:r>
        <w:t>V(</w:t>
      </w:r>
      <w:proofErr w:type="gramEnd"/>
      <w:r>
        <w:t>F)</w:t>
      </w:r>
    </w:p>
    <w:p w14:paraId="77BE18B3" w14:textId="0FAD1127" w:rsidR="00DA10B6" w:rsidRDefault="00DA10B6" w:rsidP="5F884969">
      <w:pPr>
        <w:rPr>
          <w:b/>
          <w:bCs/>
        </w:rPr>
      </w:pPr>
      <w:r>
        <w:tab/>
      </w:r>
      <w:r w:rsidRPr="5F884969">
        <w:rPr>
          <w:b/>
          <w:bCs/>
        </w:rPr>
        <w:t>Disability and Access (</w:t>
      </w:r>
      <w:proofErr w:type="spellStart"/>
      <w:r w:rsidRPr="5F884969">
        <w:rPr>
          <w:b/>
          <w:bCs/>
        </w:rPr>
        <w:t>a.b.c.d</w:t>
      </w:r>
      <w:proofErr w:type="spellEnd"/>
      <w:r w:rsidRPr="5F884969">
        <w:rPr>
          <w:b/>
          <w:bCs/>
        </w:rPr>
        <w:t>.)</w:t>
      </w:r>
    </w:p>
    <w:p w14:paraId="52C6714E" w14:textId="25E3063E" w:rsidR="00DA10B6" w:rsidRDefault="5F884969" w:rsidP="00DA10B6">
      <w:pPr>
        <w:ind w:left="1440"/>
      </w:pPr>
      <w:r>
        <w:t>As WHA is in the same CBSA as the Local Government acting as the lead entity for collaboration, and as the Lead Entity’s answer to this question is also responsive to WHA’s service area, please refer to the Lead Entity’s responses to questions V.,D.1(a)(b), V.,D,2(a)(b)(c), V.,D,3(a), and V.,D,7.</w:t>
      </w:r>
    </w:p>
    <w:p w14:paraId="21F594EE" w14:textId="77777777" w:rsidR="00DA10B6" w:rsidRDefault="00DA10B6" w:rsidP="00DA10B6"/>
    <w:p w14:paraId="655F2EE6" w14:textId="7D77ADB3" w:rsidR="00DA10B6" w:rsidRDefault="00DA10B6" w:rsidP="5F884969">
      <w:pPr>
        <w:rPr>
          <w:b/>
          <w:bCs/>
        </w:rPr>
      </w:pPr>
      <w:proofErr w:type="gramStart"/>
      <w:r>
        <w:t>V(</w:t>
      </w:r>
      <w:proofErr w:type="gramEnd"/>
      <w:r>
        <w:t xml:space="preserve">F) </w:t>
      </w:r>
      <w:r>
        <w:tab/>
      </w:r>
      <w:r w:rsidRPr="5F884969">
        <w:rPr>
          <w:b/>
          <w:bCs/>
        </w:rPr>
        <w:t>Fair Housing Enforcement</w:t>
      </w:r>
    </w:p>
    <w:p w14:paraId="0F970F7D" w14:textId="77777777" w:rsidR="00DA10B6" w:rsidRDefault="00DA10B6" w:rsidP="00DA10B6">
      <w:pPr>
        <w:rPr>
          <w:b/>
        </w:rPr>
      </w:pPr>
    </w:p>
    <w:p w14:paraId="3139F166" w14:textId="77777777" w:rsidR="00DA10B6" w:rsidRPr="0000654E" w:rsidRDefault="5F884969" w:rsidP="5F884969">
      <w:pPr>
        <w:ind w:left="720"/>
        <w:rPr>
          <w:i/>
          <w:iCs/>
        </w:rPr>
      </w:pPr>
      <w:proofErr w:type="gramStart"/>
      <w:r w:rsidRPr="5F884969">
        <w:rPr>
          <w:i/>
          <w:iCs/>
        </w:rPr>
        <w:t>a.  Describe</w:t>
      </w:r>
      <w:proofErr w:type="gramEnd"/>
      <w:r w:rsidRPr="5F884969">
        <w:rPr>
          <w:i/>
          <w:iCs/>
        </w:rPr>
        <w:t xml:space="preserve"> whether the PHA is currently the subject of any enforcement action.</w:t>
      </w:r>
    </w:p>
    <w:p w14:paraId="16EE985E" w14:textId="77777777" w:rsidR="00DA10B6" w:rsidRDefault="5F884969" w:rsidP="00DA10B6">
      <w:pPr>
        <w:ind w:left="1440"/>
      </w:pPr>
      <w:r w:rsidRPr="5F884969">
        <w:rPr>
          <w:b/>
          <w:bCs/>
        </w:rPr>
        <w:t>-</w:t>
      </w:r>
      <w:r>
        <w:t>WHA is not currently the subject of any related fair housing enforcement action involving HUD, the Department of Justice or any other state or local entity.</w:t>
      </w:r>
    </w:p>
    <w:p w14:paraId="5A581E78" w14:textId="77777777" w:rsidR="00DA10B6" w:rsidRDefault="00DA10B6" w:rsidP="00DA10B6">
      <w:r>
        <w:lastRenderedPageBreak/>
        <w:tab/>
        <w:t>b. Contributing Factors of Fair Housing Enforcement.</w:t>
      </w:r>
    </w:p>
    <w:p w14:paraId="0195D703" w14:textId="77777777" w:rsidR="00DA10B6" w:rsidRDefault="5F884969" w:rsidP="00DA10B6">
      <w:pPr>
        <w:ind w:left="1440"/>
      </w:pPr>
      <w:r w:rsidRPr="5F884969">
        <w:rPr>
          <w:b/>
          <w:bCs/>
        </w:rPr>
        <w:t>-</w:t>
      </w:r>
      <w:r>
        <w:t>As WHA is in the same CBSA as the Local Government acting as the lead entity for collaboration, and as the Lead Entity’s answer to this question is also responsive to WHA’s service area, please refer to the Lead Entity’s response to question V.</w:t>
      </w:r>
      <w:proofErr w:type="gramStart"/>
      <w:r>
        <w:t>,E,5</w:t>
      </w:r>
      <w:proofErr w:type="gramEnd"/>
      <w:r>
        <w:t>.</w:t>
      </w:r>
    </w:p>
    <w:p w14:paraId="6C663367" w14:textId="77777777" w:rsidR="00DA10B6" w:rsidRDefault="00DA10B6" w:rsidP="00DA10B6"/>
    <w:p w14:paraId="27CEE1CB" w14:textId="734FB67E" w:rsidR="00DA10B6" w:rsidRDefault="00DA10B6" w:rsidP="5F884969">
      <w:pPr>
        <w:rPr>
          <w:b/>
          <w:bCs/>
        </w:rPr>
      </w:pPr>
      <w:proofErr w:type="gramStart"/>
      <w:r>
        <w:t>V(</w:t>
      </w:r>
      <w:proofErr w:type="gramEnd"/>
      <w:r>
        <w:t xml:space="preserve">F) </w:t>
      </w:r>
      <w:r>
        <w:tab/>
      </w:r>
      <w:r w:rsidRPr="5F884969">
        <w:rPr>
          <w:b/>
          <w:bCs/>
        </w:rPr>
        <w:t>Additional PHA information</w:t>
      </w:r>
    </w:p>
    <w:p w14:paraId="51C8A694" w14:textId="1A6FE8BF" w:rsidR="00C7573C" w:rsidRDefault="5F884969" w:rsidP="00652BC9">
      <w:pPr>
        <w:ind w:left="720" w:firstLine="720"/>
      </w:pPr>
      <w:r w:rsidRPr="5F884969">
        <w:rPr>
          <w:b/>
          <w:bCs/>
        </w:rPr>
        <w:t>-</w:t>
      </w:r>
      <w:r>
        <w:t>N/A</w:t>
      </w:r>
    </w:p>
    <w:p w14:paraId="7E866F19" w14:textId="77777777" w:rsidR="00652BC9" w:rsidRDefault="00652BC9" w:rsidP="00652BC9">
      <w:pPr>
        <w:ind w:left="720" w:firstLine="720"/>
        <w:rPr>
          <w:b/>
          <w:bCs/>
        </w:rPr>
      </w:pPr>
    </w:p>
    <w:p w14:paraId="0660FFA2" w14:textId="77777777" w:rsidR="00652BC9" w:rsidRDefault="00652BC9" w:rsidP="00652BC9">
      <w:pPr>
        <w:ind w:left="720" w:firstLine="720"/>
        <w:rPr>
          <w:b/>
          <w:bCs/>
        </w:rPr>
      </w:pPr>
    </w:p>
    <w:p w14:paraId="523B8C8B" w14:textId="77777777" w:rsidR="00652BC9" w:rsidRDefault="00652BC9" w:rsidP="00652BC9">
      <w:pPr>
        <w:ind w:left="720" w:firstLine="720"/>
        <w:rPr>
          <w:b/>
          <w:bCs/>
        </w:rPr>
      </w:pPr>
    </w:p>
    <w:p w14:paraId="5FD15379" w14:textId="77777777" w:rsidR="00B5749D" w:rsidRPr="00652BC9" w:rsidRDefault="00B5749D" w:rsidP="008B69A7">
      <w:pPr>
        <w:rPr>
          <w:b/>
          <w:bCs/>
        </w:rPr>
      </w:pPr>
    </w:p>
    <w:p w14:paraId="325652C2" w14:textId="5CBE0406" w:rsidR="001A06EC" w:rsidRDefault="5F884969" w:rsidP="5F884969">
      <w:pPr>
        <w:pStyle w:val="Title"/>
        <w:numPr>
          <w:ilvl w:val="0"/>
          <w:numId w:val="3"/>
        </w:numPr>
        <w:ind w:left="360" w:hanging="180"/>
        <w:rPr>
          <w:rFonts w:ascii="Garamond" w:hAnsi="Garamond"/>
          <w:b/>
          <w:bCs/>
          <w:sz w:val="32"/>
          <w:szCs w:val="32"/>
        </w:rPr>
      </w:pPr>
      <w:bookmarkStart w:id="48" w:name="FairHousingGoalsandPriorities"/>
      <w:r w:rsidRPr="5F884969">
        <w:rPr>
          <w:rFonts w:ascii="Garamond" w:hAnsi="Garamond"/>
          <w:b/>
          <w:bCs/>
          <w:sz w:val="32"/>
          <w:szCs w:val="32"/>
        </w:rPr>
        <w:t>Fair Housing Goals and Priorities</w:t>
      </w:r>
    </w:p>
    <w:bookmarkEnd w:id="48"/>
    <w:p w14:paraId="00AD457B" w14:textId="77777777" w:rsidR="00BC4060" w:rsidRPr="004D1A4A" w:rsidRDefault="00BC4060" w:rsidP="00BC4060">
      <w:pPr>
        <w:spacing w:after="0"/>
        <w:rPr>
          <w:color w:val="FF0000"/>
        </w:rPr>
      </w:pPr>
    </w:p>
    <w:p w14:paraId="1B8E0434" w14:textId="45EFFF86" w:rsidR="0008008F" w:rsidRDefault="5F884969" w:rsidP="0008008F">
      <w:pPr>
        <w:ind w:left="360"/>
        <w:rPr>
          <w:b/>
          <w:bCs/>
        </w:rPr>
      </w:pPr>
      <w:r w:rsidRPr="0008008F">
        <w:rPr>
          <w:b/>
          <w:bCs/>
          <w:i/>
        </w:rPr>
        <w:t>For each fair housing issue, prioritize the identified contributing factors. Justify the prioritization of the contributing factors that will be addressed by the goals set below in the next prompted question. Give the highest priority to those factors that limit or deny fair housing choice or access to opportunity, or negatively impact fair housing or civil rights compliance</w:t>
      </w:r>
      <w:r w:rsidRPr="008330E4">
        <w:rPr>
          <w:b/>
          <w:bCs/>
        </w:rPr>
        <w:t>.</w:t>
      </w:r>
    </w:p>
    <w:p w14:paraId="750ECDCD" w14:textId="15A3A14D" w:rsidR="0008008F" w:rsidRDefault="0008008F" w:rsidP="0008008F">
      <w:pPr>
        <w:ind w:left="360"/>
        <w:rPr>
          <w:bCs/>
        </w:rPr>
      </w:pPr>
      <w:r>
        <w:rPr>
          <w:bCs/>
        </w:rPr>
        <w:t xml:space="preserve">The </w:t>
      </w:r>
      <w:r w:rsidRPr="0008008F">
        <w:rPr>
          <w:bCs/>
        </w:rPr>
        <w:t>City of Burlington</w:t>
      </w:r>
      <w:r>
        <w:rPr>
          <w:bCs/>
        </w:rPr>
        <w:t xml:space="preserve"> and its partners, the Burlington and Winooski Housing Authorities performed a thorough review of the Fair Housing Issues within this Assessment. The Fair Housing Issues include Segregation/Integration, Disparities in Access to Opportunity, Disproportionate Housing Needs, Publicly Supported Housing, Disability and Access Issues and Fair Housing Enforcement, Outreach Capacity and Resources.  There are no Racial and Ethnic Concentrations of Poverty within the Jurisdiction or Region.</w:t>
      </w:r>
    </w:p>
    <w:p w14:paraId="416FCDEE" w14:textId="52E21297" w:rsidR="0008008F" w:rsidRDefault="0008008F" w:rsidP="0008008F">
      <w:pPr>
        <w:ind w:left="360"/>
        <w:rPr>
          <w:bCs/>
        </w:rPr>
      </w:pPr>
      <w:r>
        <w:rPr>
          <w:bCs/>
        </w:rPr>
        <w:t>For each Fair Housing Issue, the contributing factors have been identified and prioritized based on degree of impact and ability of the partners to influence or change.</w:t>
      </w:r>
    </w:p>
    <w:p w14:paraId="205AB518" w14:textId="77777777" w:rsidR="0008008F" w:rsidRDefault="0008008F" w:rsidP="00220260">
      <w:pPr>
        <w:rPr>
          <w:bCs/>
        </w:rPr>
      </w:pPr>
    </w:p>
    <w:p w14:paraId="232A9B43" w14:textId="0AACC517" w:rsidR="0008008F" w:rsidRPr="00FB6F61" w:rsidRDefault="0008008F" w:rsidP="0008008F">
      <w:pPr>
        <w:ind w:left="360"/>
        <w:rPr>
          <w:b/>
          <w:bCs/>
        </w:rPr>
      </w:pPr>
      <w:r w:rsidRPr="00FB6F61">
        <w:rPr>
          <w:b/>
          <w:bCs/>
        </w:rPr>
        <w:t>Contributing Factors of Segregation</w:t>
      </w:r>
    </w:p>
    <w:p w14:paraId="08165A7C" w14:textId="77777777" w:rsidR="00FB6F61" w:rsidRPr="00220260" w:rsidRDefault="00FB6F61" w:rsidP="00FB6F61">
      <w:pPr>
        <w:numPr>
          <w:ilvl w:val="0"/>
          <w:numId w:val="13"/>
        </w:numPr>
        <w:spacing w:after="0" w:line="240" w:lineRule="auto"/>
        <w:ind w:left="1440" w:hanging="360"/>
        <w:jc w:val="both"/>
        <w:textAlignment w:val="baseline"/>
        <w:rPr>
          <w:rFonts w:eastAsia="Times New Roman"/>
          <w:bCs/>
        </w:rPr>
      </w:pPr>
      <w:r w:rsidRPr="00220260">
        <w:rPr>
          <w:rFonts w:ascii="Calibri" w:eastAsia="Calibri" w:hAnsi="Calibri" w:cs="Calibri"/>
          <w:bCs/>
        </w:rPr>
        <w:t>Location and type of affordable housing</w:t>
      </w:r>
    </w:p>
    <w:p w14:paraId="34931C2D" w14:textId="6F882F6C" w:rsidR="0008008F" w:rsidRPr="00342E0F" w:rsidRDefault="00FB6F61" w:rsidP="00E67926">
      <w:pPr>
        <w:numPr>
          <w:ilvl w:val="0"/>
          <w:numId w:val="13"/>
        </w:numPr>
        <w:spacing w:after="0" w:line="240" w:lineRule="auto"/>
        <w:ind w:left="1440" w:hanging="360"/>
        <w:jc w:val="both"/>
        <w:textAlignment w:val="baseline"/>
        <w:rPr>
          <w:b/>
          <w:bCs/>
        </w:rPr>
      </w:pPr>
      <w:r w:rsidRPr="00342E0F">
        <w:rPr>
          <w:rFonts w:ascii="Calibri" w:eastAsia="Calibri" w:hAnsi="Calibri" w:cs="Calibri"/>
          <w:bCs/>
        </w:rPr>
        <w:t>Private discrimination</w:t>
      </w:r>
    </w:p>
    <w:p w14:paraId="762935A1" w14:textId="77777777" w:rsidR="00342E0F" w:rsidRPr="00342E0F" w:rsidRDefault="00342E0F" w:rsidP="00342E0F">
      <w:pPr>
        <w:tabs>
          <w:tab w:val="left" w:pos="720"/>
        </w:tabs>
        <w:spacing w:after="0" w:line="240" w:lineRule="auto"/>
        <w:ind w:left="1440"/>
        <w:jc w:val="both"/>
        <w:textAlignment w:val="baseline"/>
        <w:rPr>
          <w:b/>
          <w:bCs/>
        </w:rPr>
      </w:pPr>
    </w:p>
    <w:p w14:paraId="569030C1" w14:textId="74AB32F4" w:rsidR="00342E0F" w:rsidRDefault="00342E0F" w:rsidP="00342E0F">
      <w:pPr>
        <w:spacing w:after="0" w:line="240" w:lineRule="auto"/>
        <w:ind w:firstLine="360"/>
        <w:jc w:val="both"/>
        <w:textAlignment w:val="baseline"/>
        <w:rPr>
          <w:rFonts w:eastAsia="Times New Roman"/>
          <w:b/>
          <w:bCs/>
        </w:rPr>
      </w:pPr>
      <w:r w:rsidRPr="00342E0F">
        <w:rPr>
          <w:rFonts w:eastAsia="Times New Roman"/>
          <w:b/>
          <w:bCs/>
        </w:rPr>
        <w:t>Contributing Factors of R/ECAPS</w:t>
      </w:r>
    </w:p>
    <w:p w14:paraId="57C3320A" w14:textId="77777777" w:rsidR="00342E0F" w:rsidRDefault="00342E0F" w:rsidP="00342E0F">
      <w:pPr>
        <w:spacing w:after="0" w:line="240" w:lineRule="auto"/>
        <w:ind w:firstLine="360"/>
        <w:jc w:val="both"/>
        <w:textAlignment w:val="baseline"/>
        <w:rPr>
          <w:rFonts w:ascii="Helvetica" w:hAnsi="Helvetica" w:cs="Helvetica"/>
          <w:color w:val="555555"/>
          <w:sz w:val="21"/>
          <w:szCs w:val="21"/>
          <w:shd w:val="clear" w:color="auto" w:fill="FFFFFF"/>
        </w:rPr>
      </w:pPr>
    </w:p>
    <w:p w14:paraId="25FB6763" w14:textId="7FF0E662" w:rsidR="00342E0F" w:rsidRPr="00342E0F" w:rsidRDefault="00342E0F" w:rsidP="00342E0F">
      <w:pPr>
        <w:spacing w:after="0" w:line="240" w:lineRule="auto"/>
        <w:ind w:left="360"/>
        <w:jc w:val="both"/>
        <w:textAlignment w:val="baseline"/>
        <w:rPr>
          <w:rFonts w:cs="Helvetica"/>
          <w:shd w:val="clear" w:color="auto" w:fill="FFFFFF"/>
        </w:rPr>
      </w:pPr>
      <w:r w:rsidRPr="00342E0F">
        <w:rPr>
          <w:rFonts w:cs="Helvetica"/>
          <w:shd w:val="clear" w:color="auto" w:fill="FFFFFF"/>
        </w:rPr>
        <w:t>For similar reasons mentioned earlier, policies that create pockets of homogeneously priced housing will likely increase segregation, which, as overall nonwhite populations grow, could lead to areas within Burlington to become classified as an R/ECAP.</w:t>
      </w:r>
    </w:p>
    <w:p w14:paraId="76638DF5" w14:textId="77777777" w:rsidR="00342E0F" w:rsidRDefault="00342E0F" w:rsidP="00342E0F">
      <w:pPr>
        <w:spacing w:after="0" w:line="240" w:lineRule="auto"/>
        <w:ind w:left="360"/>
        <w:jc w:val="both"/>
        <w:textAlignment w:val="baseline"/>
        <w:rPr>
          <w:rFonts w:ascii="Helvetica" w:hAnsi="Helvetica" w:cs="Helvetica"/>
          <w:color w:val="555555"/>
          <w:sz w:val="21"/>
          <w:szCs w:val="21"/>
          <w:shd w:val="clear" w:color="auto" w:fill="FFFFFF"/>
        </w:rPr>
      </w:pPr>
    </w:p>
    <w:p w14:paraId="6449F885" w14:textId="77777777" w:rsidR="00342E0F" w:rsidRPr="00342E0F" w:rsidRDefault="00342E0F" w:rsidP="00342E0F">
      <w:pPr>
        <w:spacing w:after="0" w:line="240" w:lineRule="auto"/>
        <w:ind w:left="360"/>
        <w:jc w:val="both"/>
        <w:textAlignment w:val="baseline"/>
        <w:rPr>
          <w:bCs/>
        </w:rPr>
      </w:pPr>
    </w:p>
    <w:p w14:paraId="2111B58F" w14:textId="47D9E250" w:rsidR="0008008F" w:rsidRDefault="0008008F" w:rsidP="0008008F">
      <w:pPr>
        <w:ind w:left="360"/>
        <w:rPr>
          <w:b/>
          <w:bCs/>
        </w:rPr>
      </w:pPr>
      <w:r w:rsidRPr="00FB6F61">
        <w:rPr>
          <w:b/>
          <w:bCs/>
        </w:rPr>
        <w:lastRenderedPageBreak/>
        <w:t>Contributing Factors of Disparities in Access to Opportunity</w:t>
      </w:r>
    </w:p>
    <w:p w14:paraId="4FDE2CD8" w14:textId="77777777" w:rsidR="00BA53C2" w:rsidRPr="00FB643E" w:rsidRDefault="00BA53C2" w:rsidP="00BA53C2">
      <w:pPr>
        <w:pStyle w:val="ColorfulList-Accent11"/>
        <w:numPr>
          <w:ilvl w:val="0"/>
          <w:numId w:val="39"/>
        </w:numPr>
        <w:ind w:right="576"/>
        <w:textAlignment w:val="baseline"/>
        <w:rPr>
          <w:rFonts w:asciiTheme="minorHAnsi" w:eastAsia="Times New Roman" w:hAnsiTheme="minorHAnsi"/>
          <w:bCs/>
        </w:rPr>
      </w:pPr>
      <w:r w:rsidRPr="00FB643E">
        <w:rPr>
          <w:rFonts w:asciiTheme="minorHAnsi" w:eastAsia="Times New Roman" w:hAnsiTheme="minorHAnsi"/>
          <w:bCs/>
        </w:rPr>
        <w:t>Availability, type, frequency, and reliability of public transportation</w:t>
      </w:r>
    </w:p>
    <w:p w14:paraId="1B2368C4" w14:textId="77777777" w:rsidR="00FB643E" w:rsidRPr="00FB643E" w:rsidRDefault="00FB643E" w:rsidP="00FB643E">
      <w:pPr>
        <w:pStyle w:val="ColorfulList-Accent11"/>
        <w:numPr>
          <w:ilvl w:val="0"/>
          <w:numId w:val="39"/>
        </w:numPr>
        <w:ind w:right="576"/>
        <w:textAlignment w:val="baseline"/>
        <w:rPr>
          <w:rFonts w:asciiTheme="minorHAnsi" w:eastAsia="Times New Roman" w:hAnsiTheme="minorHAnsi"/>
          <w:bCs/>
        </w:rPr>
      </w:pPr>
      <w:r w:rsidRPr="00FB643E">
        <w:rPr>
          <w:rFonts w:asciiTheme="minorHAnsi" w:eastAsia="Times New Roman" w:hAnsiTheme="minorHAnsi"/>
          <w:bCs/>
        </w:rPr>
        <w:t>Impediments to mobility</w:t>
      </w:r>
    </w:p>
    <w:p w14:paraId="171DB51A" w14:textId="76BA5B5F" w:rsidR="00FB643E" w:rsidRPr="00BA53C2" w:rsidRDefault="00FB643E" w:rsidP="00FB643E">
      <w:pPr>
        <w:pStyle w:val="ColorfulList-Accent11"/>
        <w:numPr>
          <w:ilvl w:val="0"/>
          <w:numId w:val="39"/>
        </w:numPr>
        <w:ind w:right="576"/>
        <w:textAlignment w:val="baseline"/>
        <w:rPr>
          <w:rFonts w:asciiTheme="minorHAnsi" w:eastAsia="Times New Roman" w:hAnsiTheme="minorHAnsi"/>
          <w:bCs/>
          <w:spacing w:val="1"/>
        </w:rPr>
      </w:pPr>
      <w:r w:rsidRPr="00BA53C2">
        <w:rPr>
          <w:rFonts w:asciiTheme="minorHAnsi" w:eastAsia="Times New Roman" w:hAnsiTheme="minorHAnsi"/>
          <w:bCs/>
          <w:spacing w:val="1"/>
        </w:rPr>
        <w:t>Displacement of residents due to economic pressure</w:t>
      </w:r>
      <w:r w:rsidR="00BA53C2" w:rsidRPr="00BA53C2">
        <w:rPr>
          <w:rFonts w:asciiTheme="minorHAnsi" w:eastAsia="Times New Roman" w:hAnsiTheme="minorHAnsi"/>
          <w:bCs/>
          <w:spacing w:val="1"/>
        </w:rPr>
        <w:t xml:space="preserve"> </w:t>
      </w:r>
      <w:r w:rsidR="00BA53C2" w:rsidRPr="00342E0F">
        <w:rPr>
          <w:rFonts w:asciiTheme="minorHAnsi" w:eastAsia="Times New Roman" w:hAnsiTheme="minorHAnsi"/>
          <w:bCs/>
          <w:spacing w:val="1"/>
        </w:rPr>
        <w:t xml:space="preserve">- </w:t>
      </w:r>
      <w:r w:rsidR="00BA53C2" w:rsidRPr="00342E0F">
        <w:rPr>
          <w:rFonts w:asciiTheme="minorHAnsi" w:hAnsiTheme="minorHAnsi" w:cs="Helvetica"/>
          <w:shd w:val="clear" w:color="auto" w:fill="FFFFFF"/>
        </w:rPr>
        <w:t>With local private and public investments into low-income census tracts some residents might be forced to relocate as previously low-income housing is renovated and then rented at market rate. Additionally, with renovated older properties, new public infrastructure, private landlords and the market itself may sustain higher rents, displacing current residents.</w:t>
      </w:r>
    </w:p>
    <w:p w14:paraId="1FF652F9" w14:textId="77777777" w:rsidR="0008008F" w:rsidRPr="00FB6F61" w:rsidRDefault="0008008F" w:rsidP="00220260">
      <w:pPr>
        <w:rPr>
          <w:b/>
          <w:bCs/>
        </w:rPr>
      </w:pPr>
    </w:p>
    <w:p w14:paraId="0CCBF853" w14:textId="5763306B" w:rsidR="0008008F" w:rsidRPr="00FB6F61" w:rsidRDefault="0008008F" w:rsidP="0008008F">
      <w:pPr>
        <w:ind w:left="360"/>
        <w:rPr>
          <w:b/>
          <w:bCs/>
        </w:rPr>
      </w:pPr>
      <w:r w:rsidRPr="00FB6F61">
        <w:rPr>
          <w:b/>
          <w:bCs/>
        </w:rPr>
        <w:t>Contributing Factors of Disproportionate Housing Needs</w:t>
      </w:r>
    </w:p>
    <w:p w14:paraId="22263C17" w14:textId="77777777" w:rsidR="00DA66FE" w:rsidRPr="00DA66FE" w:rsidRDefault="00FB643E" w:rsidP="00DA66FE">
      <w:pPr>
        <w:pStyle w:val="ListParagraph"/>
        <w:numPr>
          <w:ilvl w:val="0"/>
          <w:numId w:val="40"/>
        </w:numPr>
        <w:tabs>
          <w:tab w:val="left" w:pos="720"/>
          <w:tab w:val="left" w:pos="1080"/>
        </w:tabs>
        <w:spacing w:after="0" w:line="240" w:lineRule="auto"/>
        <w:textAlignment w:val="baseline"/>
        <w:rPr>
          <w:rFonts w:eastAsia="Times New Roman"/>
          <w:bCs/>
        </w:rPr>
      </w:pPr>
      <w:r w:rsidRPr="00DA66FE">
        <w:rPr>
          <w:rFonts w:eastAsia="Times New Roman"/>
          <w:bCs/>
        </w:rPr>
        <w:t>Availability of affordable units in a range of sizes</w:t>
      </w:r>
    </w:p>
    <w:p w14:paraId="6B9B2BB3" w14:textId="24E68A4E" w:rsidR="00FB643E" w:rsidRPr="00815B32" w:rsidRDefault="00FB643E" w:rsidP="00DA66FE">
      <w:pPr>
        <w:pStyle w:val="ListParagraph"/>
        <w:numPr>
          <w:ilvl w:val="0"/>
          <w:numId w:val="40"/>
        </w:numPr>
        <w:tabs>
          <w:tab w:val="left" w:pos="720"/>
          <w:tab w:val="left" w:pos="1080"/>
        </w:tabs>
        <w:spacing w:after="0" w:line="240" w:lineRule="auto"/>
        <w:textAlignment w:val="baseline"/>
        <w:rPr>
          <w:rFonts w:eastAsia="Times New Roman"/>
          <w:bCs/>
        </w:rPr>
      </w:pPr>
      <w:r w:rsidRPr="00DA66FE">
        <w:rPr>
          <w:rFonts w:eastAsia="Times New Roman"/>
          <w:bCs/>
        </w:rPr>
        <w:t>Lack of affordable housing units</w:t>
      </w:r>
      <w:r w:rsidR="00815B32">
        <w:rPr>
          <w:rFonts w:eastAsia="Times New Roman"/>
          <w:bCs/>
        </w:rPr>
        <w:t xml:space="preserve"> -  </w:t>
      </w:r>
      <w:r w:rsidR="00815B32" w:rsidRPr="00815B32">
        <w:rPr>
          <w:rFonts w:cs="Helvetica"/>
          <w:color w:val="555555"/>
          <w:shd w:val="clear" w:color="auto" w:fill="FFFFFF"/>
        </w:rPr>
        <w:t>Although 25% of Burlington’s housing stock is made affordable via subsidies, vouchers and other programs, many of our residents find it difficult to find an available unit due to the low vacancy rate.</w:t>
      </w:r>
    </w:p>
    <w:p w14:paraId="080232CA" w14:textId="77777777" w:rsidR="0008008F" w:rsidRPr="00FB6F61" w:rsidRDefault="0008008F" w:rsidP="0008008F">
      <w:pPr>
        <w:ind w:left="360"/>
        <w:rPr>
          <w:b/>
          <w:bCs/>
        </w:rPr>
      </w:pPr>
    </w:p>
    <w:p w14:paraId="74741680" w14:textId="77777777" w:rsidR="00FB6F61" w:rsidRPr="00FB6F61" w:rsidRDefault="0008008F" w:rsidP="00FB6F61">
      <w:pPr>
        <w:ind w:left="360"/>
        <w:rPr>
          <w:b/>
          <w:sz w:val="23"/>
          <w:szCs w:val="23"/>
        </w:rPr>
      </w:pPr>
      <w:r w:rsidRPr="00FB6F61">
        <w:rPr>
          <w:b/>
          <w:sz w:val="23"/>
          <w:szCs w:val="23"/>
        </w:rPr>
        <w:t>Contributing Factors of Publicly Supported Housing Location and Occupancy</w:t>
      </w:r>
    </w:p>
    <w:p w14:paraId="4104F26F" w14:textId="77777777" w:rsidR="00803351" w:rsidRPr="00FB6F61" w:rsidRDefault="00803351" w:rsidP="00803351">
      <w:pPr>
        <w:pStyle w:val="ListParagraph"/>
        <w:numPr>
          <w:ilvl w:val="0"/>
          <w:numId w:val="33"/>
        </w:numPr>
        <w:rPr>
          <w:sz w:val="23"/>
          <w:szCs w:val="23"/>
        </w:rPr>
      </w:pPr>
      <w:r w:rsidRPr="00FB6F61">
        <w:rPr>
          <w:rFonts w:ascii="Calibri" w:eastAsia="Calibri" w:hAnsi="Calibri" w:cs="Calibri"/>
          <w:bCs/>
        </w:rPr>
        <w:t xml:space="preserve">Admissions and occupancy policies and procedures, including preferences in publicly supported housing </w:t>
      </w:r>
    </w:p>
    <w:p w14:paraId="16DFA961" w14:textId="77777777" w:rsidR="00803351" w:rsidRPr="00FB6F61" w:rsidRDefault="00803351" w:rsidP="00803351">
      <w:pPr>
        <w:pStyle w:val="ListParagraph"/>
        <w:numPr>
          <w:ilvl w:val="0"/>
          <w:numId w:val="33"/>
        </w:numPr>
        <w:rPr>
          <w:sz w:val="23"/>
          <w:szCs w:val="23"/>
        </w:rPr>
      </w:pPr>
      <w:r w:rsidRPr="00FB6F61">
        <w:rPr>
          <w:rFonts w:ascii="Calibri" w:eastAsia="Calibri" w:hAnsi="Calibri" w:cs="Calibri"/>
          <w:bCs/>
        </w:rPr>
        <w:t>Community opposition</w:t>
      </w:r>
    </w:p>
    <w:p w14:paraId="6D461CF6" w14:textId="6D1397BE" w:rsidR="00FB6F61" w:rsidRPr="00803351" w:rsidRDefault="0032080E" w:rsidP="00FB6F61">
      <w:pPr>
        <w:pStyle w:val="ListParagraph"/>
        <w:numPr>
          <w:ilvl w:val="0"/>
          <w:numId w:val="33"/>
        </w:numPr>
        <w:rPr>
          <w:sz w:val="23"/>
          <w:szCs w:val="23"/>
        </w:rPr>
      </w:pPr>
      <w:r w:rsidRPr="00FB6F61">
        <w:rPr>
          <w:rFonts w:ascii="Calibri" w:eastAsia="Calibri" w:hAnsi="Calibri" w:cs="Calibri"/>
          <w:bCs/>
        </w:rPr>
        <w:t xml:space="preserve">Impediments to mobility </w:t>
      </w:r>
    </w:p>
    <w:p w14:paraId="45242020" w14:textId="77777777" w:rsidR="00220260" w:rsidRDefault="00220260" w:rsidP="00A63C03">
      <w:pPr>
        <w:rPr>
          <w:sz w:val="23"/>
          <w:szCs w:val="23"/>
        </w:rPr>
      </w:pPr>
    </w:p>
    <w:p w14:paraId="6F676FDF" w14:textId="77777777" w:rsidR="00771871" w:rsidRPr="00FB6F61" w:rsidRDefault="0008008F" w:rsidP="00771871">
      <w:pPr>
        <w:ind w:left="360"/>
        <w:rPr>
          <w:b/>
          <w:sz w:val="23"/>
          <w:szCs w:val="23"/>
        </w:rPr>
      </w:pPr>
      <w:r w:rsidRPr="00FB6F61">
        <w:rPr>
          <w:b/>
          <w:sz w:val="23"/>
          <w:szCs w:val="23"/>
        </w:rPr>
        <w:t>Contributing Factors to Disability and Access</w:t>
      </w:r>
    </w:p>
    <w:p w14:paraId="5F24EE30" w14:textId="74A26647" w:rsidR="005159E9" w:rsidRPr="00FB6F61" w:rsidRDefault="009A2CF5" w:rsidP="00FB6F61">
      <w:pPr>
        <w:pStyle w:val="ListParagraph"/>
        <w:numPr>
          <w:ilvl w:val="0"/>
          <w:numId w:val="33"/>
        </w:numPr>
        <w:ind w:left="1440"/>
        <w:rPr>
          <w:sz w:val="23"/>
          <w:szCs w:val="23"/>
        </w:rPr>
      </w:pPr>
      <w:r w:rsidRPr="00FB6F61">
        <w:rPr>
          <w:rFonts w:eastAsia="Times New Roman"/>
          <w:bCs/>
        </w:rPr>
        <w:t>Lack of affordable, accessible housing in range of unit sizes</w:t>
      </w:r>
    </w:p>
    <w:p w14:paraId="26D2A325" w14:textId="77777777" w:rsidR="005159E9" w:rsidRPr="00FB6F61" w:rsidRDefault="005159E9" w:rsidP="005159E9">
      <w:pPr>
        <w:pStyle w:val="ListParagraph"/>
        <w:numPr>
          <w:ilvl w:val="0"/>
          <w:numId w:val="13"/>
        </w:numPr>
        <w:autoSpaceDE w:val="0"/>
        <w:autoSpaceDN w:val="0"/>
        <w:adjustRightInd w:val="0"/>
        <w:spacing w:after="0" w:line="240" w:lineRule="auto"/>
        <w:rPr>
          <w:rFonts w:ascii="Calibri" w:hAnsi="Calibri" w:cs="Calibri"/>
          <w:color w:val="000000"/>
          <w:sz w:val="23"/>
          <w:szCs w:val="23"/>
        </w:rPr>
      </w:pPr>
      <w:r w:rsidRPr="00FB6F61">
        <w:rPr>
          <w:rFonts w:ascii="Calibri" w:hAnsi="Calibri" w:cs="Calibri"/>
          <w:color w:val="000000"/>
          <w:sz w:val="23"/>
          <w:szCs w:val="23"/>
        </w:rPr>
        <w:t xml:space="preserve">Lack of affordable, integrated housing for individuals who need supportive services </w:t>
      </w:r>
    </w:p>
    <w:p w14:paraId="51CFEDBC" w14:textId="77777777" w:rsidR="00FB6F61" w:rsidRPr="00FB6F61" w:rsidRDefault="00FB6F61" w:rsidP="00FB6F61">
      <w:pPr>
        <w:pStyle w:val="ListParagraph"/>
        <w:numPr>
          <w:ilvl w:val="0"/>
          <w:numId w:val="13"/>
        </w:numPr>
        <w:rPr>
          <w:sz w:val="23"/>
          <w:szCs w:val="23"/>
        </w:rPr>
      </w:pPr>
      <w:r w:rsidRPr="00FB6F61">
        <w:rPr>
          <w:bCs/>
          <w:sz w:val="23"/>
          <w:szCs w:val="23"/>
        </w:rPr>
        <w:t>Lack of assistance for housing accessibility modifications</w:t>
      </w:r>
    </w:p>
    <w:p w14:paraId="4F55A52E" w14:textId="3A787DB9" w:rsidR="009A2CF5" w:rsidRPr="00FB6F61" w:rsidRDefault="009A2CF5" w:rsidP="003E6114">
      <w:pPr>
        <w:pStyle w:val="ListParagraph"/>
        <w:numPr>
          <w:ilvl w:val="0"/>
          <w:numId w:val="13"/>
        </w:numPr>
        <w:rPr>
          <w:rFonts w:eastAsia="Times New Roman"/>
          <w:bCs/>
          <w:color w:val="FF0000"/>
        </w:rPr>
      </w:pPr>
      <w:r w:rsidRPr="00FB6F61">
        <w:rPr>
          <w:rFonts w:eastAsia="Times New Roman"/>
          <w:bCs/>
          <w:spacing w:val="-1"/>
        </w:rPr>
        <w:t xml:space="preserve">Inaccessible public or private infrastructure </w:t>
      </w:r>
    </w:p>
    <w:p w14:paraId="717772EF" w14:textId="0BA0514D" w:rsidR="009A2CF5" w:rsidRPr="00FB643E" w:rsidRDefault="0008008F" w:rsidP="009A2CF5">
      <w:pPr>
        <w:ind w:left="360"/>
        <w:rPr>
          <w:b/>
          <w:sz w:val="23"/>
          <w:szCs w:val="23"/>
        </w:rPr>
      </w:pPr>
      <w:r w:rsidRPr="00FB643E">
        <w:rPr>
          <w:b/>
          <w:sz w:val="23"/>
          <w:szCs w:val="23"/>
        </w:rPr>
        <w:t xml:space="preserve">Contributing Factors to Fair Housing Enforcement, Outreach Capacity and Resources </w:t>
      </w:r>
    </w:p>
    <w:p w14:paraId="776A7229" w14:textId="6EB8D2F0" w:rsidR="009A2CF5" w:rsidRPr="00FB643E" w:rsidRDefault="009A2CF5" w:rsidP="009A2CF5">
      <w:pPr>
        <w:pStyle w:val="ColorfulList-Accent11"/>
        <w:numPr>
          <w:ilvl w:val="0"/>
          <w:numId w:val="14"/>
        </w:numPr>
        <w:spacing w:after="240"/>
        <w:ind w:left="1440"/>
        <w:rPr>
          <w:rFonts w:asciiTheme="minorHAnsi" w:hAnsiTheme="minorHAnsi"/>
          <w:bCs/>
        </w:rPr>
      </w:pPr>
      <w:r w:rsidRPr="00FB643E">
        <w:rPr>
          <w:rFonts w:asciiTheme="minorHAnsi" w:hAnsiTheme="minorHAnsi"/>
          <w:bCs/>
        </w:rPr>
        <w:t xml:space="preserve">Lack of local public fair housing </w:t>
      </w:r>
      <w:r w:rsidR="00FE30E1">
        <w:rPr>
          <w:rFonts w:asciiTheme="minorHAnsi" w:hAnsiTheme="minorHAnsi"/>
          <w:bCs/>
        </w:rPr>
        <w:t xml:space="preserve">outreach </w:t>
      </w:r>
      <w:r w:rsidRPr="00FB643E">
        <w:rPr>
          <w:rFonts w:asciiTheme="minorHAnsi" w:hAnsiTheme="minorHAnsi"/>
          <w:bCs/>
        </w:rPr>
        <w:t>enforcement</w:t>
      </w:r>
    </w:p>
    <w:p w14:paraId="033CC36C" w14:textId="7FA31413" w:rsidR="009A2CF5" w:rsidRPr="00FB643E" w:rsidRDefault="009A2CF5" w:rsidP="009A2CF5">
      <w:pPr>
        <w:pStyle w:val="ColorfulList-Accent11"/>
        <w:numPr>
          <w:ilvl w:val="0"/>
          <w:numId w:val="14"/>
        </w:numPr>
        <w:spacing w:after="240"/>
        <w:ind w:left="1440"/>
        <w:rPr>
          <w:rFonts w:asciiTheme="minorHAnsi" w:hAnsiTheme="minorHAnsi"/>
          <w:bCs/>
        </w:rPr>
      </w:pPr>
      <w:r w:rsidRPr="00FB643E">
        <w:rPr>
          <w:rFonts w:asciiTheme="minorHAnsi" w:hAnsiTheme="minorHAnsi"/>
          <w:bCs/>
        </w:rPr>
        <w:t>Need for expanded policies for inclusion</w:t>
      </w:r>
    </w:p>
    <w:p w14:paraId="5F66581D" w14:textId="77777777" w:rsidR="00A9509E" w:rsidRDefault="00A9509E" w:rsidP="00A9509E">
      <w:pPr>
        <w:pStyle w:val="ColorfulList-Accent11"/>
        <w:spacing w:after="240"/>
        <w:ind w:left="360"/>
        <w:rPr>
          <w:rFonts w:ascii="Helvetica" w:hAnsi="Helvetica" w:cs="Helvetica"/>
          <w:color w:val="555555"/>
          <w:sz w:val="21"/>
          <w:szCs w:val="21"/>
          <w:shd w:val="clear" w:color="auto" w:fill="FFFFFF"/>
        </w:rPr>
      </w:pPr>
    </w:p>
    <w:p w14:paraId="49AA9876" w14:textId="5209DCBE" w:rsidR="009A2CF5" w:rsidRPr="00A9509E" w:rsidRDefault="00A9509E" w:rsidP="00A9509E">
      <w:pPr>
        <w:pStyle w:val="ColorfulList-Accent11"/>
        <w:spacing w:after="240"/>
        <w:ind w:left="360"/>
        <w:rPr>
          <w:rFonts w:asciiTheme="minorHAnsi" w:hAnsiTheme="minorHAnsi"/>
          <w:b/>
          <w:bCs/>
        </w:rPr>
      </w:pPr>
      <w:r w:rsidRPr="00A9509E">
        <w:rPr>
          <w:rFonts w:asciiTheme="minorHAnsi" w:hAnsiTheme="minorHAnsi" w:cs="Helvetica"/>
          <w:color w:val="555555"/>
          <w:shd w:val="clear" w:color="auto" w:fill="FFFFFF"/>
        </w:rPr>
        <w:t>The most important course of action for Burlington in the realm of AFFH and inclusion is to continue, and consider enhancing, those policies and practices that have tended to help Burlington to proactively affirmatively further fair housing, such as the City’s inclusionary zoning bylaws. Exploring ways of possibly including some more units of affordable housing in certain high property value areas of the City could be worth some thought and study going forward.</w:t>
      </w:r>
    </w:p>
    <w:p w14:paraId="7129DBF1" w14:textId="3AD024F2" w:rsidR="0021335D" w:rsidRPr="008330E4" w:rsidRDefault="0021335D" w:rsidP="0021335D">
      <w:pPr>
        <w:ind w:left="360"/>
        <w:rPr>
          <w:i/>
        </w:rPr>
      </w:pPr>
    </w:p>
    <w:p w14:paraId="07CE5BD6" w14:textId="4C0F31EF" w:rsidR="0021335D" w:rsidRPr="008330E4" w:rsidRDefault="5F884969" w:rsidP="5F884969">
      <w:pPr>
        <w:ind w:left="360"/>
        <w:rPr>
          <w:b/>
          <w:bCs/>
        </w:rPr>
      </w:pPr>
      <w:r w:rsidRPr="008330E4">
        <w:rPr>
          <w:b/>
          <w:bCs/>
        </w:rPr>
        <w:t xml:space="preserve">For each fair housing issue with significant contributing factors identified in the previous AFH prompt, set one or more goals. Explain how each goal is designed to overcome the identified </w:t>
      </w:r>
      <w:r w:rsidRPr="008330E4">
        <w:rPr>
          <w:b/>
          <w:bCs/>
        </w:rPr>
        <w:lastRenderedPageBreak/>
        <w:t>contributing factor and related fair housing issue(s). For goals designed to overcome more than one fair housing issue, explain how the goal will overcome each issue and the related contributing factors. For each goal, identify metrics and milestones for determining what fair housing results will be achieved, and indicate the timeframe for achievement.</w:t>
      </w:r>
    </w:p>
    <w:p w14:paraId="416DC7FB" w14:textId="72AEA5D0" w:rsidR="00866EDB" w:rsidRDefault="00866EDB" w:rsidP="00866EDB"/>
    <w:p w14:paraId="702920ED" w14:textId="5A1CD705" w:rsidR="0021335D" w:rsidRDefault="0021335D" w:rsidP="0021335D">
      <w:pPr>
        <w:ind w:left="360"/>
      </w:pPr>
    </w:p>
    <w:p w14:paraId="4BF2C455" w14:textId="77777777" w:rsidR="00866EDB" w:rsidRDefault="00866EDB" w:rsidP="0021335D">
      <w:pPr>
        <w:ind w:left="360"/>
      </w:pPr>
    </w:p>
    <w:p w14:paraId="3B62E099" w14:textId="77777777" w:rsidR="00866EDB" w:rsidRDefault="00866EDB" w:rsidP="0021335D">
      <w:pPr>
        <w:ind w:left="360"/>
      </w:pPr>
    </w:p>
    <w:p w14:paraId="15F13AAE" w14:textId="77777777" w:rsidR="00220260" w:rsidRDefault="00220260" w:rsidP="0021335D">
      <w:pPr>
        <w:ind w:left="360"/>
      </w:pPr>
    </w:p>
    <w:tbl>
      <w:tblPr>
        <w:tblpPr w:leftFromText="180" w:rightFromText="180" w:vertAnchor="text" w:horzAnchor="page" w:tblpX="1439"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67"/>
        <w:gridCol w:w="2376"/>
        <w:gridCol w:w="2334"/>
        <w:gridCol w:w="1515"/>
      </w:tblGrid>
      <w:tr w:rsidR="00A21B81" w:rsidRPr="004971C1" w14:paraId="341117E4" w14:textId="77777777" w:rsidTr="007508F1">
        <w:tc>
          <w:tcPr>
            <w:tcW w:w="1558" w:type="dxa"/>
            <w:shd w:val="clear" w:color="auto" w:fill="auto"/>
            <w:vAlign w:val="center"/>
          </w:tcPr>
          <w:p w14:paraId="3AED370A" w14:textId="77777777" w:rsidR="007D0D96" w:rsidRPr="004971C1" w:rsidRDefault="5F884969" w:rsidP="5F884969">
            <w:pPr>
              <w:spacing w:after="240"/>
              <w:jc w:val="center"/>
              <w:rPr>
                <w:rFonts w:eastAsia="Calibri"/>
                <w:b/>
                <w:bCs/>
                <w:u w:val="single"/>
              </w:rPr>
            </w:pPr>
            <w:r w:rsidRPr="5F884969">
              <w:rPr>
                <w:rFonts w:eastAsia="Calibri"/>
                <w:b/>
                <w:bCs/>
                <w:u w:val="single"/>
              </w:rPr>
              <w:t>Goal</w:t>
            </w:r>
          </w:p>
        </w:tc>
        <w:tc>
          <w:tcPr>
            <w:tcW w:w="1567" w:type="dxa"/>
            <w:shd w:val="clear" w:color="auto" w:fill="auto"/>
            <w:vAlign w:val="center"/>
          </w:tcPr>
          <w:p w14:paraId="39653E38" w14:textId="77777777" w:rsidR="007D0D96" w:rsidRPr="004971C1" w:rsidRDefault="5F884969" w:rsidP="5F884969">
            <w:pPr>
              <w:spacing w:after="240"/>
              <w:jc w:val="center"/>
              <w:rPr>
                <w:rFonts w:eastAsia="Calibri"/>
                <w:b/>
                <w:bCs/>
                <w:u w:val="single"/>
              </w:rPr>
            </w:pPr>
            <w:r w:rsidRPr="5F884969">
              <w:rPr>
                <w:rFonts w:eastAsia="Calibri"/>
                <w:b/>
                <w:bCs/>
                <w:u w:val="single"/>
              </w:rPr>
              <w:t>Contributing Factors</w:t>
            </w:r>
          </w:p>
        </w:tc>
        <w:tc>
          <w:tcPr>
            <w:tcW w:w="2376" w:type="dxa"/>
            <w:shd w:val="clear" w:color="auto" w:fill="auto"/>
            <w:vAlign w:val="center"/>
          </w:tcPr>
          <w:p w14:paraId="7C10BE09" w14:textId="77777777" w:rsidR="007D0D96" w:rsidRPr="004971C1" w:rsidRDefault="5F884969" w:rsidP="5F884969">
            <w:pPr>
              <w:spacing w:after="240"/>
              <w:jc w:val="center"/>
              <w:rPr>
                <w:rFonts w:eastAsia="Calibri"/>
                <w:b/>
                <w:bCs/>
                <w:u w:val="single"/>
              </w:rPr>
            </w:pPr>
            <w:r w:rsidRPr="5F884969">
              <w:rPr>
                <w:rFonts w:eastAsia="Calibri"/>
                <w:b/>
                <w:bCs/>
                <w:u w:val="single"/>
              </w:rPr>
              <w:t>Fair Housing Issues</w:t>
            </w:r>
          </w:p>
        </w:tc>
        <w:tc>
          <w:tcPr>
            <w:tcW w:w="2334" w:type="dxa"/>
            <w:shd w:val="clear" w:color="auto" w:fill="auto"/>
          </w:tcPr>
          <w:p w14:paraId="29575B5A" w14:textId="77777777" w:rsidR="007D0D96" w:rsidRPr="004971C1" w:rsidRDefault="5F884969" w:rsidP="5F884969">
            <w:pPr>
              <w:spacing w:after="240"/>
              <w:jc w:val="center"/>
              <w:rPr>
                <w:rFonts w:eastAsia="Calibri"/>
                <w:b/>
                <w:bCs/>
                <w:u w:val="single"/>
              </w:rPr>
            </w:pPr>
            <w:r w:rsidRPr="5F884969">
              <w:rPr>
                <w:rFonts w:eastAsia="Calibri"/>
                <w:b/>
                <w:bCs/>
                <w:u w:val="single"/>
              </w:rPr>
              <w:t>Metrics, Milestones, and Timeframe for Achievement</w:t>
            </w:r>
          </w:p>
        </w:tc>
        <w:tc>
          <w:tcPr>
            <w:tcW w:w="1515" w:type="dxa"/>
            <w:shd w:val="clear" w:color="auto" w:fill="auto"/>
            <w:vAlign w:val="center"/>
          </w:tcPr>
          <w:p w14:paraId="17585DBF" w14:textId="77777777" w:rsidR="007D0D96" w:rsidRPr="004971C1" w:rsidRDefault="5F884969" w:rsidP="5F884969">
            <w:pPr>
              <w:spacing w:after="240"/>
              <w:jc w:val="center"/>
              <w:rPr>
                <w:rFonts w:eastAsia="Calibri"/>
                <w:b/>
                <w:bCs/>
                <w:u w:val="single"/>
              </w:rPr>
            </w:pPr>
            <w:r w:rsidRPr="5F884969">
              <w:rPr>
                <w:rFonts w:eastAsia="Calibri"/>
                <w:b/>
                <w:bCs/>
                <w:u w:val="single"/>
              </w:rPr>
              <w:t>Responsible Program Participant(s)</w:t>
            </w:r>
          </w:p>
        </w:tc>
      </w:tr>
      <w:tr w:rsidR="00A21B81" w:rsidRPr="004971C1" w14:paraId="3031DC9D" w14:textId="77777777" w:rsidTr="007508F1">
        <w:tc>
          <w:tcPr>
            <w:tcW w:w="1558" w:type="dxa"/>
            <w:shd w:val="clear" w:color="auto" w:fill="auto"/>
          </w:tcPr>
          <w:p w14:paraId="0ECE65D1" w14:textId="3FD53AB9" w:rsidR="007D0D96" w:rsidRPr="004971C1" w:rsidRDefault="00981B26" w:rsidP="002E01E9">
            <w:pPr>
              <w:spacing w:after="240"/>
              <w:rPr>
                <w:rFonts w:eastAsia="Calibri"/>
                <w:b/>
              </w:rPr>
            </w:pPr>
            <w:r>
              <w:rPr>
                <w:rFonts w:eastAsia="Calibri"/>
                <w:b/>
              </w:rPr>
              <w:t>Increase Affordable Housing Options</w:t>
            </w:r>
            <w:r w:rsidR="003663BC">
              <w:rPr>
                <w:rFonts w:eastAsia="Calibri"/>
                <w:b/>
              </w:rPr>
              <w:t>- Neighborhood Stabilization Plan</w:t>
            </w:r>
          </w:p>
          <w:p w14:paraId="1F24AA31" w14:textId="77777777" w:rsidR="007D0D96" w:rsidRPr="004971C1" w:rsidRDefault="007D0D96" w:rsidP="002E01E9">
            <w:pPr>
              <w:spacing w:after="240"/>
              <w:rPr>
                <w:rFonts w:eastAsia="Calibri"/>
                <w:b/>
              </w:rPr>
            </w:pPr>
          </w:p>
        </w:tc>
        <w:tc>
          <w:tcPr>
            <w:tcW w:w="1567" w:type="dxa"/>
            <w:shd w:val="clear" w:color="auto" w:fill="auto"/>
          </w:tcPr>
          <w:p w14:paraId="523A23F0" w14:textId="77777777" w:rsidR="007D0D96" w:rsidRPr="00C87A95" w:rsidRDefault="000002A3" w:rsidP="002E01E9">
            <w:pPr>
              <w:spacing w:after="240"/>
              <w:rPr>
                <w:rFonts w:eastAsia="Calibri"/>
              </w:rPr>
            </w:pPr>
            <w:r w:rsidRPr="00C87A95">
              <w:rPr>
                <w:rFonts w:eastAsia="Calibri"/>
              </w:rPr>
              <w:t>Impediments to Mobility</w:t>
            </w:r>
          </w:p>
          <w:p w14:paraId="5CA1D42B" w14:textId="5357C5B2" w:rsidR="000002A3" w:rsidRPr="004971C1" w:rsidRDefault="000002A3" w:rsidP="002E01E9">
            <w:pPr>
              <w:spacing w:after="240"/>
              <w:rPr>
                <w:rFonts w:eastAsia="Calibri"/>
                <w:b/>
              </w:rPr>
            </w:pPr>
            <w:r w:rsidRPr="00C87A95">
              <w:rPr>
                <w:rFonts w:eastAsia="Calibri"/>
              </w:rPr>
              <w:t>Lack of affordable units</w:t>
            </w:r>
          </w:p>
        </w:tc>
        <w:tc>
          <w:tcPr>
            <w:tcW w:w="2376" w:type="dxa"/>
            <w:shd w:val="clear" w:color="auto" w:fill="auto"/>
          </w:tcPr>
          <w:p w14:paraId="47556291" w14:textId="69482CEE" w:rsidR="007D0D96" w:rsidRPr="00C87A95" w:rsidRDefault="000002A3" w:rsidP="002E01E9">
            <w:pPr>
              <w:spacing w:after="240"/>
              <w:rPr>
                <w:rFonts w:eastAsia="Calibri"/>
              </w:rPr>
            </w:pPr>
            <w:r w:rsidRPr="00C87A95">
              <w:rPr>
                <w:rFonts w:eastAsia="Calibri"/>
              </w:rPr>
              <w:t>Protected classes lack neighborhood options due to market</w:t>
            </w:r>
          </w:p>
        </w:tc>
        <w:tc>
          <w:tcPr>
            <w:tcW w:w="2334" w:type="dxa"/>
            <w:shd w:val="clear" w:color="auto" w:fill="auto"/>
          </w:tcPr>
          <w:p w14:paraId="634EF269" w14:textId="77777777" w:rsidR="007D0D96" w:rsidRPr="00C87A95" w:rsidRDefault="000002A3" w:rsidP="002E01E9">
            <w:pPr>
              <w:spacing w:after="240"/>
              <w:rPr>
                <w:rFonts w:eastAsia="Calibri"/>
              </w:rPr>
            </w:pPr>
            <w:r w:rsidRPr="00C87A95">
              <w:rPr>
                <w:rFonts w:eastAsia="Calibri"/>
              </w:rPr>
              <w:t>RFP – 8.17</w:t>
            </w:r>
          </w:p>
          <w:p w14:paraId="66B6A3CC" w14:textId="643623E6" w:rsidR="000002A3" w:rsidRPr="00C87A95" w:rsidRDefault="000002A3" w:rsidP="002E01E9">
            <w:pPr>
              <w:spacing w:after="240"/>
              <w:rPr>
                <w:rFonts w:eastAsia="Calibri"/>
              </w:rPr>
            </w:pPr>
            <w:r w:rsidRPr="00C87A95">
              <w:rPr>
                <w:rFonts w:eastAsia="Calibri"/>
              </w:rPr>
              <w:t xml:space="preserve">Plan review </w:t>
            </w:r>
            <w:r w:rsidR="00C87A95">
              <w:rPr>
                <w:rFonts w:eastAsia="Calibri"/>
              </w:rPr>
              <w:t>-</w:t>
            </w:r>
            <w:r w:rsidRPr="00C87A95">
              <w:rPr>
                <w:rFonts w:eastAsia="Calibri"/>
              </w:rPr>
              <w:t>11.17</w:t>
            </w:r>
          </w:p>
          <w:p w14:paraId="723AA03F" w14:textId="0C0C0DB8" w:rsidR="000002A3" w:rsidRPr="00C87A95" w:rsidRDefault="000002A3" w:rsidP="002E01E9">
            <w:pPr>
              <w:spacing w:after="240"/>
              <w:rPr>
                <w:rFonts w:eastAsia="Calibri"/>
              </w:rPr>
            </w:pPr>
            <w:r w:rsidRPr="00C87A95">
              <w:rPr>
                <w:rFonts w:eastAsia="Calibri"/>
              </w:rPr>
              <w:t>Council review</w:t>
            </w:r>
            <w:r w:rsidR="00C87A95">
              <w:rPr>
                <w:rFonts w:eastAsia="Calibri"/>
              </w:rPr>
              <w:t xml:space="preserve"> -</w:t>
            </w:r>
            <w:r w:rsidRPr="00C87A95">
              <w:rPr>
                <w:rFonts w:eastAsia="Calibri"/>
              </w:rPr>
              <w:t xml:space="preserve"> 1.18</w:t>
            </w:r>
          </w:p>
          <w:p w14:paraId="4E22974F" w14:textId="4576F32E" w:rsidR="003663BC" w:rsidRPr="00C87A95" w:rsidRDefault="003663BC" w:rsidP="002E01E9">
            <w:pPr>
              <w:spacing w:after="240"/>
              <w:rPr>
                <w:rFonts w:eastAsia="Calibri"/>
              </w:rPr>
            </w:pPr>
            <w:r w:rsidRPr="00C87A95">
              <w:rPr>
                <w:rFonts w:eastAsia="Calibri"/>
              </w:rPr>
              <w:t>Implementation</w:t>
            </w:r>
            <w:r w:rsidR="00C87A95">
              <w:rPr>
                <w:rFonts w:eastAsia="Calibri"/>
              </w:rPr>
              <w:t xml:space="preserve"> -</w:t>
            </w:r>
          </w:p>
          <w:p w14:paraId="31B33290" w14:textId="2819879A" w:rsidR="003663BC" w:rsidRPr="004971C1" w:rsidRDefault="003663BC" w:rsidP="002E01E9">
            <w:pPr>
              <w:spacing w:after="240"/>
              <w:rPr>
                <w:rFonts w:eastAsia="Calibri"/>
                <w:b/>
              </w:rPr>
            </w:pPr>
            <w:r w:rsidRPr="00C87A95">
              <w:rPr>
                <w:rFonts w:eastAsia="Calibri"/>
              </w:rPr>
              <w:t>2018-2020</w:t>
            </w:r>
          </w:p>
        </w:tc>
        <w:tc>
          <w:tcPr>
            <w:tcW w:w="1515" w:type="dxa"/>
            <w:shd w:val="clear" w:color="auto" w:fill="auto"/>
          </w:tcPr>
          <w:p w14:paraId="60EC5C71" w14:textId="77777777" w:rsidR="007D0D96" w:rsidRDefault="000002A3" w:rsidP="002E01E9">
            <w:pPr>
              <w:spacing w:after="240"/>
              <w:rPr>
                <w:rFonts w:eastAsia="Calibri"/>
                <w:b/>
              </w:rPr>
            </w:pPr>
            <w:r>
              <w:rPr>
                <w:rFonts w:eastAsia="Calibri"/>
                <w:b/>
              </w:rPr>
              <w:t>CEDO</w:t>
            </w:r>
          </w:p>
          <w:p w14:paraId="1A4D11B0" w14:textId="77777777" w:rsidR="000002A3" w:rsidRDefault="000002A3" w:rsidP="002E01E9">
            <w:pPr>
              <w:spacing w:after="240"/>
              <w:rPr>
                <w:rFonts w:eastAsia="Calibri"/>
                <w:b/>
              </w:rPr>
            </w:pPr>
            <w:r>
              <w:rPr>
                <w:rFonts w:eastAsia="Calibri"/>
                <w:b/>
              </w:rPr>
              <w:t xml:space="preserve">CDNR </w:t>
            </w:r>
          </w:p>
          <w:p w14:paraId="19AC5253" w14:textId="77777777" w:rsidR="000002A3" w:rsidRDefault="000002A3" w:rsidP="002E01E9">
            <w:pPr>
              <w:spacing w:after="240"/>
              <w:rPr>
                <w:rFonts w:eastAsia="Calibri"/>
                <w:b/>
              </w:rPr>
            </w:pPr>
            <w:r>
              <w:rPr>
                <w:rFonts w:eastAsia="Calibri"/>
                <w:b/>
              </w:rPr>
              <w:t>Planning &amp; Zoning</w:t>
            </w:r>
          </w:p>
          <w:p w14:paraId="42A788A4" w14:textId="3E743DF8" w:rsidR="000002A3" w:rsidRPr="004971C1" w:rsidRDefault="000002A3" w:rsidP="002E01E9">
            <w:pPr>
              <w:spacing w:after="240"/>
              <w:rPr>
                <w:rFonts w:eastAsia="Calibri"/>
                <w:b/>
              </w:rPr>
            </w:pPr>
            <w:r>
              <w:rPr>
                <w:rFonts w:eastAsia="Calibri"/>
                <w:b/>
              </w:rPr>
              <w:t>Community Partners</w:t>
            </w:r>
          </w:p>
        </w:tc>
      </w:tr>
      <w:tr w:rsidR="007D0D96" w:rsidRPr="004971C1" w14:paraId="6D125B79" w14:textId="77777777" w:rsidTr="000002A3">
        <w:tc>
          <w:tcPr>
            <w:tcW w:w="9350" w:type="dxa"/>
            <w:gridSpan w:val="5"/>
            <w:shd w:val="clear" w:color="auto" w:fill="auto"/>
          </w:tcPr>
          <w:p w14:paraId="03E92F22" w14:textId="20138672" w:rsidR="007D0D96" w:rsidRPr="004971C1" w:rsidRDefault="5F884969" w:rsidP="5F884969">
            <w:pPr>
              <w:spacing w:after="240"/>
              <w:rPr>
                <w:rFonts w:eastAsia="Calibri"/>
                <w:b/>
                <w:bCs/>
              </w:rPr>
            </w:pPr>
            <w:r w:rsidRPr="5F884969">
              <w:rPr>
                <w:rFonts w:eastAsia="Calibri"/>
                <w:b/>
                <w:bCs/>
              </w:rPr>
              <w:t xml:space="preserve">Discussion: </w:t>
            </w:r>
          </w:p>
          <w:p w14:paraId="5DB11227" w14:textId="532CDA59" w:rsidR="000002A3" w:rsidRPr="004971C1" w:rsidRDefault="000002A3" w:rsidP="00220260">
            <w:pPr>
              <w:tabs>
                <w:tab w:val="left" w:pos="1574"/>
              </w:tabs>
              <w:spacing w:after="240"/>
              <w:rPr>
                <w:rFonts w:eastAsia="Calibri"/>
                <w:b/>
              </w:rPr>
            </w:pPr>
            <w:r>
              <w:rPr>
                <w:rFonts w:eastAsia="Calibri"/>
              </w:rPr>
              <w:t>Create a neighborhood plan to convert residential units used for student housing by private landlords to individual/family households.</w:t>
            </w:r>
            <w:r w:rsidR="00220260">
              <w:rPr>
                <w:rFonts w:eastAsia="Calibri"/>
                <w:b/>
              </w:rPr>
              <w:tab/>
            </w:r>
          </w:p>
        </w:tc>
      </w:tr>
      <w:tr w:rsidR="00A21B81" w:rsidRPr="004971C1" w14:paraId="361879A4" w14:textId="77777777" w:rsidTr="007508F1">
        <w:tc>
          <w:tcPr>
            <w:tcW w:w="1558" w:type="dxa"/>
            <w:shd w:val="clear" w:color="auto" w:fill="auto"/>
            <w:vAlign w:val="center"/>
          </w:tcPr>
          <w:p w14:paraId="1364F173" w14:textId="77777777" w:rsidR="000002A3" w:rsidRPr="004971C1" w:rsidRDefault="000002A3" w:rsidP="00A71A94">
            <w:pPr>
              <w:spacing w:after="240"/>
              <w:jc w:val="center"/>
              <w:rPr>
                <w:rFonts w:eastAsia="Calibri"/>
                <w:b/>
                <w:bCs/>
                <w:u w:val="single"/>
              </w:rPr>
            </w:pPr>
            <w:r w:rsidRPr="5F884969">
              <w:rPr>
                <w:rFonts w:eastAsia="Calibri"/>
                <w:b/>
                <w:bCs/>
                <w:u w:val="single"/>
              </w:rPr>
              <w:t>Goal</w:t>
            </w:r>
          </w:p>
        </w:tc>
        <w:tc>
          <w:tcPr>
            <w:tcW w:w="1567" w:type="dxa"/>
            <w:shd w:val="clear" w:color="auto" w:fill="auto"/>
            <w:vAlign w:val="center"/>
          </w:tcPr>
          <w:p w14:paraId="228F7909" w14:textId="77777777" w:rsidR="000002A3" w:rsidRPr="004971C1" w:rsidRDefault="000002A3" w:rsidP="00A71A94">
            <w:pPr>
              <w:spacing w:after="240"/>
              <w:jc w:val="center"/>
              <w:rPr>
                <w:rFonts w:eastAsia="Calibri"/>
                <w:b/>
                <w:bCs/>
                <w:u w:val="single"/>
              </w:rPr>
            </w:pPr>
            <w:r w:rsidRPr="5F884969">
              <w:rPr>
                <w:rFonts w:eastAsia="Calibri"/>
                <w:b/>
                <w:bCs/>
                <w:u w:val="single"/>
              </w:rPr>
              <w:t>Contributing Factors</w:t>
            </w:r>
          </w:p>
        </w:tc>
        <w:tc>
          <w:tcPr>
            <w:tcW w:w="2376" w:type="dxa"/>
            <w:shd w:val="clear" w:color="auto" w:fill="auto"/>
            <w:vAlign w:val="center"/>
          </w:tcPr>
          <w:p w14:paraId="752300D8" w14:textId="77777777" w:rsidR="000002A3" w:rsidRPr="004971C1" w:rsidRDefault="000002A3" w:rsidP="00A71A94">
            <w:pPr>
              <w:spacing w:after="240"/>
              <w:jc w:val="center"/>
              <w:rPr>
                <w:rFonts w:eastAsia="Calibri"/>
                <w:b/>
                <w:bCs/>
                <w:u w:val="single"/>
              </w:rPr>
            </w:pPr>
            <w:r w:rsidRPr="5F884969">
              <w:rPr>
                <w:rFonts w:eastAsia="Calibri"/>
                <w:b/>
                <w:bCs/>
                <w:u w:val="single"/>
              </w:rPr>
              <w:t>Fair Housing Issues</w:t>
            </w:r>
          </w:p>
        </w:tc>
        <w:tc>
          <w:tcPr>
            <w:tcW w:w="2334" w:type="dxa"/>
            <w:shd w:val="clear" w:color="auto" w:fill="auto"/>
          </w:tcPr>
          <w:p w14:paraId="5AE44F9C" w14:textId="77777777" w:rsidR="000002A3" w:rsidRPr="004971C1" w:rsidRDefault="000002A3" w:rsidP="00A71A94">
            <w:pPr>
              <w:spacing w:after="240"/>
              <w:jc w:val="center"/>
              <w:rPr>
                <w:rFonts w:eastAsia="Calibri"/>
                <w:b/>
                <w:bCs/>
                <w:u w:val="single"/>
              </w:rPr>
            </w:pPr>
            <w:r w:rsidRPr="5F884969">
              <w:rPr>
                <w:rFonts w:eastAsia="Calibri"/>
                <w:b/>
                <w:bCs/>
                <w:u w:val="single"/>
              </w:rPr>
              <w:t>Metrics, Milestones, and Timeframe for Achievement</w:t>
            </w:r>
          </w:p>
        </w:tc>
        <w:tc>
          <w:tcPr>
            <w:tcW w:w="1515" w:type="dxa"/>
            <w:shd w:val="clear" w:color="auto" w:fill="auto"/>
            <w:vAlign w:val="center"/>
          </w:tcPr>
          <w:p w14:paraId="03CEF84E" w14:textId="77777777" w:rsidR="000002A3" w:rsidRPr="004971C1" w:rsidRDefault="000002A3" w:rsidP="00A71A94">
            <w:pPr>
              <w:spacing w:after="240"/>
              <w:jc w:val="center"/>
              <w:rPr>
                <w:rFonts w:eastAsia="Calibri"/>
                <w:b/>
                <w:bCs/>
                <w:u w:val="single"/>
              </w:rPr>
            </w:pPr>
            <w:r w:rsidRPr="5F884969">
              <w:rPr>
                <w:rFonts w:eastAsia="Calibri"/>
                <w:b/>
                <w:bCs/>
                <w:u w:val="single"/>
              </w:rPr>
              <w:t>Responsible Program Participant(s)</w:t>
            </w:r>
          </w:p>
        </w:tc>
      </w:tr>
      <w:tr w:rsidR="00A21B81" w:rsidRPr="004971C1" w14:paraId="1726C2D1" w14:textId="77777777" w:rsidTr="007508F1">
        <w:tc>
          <w:tcPr>
            <w:tcW w:w="1558" w:type="dxa"/>
            <w:tcBorders>
              <w:bottom w:val="single" w:sz="4" w:space="0" w:color="auto"/>
            </w:tcBorders>
            <w:shd w:val="clear" w:color="auto" w:fill="auto"/>
            <w:vAlign w:val="center"/>
          </w:tcPr>
          <w:p w14:paraId="44DD4D03" w14:textId="59071361" w:rsidR="003663BC" w:rsidRDefault="003663BC" w:rsidP="00A71A94">
            <w:pPr>
              <w:spacing w:after="240"/>
              <w:jc w:val="center"/>
              <w:rPr>
                <w:rFonts w:eastAsia="Calibri"/>
                <w:b/>
                <w:bCs/>
              </w:rPr>
            </w:pPr>
            <w:r>
              <w:rPr>
                <w:rFonts w:eastAsia="Calibri"/>
                <w:b/>
                <w:bCs/>
              </w:rPr>
              <w:t>Increase affordable housing opportunities – new construction</w:t>
            </w:r>
          </w:p>
          <w:p w14:paraId="2F3AB783" w14:textId="77777777" w:rsidR="00D71834" w:rsidRDefault="00D71834" w:rsidP="00D71834">
            <w:pPr>
              <w:spacing w:after="240"/>
              <w:rPr>
                <w:rFonts w:eastAsia="Calibri"/>
                <w:b/>
                <w:bCs/>
              </w:rPr>
            </w:pPr>
          </w:p>
          <w:p w14:paraId="4E71B26F" w14:textId="77777777" w:rsidR="003663BC" w:rsidRDefault="003663BC" w:rsidP="00A71A94">
            <w:pPr>
              <w:spacing w:after="240"/>
              <w:jc w:val="center"/>
              <w:rPr>
                <w:rFonts w:eastAsia="Calibri"/>
                <w:bCs/>
              </w:rPr>
            </w:pPr>
            <w:r>
              <w:rPr>
                <w:rFonts w:eastAsia="Calibri"/>
                <w:bCs/>
              </w:rPr>
              <w:lastRenderedPageBreak/>
              <w:t>Cambrian Rise</w:t>
            </w:r>
          </w:p>
          <w:p w14:paraId="7A9ED801" w14:textId="77777777" w:rsidR="00D71834" w:rsidRDefault="00D71834" w:rsidP="00A71A94">
            <w:pPr>
              <w:spacing w:after="240"/>
              <w:jc w:val="center"/>
              <w:rPr>
                <w:rFonts w:eastAsia="Calibri"/>
                <w:bCs/>
              </w:rPr>
            </w:pPr>
          </w:p>
          <w:p w14:paraId="3AD1A024" w14:textId="77777777" w:rsidR="00D71834" w:rsidRDefault="00D71834" w:rsidP="00A71A94">
            <w:pPr>
              <w:spacing w:after="240"/>
              <w:jc w:val="center"/>
              <w:rPr>
                <w:rFonts w:eastAsia="Calibri"/>
                <w:bCs/>
              </w:rPr>
            </w:pPr>
          </w:p>
          <w:p w14:paraId="16F94FA2" w14:textId="77777777" w:rsidR="00D71834" w:rsidRDefault="00D71834" w:rsidP="00A71A94">
            <w:pPr>
              <w:spacing w:after="240"/>
              <w:jc w:val="center"/>
              <w:rPr>
                <w:rFonts w:eastAsia="Calibri"/>
                <w:bCs/>
              </w:rPr>
            </w:pPr>
          </w:p>
          <w:p w14:paraId="7570C96C" w14:textId="77777777" w:rsidR="00D71834" w:rsidRDefault="00D71834" w:rsidP="00A71A94">
            <w:pPr>
              <w:spacing w:after="240"/>
              <w:jc w:val="center"/>
              <w:rPr>
                <w:rFonts w:eastAsia="Calibri"/>
                <w:bCs/>
              </w:rPr>
            </w:pPr>
          </w:p>
          <w:p w14:paraId="2D2490CF" w14:textId="77777777" w:rsidR="003663BC" w:rsidRDefault="003663BC" w:rsidP="00A71A94">
            <w:pPr>
              <w:spacing w:after="240"/>
              <w:jc w:val="center"/>
              <w:rPr>
                <w:rFonts w:eastAsia="Calibri"/>
                <w:bCs/>
              </w:rPr>
            </w:pPr>
            <w:r>
              <w:rPr>
                <w:rFonts w:eastAsia="Calibri"/>
                <w:bCs/>
              </w:rPr>
              <w:t>Burlington City Center</w:t>
            </w:r>
          </w:p>
          <w:p w14:paraId="3644AC5A" w14:textId="77777777" w:rsidR="00D71834" w:rsidRDefault="00D71834" w:rsidP="00A71A94">
            <w:pPr>
              <w:spacing w:after="240"/>
              <w:jc w:val="center"/>
              <w:rPr>
                <w:rFonts w:eastAsia="Calibri"/>
                <w:bCs/>
              </w:rPr>
            </w:pPr>
          </w:p>
          <w:p w14:paraId="0394C2F4" w14:textId="77777777" w:rsidR="00D71834" w:rsidRDefault="00D71834" w:rsidP="00A71A94">
            <w:pPr>
              <w:spacing w:after="240"/>
              <w:jc w:val="center"/>
              <w:rPr>
                <w:rFonts w:eastAsia="Calibri"/>
                <w:bCs/>
              </w:rPr>
            </w:pPr>
          </w:p>
          <w:p w14:paraId="7D07BE56" w14:textId="77777777" w:rsidR="00D71834" w:rsidRDefault="00D71834" w:rsidP="00A71A94">
            <w:pPr>
              <w:spacing w:after="240"/>
              <w:jc w:val="center"/>
              <w:rPr>
                <w:rFonts w:eastAsia="Calibri"/>
                <w:bCs/>
              </w:rPr>
            </w:pPr>
          </w:p>
          <w:p w14:paraId="2D1DF62F" w14:textId="77777777" w:rsidR="00D71834" w:rsidRDefault="00D71834" w:rsidP="00A71A94">
            <w:pPr>
              <w:spacing w:after="240"/>
              <w:jc w:val="center"/>
              <w:rPr>
                <w:rFonts w:eastAsia="Calibri"/>
                <w:bCs/>
              </w:rPr>
            </w:pPr>
          </w:p>
          <w:p w14:paraId="717A362C" w14:textId="77777777" w:rsidR="00D71834" w:rsidRDefault="00D71834" w:rsidP="00A71A94">
            <w:pPr>
              <w:spacing w:after="240"/>
              <w:jc w:val="center"/>
              <w:rPr>
                <w:rFonts w:eastAsia="Calibri"/>
                <w:bCs/>
              </w:rPr>
            </w:pPr>
          </w:p>
          <w:p w14:paraId="6ED413C3" w14:textId="7F7F4DAC" w:rsidR="003663BC" w:rsidRDefault="003663BC" w:rsidP="00A71A94">
            <w:pPr>
              <w:spacing w:after="240"/>
              <w:jc w:val="center"/>
              <w:rPr>
                <w:rFonts w:eastAsia="Calibri"/>
                <w:bCs/>
              </w:rPr>
            </w:pPr>
            <w:r>
              <w:rPr>
                <w:rFonts w:eastAsia="Calibri"/>
                <w:bCs/>
              </w:rPr>
              <w:t>Inclusionary Zoning Units</w:t>
            </w:r>
          </w:p>
          <w:p w14:paraId="51D3ACBB" w14:textId="77777777" w:rsidR="003663BC" w:rsidRDefault="003663BC" w:rsidP="00A71A94">
            <w:pPr>
              <w:spacing w:after="240"/>
              <w:jc w:val="center"/>
              <w:rPr>
                <w:rFonts w:eastAsia="Calibri"/>
                <w:bCs/>
              </w:rPr>
            </w:pPr>
          </w:p>
          <w:p w14:paraId="73899E92" w14:textId="4CBB3496" w:rsidR="003663BC" w:rsidRPr="003663BC" w:rsidRDefault="003663BC" w:rsidP="00A71A94">
            <w:pPr>
              <w:spacing w:after="240"/>
              <w:jc w:val="center"/>
              <w:rPr>
                <w:rFonts w:eastAsia="Calibri"/>
                <w:bCs/>
              </w:rPr>
            </w:pPr>
          </w:p>
        </w:tc>
        <w:tc>
          <w:tcPr>
            <w:tcW w:w="1567" w:type="dxa"/>
            <w:tcBorders>
              <w:bottom w:val="single" w:sz="4" w:space="0" w:color="auto"/>
            </w:tcBorders>
            <w:shd w:val="clear" w:color="auto" w:fill="auto"/>
            <w:vAlign w:val="center"/>
          </w:tcPr>
          <w:p w14:paraId="4096557B" w14:textId="77777777" w:rsidR="003663BC" w:rsidRDefault="003663BC" w:rsidP="00A71A94">
            <w:pPr>
              <w:spacing w:after="240"/>
              <w:jc w:val="center"/>
              <w:rPr>
                <w:rFonts w:eastAsia="Calibri"/>
                <w:bCs/>
              </w:rPr>
            </w:pPr>
            <w:r>
              <w:rPr>
                <w:rFonts w:eastAsia="Calibri"/>
                <w:bCs/>
              </w:rPr>
              <w:lastRenderedPageBreak/>
              <w:t>Location and type of affordable housing</w:t>
            </w:r>
          </w:p>
          <w:p w14:paraId="35430A85" w14:textId="77777777" w:rsidR="003663BC" w:rsidRDefault="003663BC" w:rsidP="00A71A94">
            <w:pPr>
              <w:spacing w:after="240"/>
              <w:jc w:val="center"/>
              <w:rPr>
                <w:rFonts w:eastAsia="Calibri"/>
                <w:bCs/>
              </w:rPr>
            </w:pPr>
            <w:r>
              <w:rPr>
                <w:rFonts w:eastAsia="Calibri"/>
                <w:bCs/>
              </w:rPr>
              <w:t>Availability of affordable units in range of sizes</w:t>
            </w:r>
          </w:p>
          <w:p w14:paraId="18FB3A5A" w14:textId="77777777" w:rsidR="003663BC" w:rsidRDefault="003663BC" w:rsidP="00A71A94">
            <w:pPr>
              <w:spacing w:after="240"/>
              <w:jc w:val="center"/>
              <w:rPr>
                <w:rFonts w:eastAsia="Calibri"/>
                <w:bCs/>
              </w:rPr>
            </w:pPr>
            <w:r>
              <w:rPr>
                <w:rFonts w:eastAsia="Calibri"/>
                <w:bCs/>
              </w:rPr>
              <w:lastRenderedPageBreak/>
              <w:t>Lack of affordable units</w:t>
            </w:r>
          </w:p>
          <w:p w14:paraId="59E291AF" w14:textId="77777777" w:rsidR="003663BC" w:rsidRDefault="003663BC" w:rsidP="00A71A94">
            <w:pPr>
              <w:spacing w:after="240"/>
              <w:jc w:val="center"/>
              <w:rPr>
                <w:rFonts w:eastAsia="Calibri"/>
                <w:bCs/>
              </w:rPr>
            </w:pPr>
            <w:r>
              <w:rPr>
                <w:rFonts w:eastAsia="Calibri"/>
                <w:bCs/>
              </w:rPr>
              <w:t>Lack of affordable, accessible units in range of sizes</w:t>
            </w:r>
          </w:p>
          <w:p w14:paraId="277803CC" w14:textId="77777777" w:rsidR="002F416E" w:rsidRDefault="002F416E" w:rsidP="00A71A94">
            <w:pPr>
              <w:spacing w:after="240"/>
              <w:jc w:val="center"/>
              <w:rPr>
                <w:rFonts w:eastAsia="Calibri"/>
                <w:bCs/>
              </w:rPr>
            </w:pPr>
            <w:r>
              <w:rPr>
                <w:rFonts w:eastAsia="Calibri"/>
                <w:bCs/>
              </w:rPr>
              <w:t>Lack of affordable, integrated housing for individuals who need supportive services</w:t>
            </w:r>
          </w:p>
          <w:p w14:paraId="0195369D" w14:textId="42365E9C" w:rsidR="00D65C67" w:rsidRPr="003663BC" w:rsidRDefault="00D65C67" w:rsidP="00A71A94">
            <w:pPr>
              <w:spacing w:after="240"/>
              <w:jc w:val="center"/>
              <w:rPr>
                <w:rFonts w:eastAsia="Calibri"/>
                <w:bCs/>
              </w:rPr>
            </w:pPr>
            <w:r>
              <w:rPr>
                <w:rFonts w:eastAsia="Calibri"/>
                <w:bCs/>
              </w:rPr>
              <w:t>Private discrimination</w:t>
            </w:r>
          </w:p>
        </w:tc>
        <w:tc>
          <w:tcPr>
            <w:tcW w:w="2376" w:type="dxa"/>
            <w:tcBorders>
              <w:bottom w:val="single" w:sz="4" w:space="0" w:color="auto"/>
            </w:tcBorders>
            <w:shd w:val="clear" w:color="auto" w:fill="auto"/>
            <w:vAlign w:val="center"/>
          </w:tcPr>
          <w:p w14:paraId="1B6F1840" w14:textId="77777777" w:rsidR="003663BC" w:rsidRDefault="00D65C67" w:rsidP="00A71A94">
            <w:pPr>
              <w:spacing w:after="240"/>
              <w:jc w:val="center"/>
              <w:rPr>
                <w:rFonts w:eastAsia="Calibri"/>
                <w:bCs/>
              </w:rPr>
            </w:pPr>
            <w:r>
              <w:rPr>
                <w:rFonts w:eastAsia="Calibri"/>
                <w:bCs/>
              </w:rPr>
              <w:lastRenderedPageBreak/>
              <w:t>Disproportionate Housing Needs</w:t>
            </w:r>
          </w:p>
          <w:p w14:paraId="3BD5A136" w14:textId="77777777" w:rsidR="00D65C67" w:rsidRDefault="00D65C67" w:rsidP="00A71A94">
            <w:pPr>
              <w:spacing w:after="240"/>
              <w:jc w:val="center"/>
              <w:rPr>
                <w:rFonts w:eastAsia="Calibri"/>
                <w:bCs/>
              </w:rPr>
            </w:pPr>
            <w:r>
              <w:rPr>
                <w:rFonts w:eastAsia="Calibri"/>
                <w:bCs/>
              </w:rPr>
              <w:t>Disability and Access</w:t>
            </w:r>
          </w:p>
          <w:p w14:paraId="5F886B21" w14:textId="77777777" w:rsidR="00D65C67" w:rsidRDefault="00D65C67" w:rsidP="00A71A94">
            <w:pPr>
              <w:spacing w:after="240"/>
              <w:jc w:val="center"/>
              <w:rPr>
                <w:rFonts w:eastAsia="Calibri"/>
                <w:bCs/>
              </w:rPr>
            </w:pPr>
            <w:r>
              <w:rPr>
                <w:rFonts w:eastAsia="Calibri"/>
                <w:bCs/>
              </w:rPr>
              <w:t>Segregation</w:t>
            </w:r>
          </w:p>
          <w:p w14:paraId="545CC3FB" w14:textId="77777777" w:rsidR="00D65C67" w:rsidRPr="00D65C67" w:rsidRDefault="00D65C67" w:rsidP="00A71A94">
            <w:pPr>
              <w:spacing w:after="240"/>
              <w:jc w:val="center"/>
              <w:rPr>
                <w:rFonts w:eastAsia="Calibri"/>
                <w:bCs/>
              </w:rPr>
            </w:pPr>
          </w:p>
        </w:tc>
        <w:tc>
          <w:tcPr>
            <w:tcW w:w="2334" w:type="dxa"/>
            <w:tcBorders>
              <w:bottom w:val="single" w:sz="4" w:space="0" w:color="auto"/>
            </w:tcBorders>
            <w:shd w:val="clear" w:color="auto" w:fill="auto"/>
          </w:tcPr>
          <w:p w14:paraId="4A9F4CA2" w14:textId="62C60A9F" w:rsidR="003663BC" w:rsidRDefault="00D71834" w:rsidP="00A71A94">
            <w:pPr>
              <w:spacing w:after="240"/>
              <w:jc w:val="center"/>
              <w:rPr>
                <w:rFonts w:eastAsia="Calibri"/>
                <w:bCs/>
              </w:rPr>
            </w:pPr>
            <w:r>
              <w:rPr>
                <w:rFonts w:eastAsia="Calibri"/>
                <w:bCs/>
              </w:rPr>
              <w:t>Prioritize federal/local resources for new affordable housing construction –annually</w:t>
            </w:r>
          </w:p>
          <w:p w14:paraId="02EC30B2" w14:textId="68664ADF" w:rsidR="00D71834" w:rsidRDefault="00D71834" w:rsidP="00A71A94">
            <w:pPr>
              <w:spacing w:after="240"/>
              <w:jc w:val="center"/>
              <w:rPr>
                <w:rFonts w:eastAsia="Calibri"/>
                <w:bCs/>
              </w:rPr>
            </w:pPr>
            <w:r>
              <w:rPr>
                <w:rFonts w:eastAsia="Calibri"/>
                <w:bCs/>
              </w:rPr>
              <w:t xml:space="preserve">Assist Champlain Housing Trust with the construction of 74 affordable units (6 PSH) at Cambrian Rise. </w:t>
            </w:r>
            <w:r>
              <w:rPr>
                <w:rFonts w:eastAsia="Calibri"/>
                <w:bCs/>
              </w:rPr>
              <w:lastRenderedPageBreak/>
              <w:t>Construct/Lease 2018-2019</w:t>
            </w:r>
          </w:p>
          <w:p w14:paraId="2DB3194C" w14:textId="77777777" w:rsidR="00D71834" w:rsidRDefault="00D71834" w:rsidP="00D71834">
            <w:pPr>
              <w:spacing w:after="240"/>
              <w:jc w:val="center"/>
              <w:rPr>
                <w:rFonts w:eastAsia="Calibri"/>
                <w:bCs/>
              </w:rPr>
            </w:pPr>
            <w:r>
              <w:rPr>
                <w:rFonts w:eastAsia="Calibri"/>
                <w:bCs/>
              </w:rPr>
              <w:t>Assist Cathedral Square with construction of 76 senior/special needs units at Cambrian Rise construction/lease 2019-2020</w:t>
            </w:r>
          </w:p>
          <w:p w14:paraId="087EDE93" w14:textId="5D825D13" w:rsidR="00D71834" w:rsidRDefault="00D71834" w:rsidP="00D71834">
            <w:pPr>
              <w:spacing w:after="240"/>
              <w:jc w:val="center"/>
              <w:rPr>
                <w:rFonts w:eastAsia="Calibri"/>
                <w:bCs/>
              </w:rPr>
            </w:pPr>
            <w:r>
              <w:rPr>
                <w:rFonts w:eastAsia="Calibri"/>
                <w:bCs/>
              </w:rPr>
              <w:t>Assist develop</w:t>
            </w:r>
            <w:r w:rsidR="00E67926">
              <w:rPr>
                <w:rFonts w:eastAsia="Calibri"/>
                <w:bCs/>
              </w:rPr>
              <w:t>er with construction of approx.</w:t>
            </w:r>
            <w:r>
              <w:rPr>
                <w:rFonts w:eastAsia="Calibri"/>
                <w:bCs/>
              </w:rPr>
              <w:t xml:space="preserve"> 55 IZ units in Burlington City Center </w:t>
            </w:r>
            <w:proofErr w:type="spellStart"/>
            <w:r>
              <w:rPr>
                <w:rFonts w:eastAsia="Calibri"/>
                <w:bCs/>
              </w:rPr>
              <w:t>const</w:t>
            </w:r>
            <w:proofErr w:type="spellEnd"/>
            <w:r>
              <w:rPr>
                <w:rFonts w:eastAsia="Calibri"/>
                <w:bCs/>
              </w:rPr>
              <w:t>/lease 2018-2020</w:t>
            </w:r>
          </w:p>
          <w:p w14:paraId="09529EF8" w14:textId="45DC17E7" w:rsidR="0084741B" w:rsidRDefault="0084741B" w:rsidP="00D71834">
            <w:pPr>
              <w:spacing w:after="240"/>
              <w:jc w:val="center"/>
              <w:rPr>
                <w:rFonts w:eastAsia="Calibri"/>
                <w:bCs/>
              </w:rPr>
            </w:pPr>
            <w:r>
              <w:rPr>
                <w:rFonts w:eastAsia="Calibri"/>
                <w:bCs/>
              </w:rPr>
              <w:t>Provide assistance to for profit developers for</w:t>
            </w:r>
            <w:r w:rsidR="00D4020E">
              <w:rPr>
                <w:rFonts w:eastAsia="Calibri"/>
                <w:bCs/>
              </w:rPr>
              <w:t xml:space="preserve"> IZ compliance as needed approx</w:t>
            </w:r>
            <w:r>
              <w:rPr>
                <w:rFonts w:eastAsia="Calibri"/>
                <w:bCs/>
              </w:rPr>
              <w:t>. 5 units annually</w:t>
            </w:r>
          </w:p>
          <w:p w14:paraId="05D74EB4" w14:textId="21EA84E9" w:rsidR="004248AE" w:rsidRPr="00D71834" w:rsidRDefault="004248AE" w:rsidP="00D71834">
            <w:pPr>
              <w:spacing w:after="240"/>
              <w:jc w:val="center"/>
              <w:rPr>
                <w:rFonts w:eastAsia="Calibri"/>
                <w:bCs/>
              </w:rPr>
            </w:pPr>
          </w:p>
        </w:tc>
        <w:tc>
          <w:tcPr>
            <w:tcW w:w="1515" w:type="dxa"/>
            <w:tcBorders>
              <w:bottom w:val="single" w:sz="4" w:space="0" w:color="auto"/>
            </w:tcBorders>
            <w:shd w:val="clear" w:color="auto" w:fill="auto"/>
            <w:vAlign w:val="center"/>
          </w:tcPr>
          <w:p w14:paraId="10B7D4D0" w14:textId="77777777" w:rsidR="003663BC" w:rsidRPr="004248AE" w:rsidRDefault="00D71834" w:rsidP="00A71A94">
            <w:pPr>
              <w:spacing w:after="240"/>
              <w:jc w:val="center"/>
              <w:rPr>
                <w:rFonts w:eastAsia="Calibri"/>
                <w:b/>
                <w:bCs/>
              </w:rPr>
            </w:pPr>
            <w:r w:rsidRPr="004248AE">
              <w:rPr>
                <w:rFonts w:eastAsia="Calibri"/>
                <w:b/>
                <w:bCs/>
              </w:rPr>
              <w:lastRenderedPageBreak/>
              <w:t>CEDO</w:t>
            </w:r>
          </w:p>
          <w:p w14:paraId="776BE655" w14:textId="77777777" w:rsidR="00D71834" w:rsidRPr="004248AE" w:rsidRDefault="00D71834" w:rsidP="00A71A94">
            <w:pPr>
              <w:spacing w:after="240"/>
              <w:jc w:val="center"/>
              <w:rPr>
                <w:rFonts w:eastAsia="Calibri"/>
                <w:b/>
                <w:bCs/>
              </w:rPr>
            </w:pPr>
          </w:p>
          <w:p w14:paraId="0170429E" w14:textId="77777777" w:rsidR="00D71834" w:rsidRPr="004248AE" w:rsidRDefault="00D71834" w:rsidP="00A71A94">
            <w:pPr>
              <w:spacing w:after="240"/>
              <w:jc w:val="center"/>
              <w:rPr>
                <w:rFonts w:eastAsia="Calibri"/>
                <w:b/>
                <w:bCs/>
              </w:rPr>
            </w:pPr>
          </w:p>
          <w:p w14:paraId="4AB86510" w14:textId="77777777" w:rsidR="00D71834" w:rsidRPr="004248AE" w:rsidRDefault="00D71834" w:rsidP="00A71A94">
            <w:pPr>
              <w:spacing w:after="240"/>
              <w:jc w:val="center"/>
              <w:rPr>
                <w:rFonts w:eastAsia="Calibri"/>
                <w:b/>
                <w:bCs/>
              </w:rPr>
            </w:pPr>
          </w:p>
          <w:p w14:paraId="1F0A0376" w14:textId="77777777" w:rsidR="00D71834" w:rsidRPr="004248AE" w:rsidRDefault="00D71834" w:rsidP="00A71A94">
            <w:pPr>
              <w:spacing w:after="240"/>
              <w:jc w:val="center"/>
              <w:rPr>
                <w:rFonts w:eastAsia="Calibri"/>
                <w:b/>
                <w:bCs/>
              </w:rPr>
            </w:pPr>
            <w:r w:rsidRPr="004248AE">
              <w:rPr>
                <w:rFonts w:eastAsia="Calibri"/>
                <w:b/>
                <w:bCs/>
              </w:rPr>
              <w:lastRenderedPageBreak/>
              <w:t>Champlain Housing Trust</w:t>
            </w:r>
          </w:p>
          <w:p w14:paraId="7BA869C3" w14:textId="77777777" w:rsidR="00D71834" w:rsidRPr="004248AE" w:rsidRDefault="00D71834" w:rsidP="00A71A94">
            <w:pPr>
              <w:spacing w:after="240"/>
              <w:jc w:val="center"/>
              <w:rPr>
                <w:rFonts w:eastAsia="Calibri"/>
                <w:b/>
                <w:bCs/>
              </w:rPr>
            </w:pPr>
          </w:p>
          <w:p w14:paraId="06EE5308" w14:textId="77777777" w:rsidR="00D71834" w:rsidRPr="004248AE" w:rsidRDefault="00D71834" w:rsidP="00A71A94">
            <w:pPr>
              <w:spacing w:after="240"/>
              <w:jc w:val="center"/>
              <w:rPr>
                <w:rFonts w:eastAsia="Calibri"/>
                <w:b/>
                <w:bCs/>
              </w:rPr>
            </w:pPr>
          </w:p>
          <w:p w14:paraId="7FF410AD" w14:textId="77777777" w:rsidR="00D71834" w:rsidRPr="004248AE" w:rsidRDefault="00D71834" w:rsidP="00A71A94">
            <w:pPr>
              <w:spacing w:after="240"/>
              <w:jc w:val="center"/>
              <w:rPr>
                <w:rFonts w:eastAsia="Calibri"/>
                <w:b/>
                <w:bCs/>
              </w:rPr>
            </w:pPr>
          </w:p>
          <w:p w14:paraId="5130B495" w14:textId="77777777" w:rsidR="00D71834" w:rsidRPr="004248AE" w:rsidRDefault="00D71834" w:rsidP="00A71A94">
            <w:pPr>
              <w:spacing w:after="240"/>
              <w:jc w:val="center"/>
              <w:rPr>
                <w:rFonts w:eastAsia="Calibri"/>
                <w:b/>
                <w:bCs/>
              </w:rPr>
            </w:pPr>
            <w:r w:rsidRPr="004248AE">
              <w:rPr>
                <w:rFonts w:eastAsia="Calibri"/>
                <w:b/>
                <w:bCs/>
              </w:rPr>
              <w:t>Cathedral Square</w:t>
            </w:r>
          </w:p>
          <w:p w14:paraId="314F972E" w14:textId="77777777" w:rsidR="00D71834" w:rsidRDefault="00D71834" w:rsidP="00A71A94">
            <w:pPr>
              <w:spacing w:after="240"/>
              <w:jc w:val="center"/>
              <w:rPr>
                <w:rFonts w:eastAsia="Calibri"/>
                <w:b/>
                <w:bCs/>
                <w:u w:val="single"/>
              </w:rPr>
            </w:pPr>
          </w:p>
          <w:p w14:paraId="122ACFE2" w14:textId="77777777" w:rsidR="0084741B" w:rsidRDefault="0084741B" w:rsidP="00A71A94">
            <w:pPr>
              <w:spacing w:after="240"/>
              <w:jc w:val="center"/>
              <w:rPr>
                <w:rFonts w:eastAsia="Calibri"/>
                <w:b/>
                <w:bCs/>
                <w:u w:val="single"/>
              </w:rPr>
            </w:pPr>
          </w:p>
          <w:p w14:paraId="0F75C195" w14:textId="77777777" w:rsidR="0084741B" w:rsidRDefault="0084741B" w:rsidP="00A71A94">
            <w:pPr>
              <w:spacing w:after="240"/>
              <w:jc w:val="center"/>
              <w:rPr>
                <w:rFonts w:eastAsia="Calibri"/>
                <w:b/>
                <w:bCs/>
                <w:u w:val="single"/>
              </w:rPr>
            </w:pPr>
          </w:p>
          <w:p w14:paraId="556781B9" w14:textId="77777777" w:rsidR="00D71834" w:rsidRDefault="00D71834" w:rsidP="00A71A94">
            <w:pPr>
              <w:spacing w:after="240"/>
              <w:jc w:val="center"/>
              <w:rPr>
                <w:rFonts w:eastAsia="Calibri"/>
                <w:b/>
                <w:bCs/>
                <w:u w:val="single"/>
              </w:rPr>
            </w:pPr>
          </w:p>
          <w:p w14:paraId="4F41B84C" w14:textId="77777777" w:rsidR="00D71834" w:rsidRDefault="00D71834" w:rsidP="00A71A94">
            <w:pPr>
              <w:spacing w:after="240"/>
              <w:jc w:val="center"/>
              <w:rPr>
                <w:rFonts w:eastAsia="Calibri"/>
                <w:b/>
                <w:bCs/>
                <w:u w:val="single"/>
              </w:rPr>
            </w:pPr>
            <w:r>
              <w:rPr>
                <w:rFonts w:eastAsia="Calibri"/>
                <w:b/>
                <w:bCs/>
                <w:u w:val="single"/>
              </w:rPr>
              <w:t xml:space="preserve">Don </w:t>
            </w:r>
            <w:proofErr w:type="spellStart"/>
            <w:r>
              <w:rPr>
                <w:rFonts w:eastAsia="Calibri"/>
                <w:b/>
                <w:bCs/>
                <w:u w:val="single"/>
              </w:rPr>
              <w:t>Sinex</w:t>
            </w:r>
            <w:proofErr w:type="spellEnd"/>
          </w:p>
          <w:p w14:paraId="3390389D" w14:textId="77777777" w:rsidR="0084741B" w:rsidRDefault="0084741B" w:rsidP="00A71A94">
            <w:pPr>
              <w:spacing w:after="240"/>
              <w:jc w:val="center"/>
              <w:rPr>
                <w:rFonts w:eastAsia="Calibri"/>
                <w:b/>
                <w:bCs/>
                <w:u w:val="single"/>
              </w:rPr>
            </w:pPr>
          </w:p>
          <w:p w14:paraId="3ED89D73" w14:textId="77777777" w:rsidR="0084741B" w:rsidRDefault="0084741B" w:rsidP="00A71A94">
            <w:pPr>
              <w:spacing w:after="240"/>
              <w:jc w:val="center"/>
              <w:rPr>
                <w:rFonts w:eastAsia="Calibri"/>
                <w:b/>
                <w:bCs/>
                <w:u w:val="single"/>
              </w:rPr>
            </w:pPr>
            <w:r>
              <w:rPr>
                <w:rFonts w:eastAsia="Calibri"/>
                <w:b/>
                <w:bCs/>
                <w:u w:val="single"/>
              </w:rPr>
              <w:t>For Profit Developers</w:t>
            </w:r>
          </w:p>
          <w:p w14:paraId="171D2A62" w14:textId="0A5D2DC4" w:rsidR="0084741B" w:rsidRDefault="0084741B" w:rsidP="00A71A94">
            <w:pPr>
              <w:spacing w:after="240"/>
              <w:jc w:val="center"/>
              <w:rPr>
                <w:rFonts w:eastAsia="Calibri"/>
                <w:b/>
                <w:bCs/>
                <w:u w:val="single"/>
              </w:rPr>
            </w:pPr>
            <w:r>
              <w:rPr>
                <w:rFonts w:eastAsia="Calibri"/>
                <w:b/>
                <w:bCs/>
                <w:u w:val="single"/>
              </w:rPr>
              <w:t>CEDO</w:t>
            </w:r>
          </w:p>
          <w:p w14:paraId="27481BBF" w14:textId="77777777" w:rsidR="0084741B" w:rsidRDefault="0084741B" w:rsidP="00A71A94">
            <w:pPr>
              <w:spacing w:after="240"/>
              <w:jc w:val="center"/>
              <w:rPr>
                <w:rFonts w:eastAsia="Calibri"/>
                <w:b/>
                <w:bCs/>
                <w:u w:val="single"/>
              </w:rPr>
            </w:pPr>
          </w:p>
          <w:p w14:paraId="145D2397" w14:textId="77777777" w:rsidR="0084741B" w:rsidRDefault="0084741B" w:rsidP="00A71A94">
            <w:pPr>
              <w:spacing w:after="240"/>
              <w:jc w:val="center"/>
              <w:rPr>
                <w:rFonts w:eastAsia="Calibri"/>
                <w:b/>
                <w:bCs/>
                <w:u w:val="single"/>
              </w:rPr>
            </w:pPr>
          </w:p>
          <w:p w14:paraId="542B09FB" w14:textId="77777777" w:rsidR="0084741B" w:rsidRDefault="0084741B" w:rsidP="00A71A94">
            <w:pPr>
              <w:spacing w:after="240"/>
              <w:jc w:val="center"/>
              <w:rPr>
                <w:rFonts w:eastAsia="Calibri"/>
                <w:b/>
                <w:bCs/>
                <w:u w:val="single"/>
              </w:rPr>
            </w:pPr>
          </w:p>
          <w:p w14:paraId="2FF2F827" w14:textId="7EE87104" w:rsidR="0084741B" w:rsidRPr="5F884969" w:rsidRDefault="0084741B" w:rsidP="00A71A94">
            <w:pPr>
              <w:spacing w:after="240"/>
              <w:jc w:val="center"/>
              <w:rPr>
                <w:rFonts w:eastAsia="Calibri"/>
                <w:b/>
                <w:bCs/>
                <w:u w:val="single"/>
              </w:rPr>
            </w:pPr>
          </w:p>
        </w:tc>
      </w:tr>
      <w:tr w:rsidR="000002A3" w:rsidRPr="004971C1" w14:paraId="73BAEC9D" w14:textId="77777777" w:rsidTr="000002A3">
        <w:tc>
          <w:tcPr>
            <w:tcW w:w="9350" w:type="dxa"/>
            <w:gridSpan w:val="5"/>
            <w:shd w:val="clear" w:color="auto" w:fill="auto"/>
          </w:tcPr>
          <w:p w14:paraId="1B4ABA95" w14:textId="1D5ED787" w:rsidR="000002A3" w:rsidRPr="004971C1" w:rsidRDefault="000002A3" w:rsidP="00A71A94">
            <w:pPr>
              <w:spacing w:after="240"/>
              <w:rPr>
                <w:rFonts w:eastAsia="Calibri"/>
                <w:b/>
                <w:bCs/>
              </w:rPr>
            </w:pPr>
            <w:r w:rsidRPr="5F884969">
              <w:rPr>
                <w:rFonts w:eastAsia="Calibri"/>
                <w:b/>
                <w:bCs/>
              </w:rPr>
              <w:lastRenderedPageBreak/>
              <w:t xml:space="preserve">Discussion: </w:t>
            </w:r>
          </w:p>
          <w:p w14:paraId="0BF93D8C" w14:textId="278DCF50" w:rsidR="000002A3" w:rsidRPr="00C71FF7" w:rsidRDefault="00C71FF7" w:rsidP="00C71FF7">
            <w:pPr>
              <w:tabs>
                <w:tab w:val="left" w:pos="1574"/>
              </w:tabs>
              <w:spacing w:after="240"/>
              <w:rPr>
                <w:rFonts w:ascii="Calibri" w:eastAsia="Times New Roman" w:hAnsi="Calibri" w:cs="Times New Roman"/>
                <w:sz w:val="20"/>
                <w:szCs w:val="20"/>
              </w:rPr>
            </w:pPr>
            <w:r>
              <w:rPr>
                <w:rFonts w:ascii="Calibri" w:eastAsia="Times New Roman" w:hAnsi="Calibri" w:cs="Times New Roman"/>
                <w:sz w:val="20"/>
                <w:szCs w:val="20"/>
              </w:rPr>
              <w:t xml:space="preserve">The </w:t>
            </w:r>
            <w:r w:rsidRPr="00C71FF7">
              <w:rPr>
                <w:rFonts w:ascii="Calibri" w:eastAsia="Times New Roman" w:hAnsi="Calibri" w:cs="Times New Roman"/>
                <w:sz w:val="20"/>
                <w:szCs w:val="20"/>
              </w:rPr>
              <w:t>City of Burlington</w:t>
            </w:r>
            <w:r>
              <w:rPr>
                <w:rFonts w:ascii="Calibri" w:eastAsia="Times New Roman" w:hAnsi="Calibri" w:cs="Times New Roman"/>
                <w:sz w:val="20"/>
                <w:szCs w:val="20"/>
              </w:rPr>
              <w:t xml:space="preserve"> continues to prioritize the provision of safe, decent and affordable housing within its Housing Action Plan as well as its Five Year Consolidated Plan. To that end, federal resources such as CDBG and HOME, along with municipal resources of the</w:t>
            </w:r>
            <w:r w:rsidR="00D4020E">
              <w:rPr>
                <w:rFonts w:ascii="Calibri" w:eastAsia="Times New Roman" w:hAnsi="Calibri" w:cs="Times New Roman"/>
                <w:sz w:val="20"/>
                <w:szCs w:val="20"/>
              </w:rPr>
              <w:t xml:space="preserve"> City of</w:t>
            </w:r>
            <w:r>
              <w:rPr>
                <w:rFonts w:ascii="Calibri" w:eastAsia="Times New Roman" w:hAnsi="Calibri" w:cs="Times New Roman"/>
                <w:sz w:val="20"/>
                <w:szCs w:val="20"/>
              </w:rPr>
              <w:t xml:space="preserve"> Burlington Housing Trust Fund are allocated to nonprofit developers for the construction of deeply subsidized affordable units. The City also enforces an Inclusionary Zoning Ordinance which produces several IZ units annually and will produce additional units with the construction of the mixed use Burlington City Center. An increase of units provides access to protected classes in new neighborhoods, close to transportation, with supportive services and close to amenities.</w:t>
            </w:r>
            <w:r w:rsidR="00403840">
              <w:rPr>
                <w:rFonts w:eastAsia="Calibri"/>
                <w:b/>
              </w:rPr>
              <w:tab/>
            </w:r>
          </w:p>
        </w:tc>
      </w:tr>
      <w:tr w:rsidR="00B869D5" w:rsidRPr="004971C1" w14:paraId="125625FA" w14:textId="77777777" w:rsidTr="007508F1">
        <w:tc>
          <w:tcPr>
            <w:tcW w:w="1558" w:type="dxa"/>
            <w:shd w:val="clear" w:color="auto" w:fill="auto"/>
            <w:vAlign w:val="center"/>
          </w:tcPr>
          <w:p w14:paraId="435C5240" w14:textId="77777777" w:rsidR="00C71FF7" w:rsidRPr="5F884969" w:rsidRDefault="00C71FF7" w:rsidP="008B66B9">
            <w:pPr>
              <w:spacing w:after="240"/>
              <w:jc w:val="center"/>
              <w:rPr>
                <w:rFonts w:eastAsia="Calibri"/>
                <w:b/>
                <w:bCs/>
                <w:u w:val="single"/>
              </w:rPr>
            </w:pPr>
            <w:r>
              <w:rPr>
                <w:rFonts w:eastAsia="Calibri"/>
                <w:b/>
                <w:bCs/>
                <w:u w:val="single"/>
              </w:rPr>
              <w:lastRenderedPageBreak/>
              <w:t>Goal</w:t>
            </w:r>
          </w:p>
        </w:tc>
        <w:tc>
          <w:tcPr>
            <w:tcW w:w="1567" w:type="dxa"/>
            <w:shd w:val="clear" w:color="auto" w:fill="auto"/>
            <w:vAlign w:val="center"/>
          </w:tcPr>
          <w:p w14:paraId="47CC29EE" w14:textId="77777777" w:rsidR="00C71FF7" w:rsidRPr="5F884969" w:rsidRDefault="00C71FF7" w:rsidP="008B66B9">
            <w:pPr>
              <w:spacing w:after="240"/>
              <w:jc w:val="center"/>
              <w:rPr>
                <w:rFonts w:eastAsia="Calibri"/>
                <w:b/>
                <w:bCs/>
                <w:u w:val="single"/>
              </w:rPr>
            </w:pPr>
            <w:r>
              <w:rPr>
                <w:rFonts w:eastAsia="Calibri"/>
                <w:b/>
                <w:bCs/>
                <w:u w:val="single"/>
              </w:rPr>
              <w:t>Contributing Factors</w:t>
            </w:r>
          </w:p>
        </w:tc>
        <w:tc>
          <w:tcPr>
            <w:tcW w:w="2376" w:type="dxa"/>
            <w:shd w:val="clear" w:color="auto" w:fill="auto"/>
            <w:vAlign w:val="center"/>
          </w:tcPr>
          <w:p w14:paraId="7E7170A4" w14:textId="77777777" w:rsidR="00C71FF7" w:rsidRPr="5F884969" w:rsidRDefault="00C71FF7" w:rsidP="008B66B9">
            <w:pPr>
              <w:spacing w:after="240"/>
              <w:jc w:val="center"/>
              <w:rPr>
                <w:rFonts w:eastAsia="Calibri"/>
                <w:b/>
                <w:bCs/>
                <w:u w:val="single"/>
              </w:rPr>
            </w:pPr>
            <w:r>
              <w:rPr>
                <w:rFonts w:eastAsia="Calibri"/>
                <w:b/>
                <w:bCs/>
                <w:u w:val="single"/>
              </w:rPr>
              <w:t>Fair Housing Issues</w:t>
            </w:r>
          </w:p>
        </w:tc>
        <w:tc>
          <w:tcPr>
            <w:tcW w:w="2334" w:type="dxa"/>
            <w:shd w:val="clear" w:color="auto" w:fill="auto"/>
          </w:tcPr>
          <w:p w14:paraId="60FB33F8" w14:textId="77777777" w:rsidR="00C71FF7" w:rsidRPr="5F884969" w:rsidRDefault="00C71FF7" w:rsidP="008B66B9">
            <w:pPr>
              <w:spacing w:after="240"/>
              <w:jc w:val="center"/>
              <w:rPr>
                <w:rFonts w:eastAsia="Calibri"/>
                <w:b/>
                <w:bCs/>
                <w:u w:val="single"/>
              </w:rPr>
            </w:pPr>
            <w:r w:rsidRPr="5F884969">
              <w:rPr>
                <w:rFonts w:eastAsia="Calibri"/>
                <w:b/>
                <w:bCs/>
                <w:u w:val="single"/>
              </w:rPr>
              <w:t>Metrics, Milestones, and Timeframe for Achievement</w:t>
            </w:r>
          </w:p>
        </w:tc>
        <w:tc>
          <w:tcPr>
            <w:tcW w:w="1515" w:type="dxa"/>
            <w:shd w:val="clear" w:color="auto" w:fill="auto"/>
            <w:vAlign w:val="center"/>
          </w:tcPr>
          <w:p w14:paraId="20059C9E" w14:textId="77777777" w:rsidR="00C71FF7" w:rsidRPr="5F884969" w:rsidRDefault="00C71FF7" w:rsidP="008B66B9">
            <w:pPr>
              <w:spacing w:after="240"/>
              <w:jc w:val="center"/>
              <w:rPr>
                <w:rFonts w:eastAsia="Calibri"/>
                <w:b/>
                <w:bCs/>
                <w:u w:val="single"/>
              </w:rPr>
            </w:pPr>
            <w:r w:rsidRPr="5F884969">
              <w:rPr>
                <w:rFonts w:eastAsia="Calibri"/>
                <w:b/>
                <w:bCs/>
                <w:u w:val="single"/>
              </w:rPr>
              <w:t>Responsible Program Participant(s)</w:t>
            </w:r>
          </w:p>
        </w:tc>
      </w:tr>
      <w:tr w:rsidR="00B869D5" w:rsidRPr="004971C1" w14:paraId="3F548197" w14:textId="77777777" w:rsidTr="007508F1">
        <w:tc>
          <w:tcPr>
            <w:tcW w:w="1558" w:type="dxa"/>
            <w:shd w:val="clear" w:color="auto" w:fill="auto"/>
          </w:tcPr>
          <w:p w14:paraId="41099DED" w14:textId="2E400D0D" w:rsidR="00912A12" w:rsidRDefault="00912A12" w:rsidP="008B66B9">
            <w:pPr>
              <w:spacing w:after="240"/>
              <w:rPr>
                <w:rFonts w:eastAsia="Calibri"/>
                <w:b/>
              </w:rPr>
            </w:pPr>
            <w:r>
              <w:rPr>
                <w:rFonts w:eastAsia="Calibri"/>
                <w:b/>
              </w:rPr>
              <w:t>Increase Affordable Housing Opportunities</w:t>
            </w:r>
          </w:p>
          <w:p w14:paraId="0DFBB3BA" w14:textId="77777777" w:rsidR="00C71FF7" w:rsidRPr="00912A12" w:rsidRDefault="00C71FF7" w:rsidP="008B66B9">
            <w:pPr>
              <w:spacing w:after="240"/>
              <w:rPr>
                <w:rFonts w:eastAsia="Calibri"/>
              </w:rPr>
            </w:pPr>
            <w:r w:rsidRPr="00912A12">
              <w:rPr>
                <w:rFonts w:eastAsia="Calibri"/>
              </w:rPr>
              <w:t>Create over 1,700 new well-managed student housing beds</w:t>
            </w:r>
          </w:p>
        </w:tc>
        <w:tc>
          <w:tcPr>
            <w:tcW w:w="1567" w:type="dxa"/>
            <w:shd w:val="clear" w:color="auto" w:fill="auto"/>
          </w:tcPr>
          <w:p w14:paraId="0C2A9A20" w14:textId="77777777" w:rsidR="00C71FF7" w:rsidRPr="008A3D6F" w:rsidRDefault="00C71FF7" w:rsidP="008B66B9">
            <w:pPr>
              <w:spacing w:after="240"/>
              <w:rPr>
                <w:rFonts w:eastAsia="Calibri"/>
              </w:rPr>
            </w:pPr>
            <w:r w:rsidRPr="008A3D6F">
              <w:rPr>
                <w:rFonts w:eastAsia="Calibri"/>
              </w:rPr>
              <w:t>Lack of affordable units</w:t>
            </w:r>
          </w:p>
          <w:p w14:paraId="59676FE7" w14:textId="77777777" w:rsidR="00C71FF7" w:rsidRPr="008A3D6F" w:rsidRDefault="00C71FF7" w:rsidP="008B66B9">
            <w:pPr>
              <w:spacing w:after="240"/>
              <w:rPr>
                <w:rFonts w:eastAsia="Calibri"/>
              </w:rPr>
            </w:pPr>
            <w:r w:rsidRPr="008A3D6F">
              <w:rPr>
                <w:rFonts w:eastAsia="Calibri"/>
              </w:rPr>
              <w:t>Location of affordable units and types</w:t>
            </w:r>
          </w:p>
          <w:p w14:paraId="703CC62F" w14:textId="77777777" w:rsidR="00C71FF7" w:rsidRPr="008A3D6F" w:rsidRDefault="00C71FF7" w:rsidP="008B66B9">
            <w:pPr>
              <w:spacing w:after="240"/>
              <w:rPr>
                <w:rFonts w:eastAsia="Calibri"/>
              </w:rPr>
            </w:pPr>
            <w:r w:rsidRPr="008A3D6F">
              <w:rPr>
                <w:rFonts w:eastAsia="Calibri"/>
              </w:rPr>
              <w:t>Private Discrimination</w:t>
            </w:r>
          </w:p>
        </w:tc>
        <w:tc>
          <w:tcPr>
            <w:tcW w:w="2376" w:type="dxa"/>
            <w:shd w:val="clear" w:color="auto" w:fill="auto"/>
          </w:tcPr>
          <w:p w14:paraId="6A418735" w14:textId="77777777" w:rsidR="00C71FF7" w:rsidRPr="008A3D6F" w:rsidRDefault="00C71FF7" w:rsidP="008B66B9">
            <w:pPr>
              <w:spacing w:after="240"/>
              <w:rPr>
                <w:rFonts w:eastAsia="Calibri"/>
              </w:rPr>
            </w:pPr>
            <w:r w:rsidRPr="008A3D6F">
              <w:rPr>
                <w:rFonts w:eastAsia="Calibri"/>
              </w:rPr>
              <w:t>Student housing in jurisdiction displaces low/mod residents and protected classes</w:t>
            </w:r>
          </w:p>
          <w:p w14:paraId="6EECF423" w14:textId="380C3BF3" w:rsidR="00912A12" w:rsidRPr="008A3D6F" w:rsidRDefault="00912A12" w:rsidP="008B66B9">
            <w:pPr>
              <w:spacing w:after="240"/>
              <w:rPr>
                <w:rFonts w:eastAsia="Calibri"/>
              </w:rPr>
            </w:pPr>
            <w:r w:rsidRPr="008A3D6F">
              <w:rPr>
                <w:rFonts w:eastAsia="Calibri"/>
              </w:rPr>
              <w:t>Disproportionate housing needs</w:t>
            </w:r>
          </w:p>
          <w:p w14:paraId="668BEE09" w14:textId="77777777" w:rsidR="00912A12" w:rsidRPr="008A3D6F" w:rsidRDefault="00912A12" w:rsidP="008B66B9">
            <w:pPr>
              <w:spacing w:after="240"/>
              <w:rPr>
                <w:rFonts w:eastAsia="Calibri"/>
              </w:rPr>
            </w:pPr>
          </w:p>
        </w:tc>
        <w:tc>
          <w:tcPr>
            <w:tcW w:w="2334" w:type="dxa"/>
            <w:shd w:val="clear" w:color="auto" w:fill="auto"/>
          </w:tcPr>
          <w:p w14:paraId="2137BDF1" w14:textId="52CB42DB" w:rsidR="00C71FF7" w:rsidRPr="00A21B81" w:rsidRDefault="00A21B81" w:rsidP="008B66B9">
            <w:pPr>
              <w:spacing w:after="240"/>
              <w:rPr>
                <w:rFonts w:eastAsia="Calibri"/>
                <w:b/>
              </w:rPr>
            </w:pPr>
            <w:r w:rsidRPr="00A21B81">
              <w:rPr>
                <w:rFonts w:eastAsia="Calibri"/>
              </w:rPr>
              <w:t xml:space="preserve">Eagles Landing – 314 new </w:t>
            </w:r>
            <w:r w:rsidR="00C93342">
              <w:rPr>
                <w:rFonts w:eastAsia="Calibri"/>
              </w:rPr>
              <w:t xml:space="preserve">student </w:t>
            </w:r>
            <w:r w:rsidRPr="00A21B81">
              <w:rPr>
                <w:rFonts w:eastAsia="Calibri"/>
              </w:rPr>
              <w:t>beds</w:t>
            </w:r>
            <w:r w:rsidR="00C93342">
              <w:rPr>
                <w:rFonts w:eastAsia="Calibri"/>
              </w:rPr>
              <w:t xml:space="preserve"> - opening</w:t>
            </w:r>
            <w:r>
              <w:rPr>
                <w:rFonts w:eastAsia="Calibri"/>
              </w:rPr>
              <w:t xml:space="preserve"> 2018</w:t>
            </w:r>
          </w:p>
        </w:tc>
        <w:tc>
          <w:tcPr>
            <w:tcW w:w="1515" w:type="dxa"/>
            <w:shd w:val="clear" w:color="auto" w:fill="auto"/>
          </w:tcPr>
          <w:p w14:paraId="727E84E3" w14:textId="77777777" w:rsidR="00C71FF7" w:rsidRPr="00C93342" w:rsidRDefault="00C71FF7" w:rsidP="008B66B9">
            <w:pPr>
              <w:spacing w:after="240"/>
              <w:rPr>
                <w:rFonts w:eastAsia="Calibri"/>
                <w:b/>
              </w:rPr>
            </w:pPr>
            <w:r w:rsidRPr="00C93342">
              <w:rPr>
                <w:rFonts w:eastAsia="Calibri"/>
                <w:b/>
              </w:rPr>
              <w:t>Champlain College/CEDO</w:t>
            </w:r>
          </w:p>
          <w:p w14:paraId="7ABCFD76" w14:textId="77777777" w:rsidR="00C71FF7" w:rsidRPr="00A21B81" w:rsidRDefault="00C71FF7" w:rsidP="008B66B9">
            <w:pPr>
              <w:spacing w:after="240"/>
              <w:rPr>
                <w:rFonts w:eastAsia="Calibri"/>
              </w:rPr>
            </w:pPr>
            <w:r w:rsidRPr="00C93342">
              <w:rPr>
                <w:rFonts w:eastAsia="Calibri"/>
                <w:b/>
              </w:rPr>
              <w:t>UVM</w:t>
            </w:r>
          </w:p>
        </w:tc>
      </w:tr>
      <w:tr w:rsidR="00C71FF7" w:rsidRPr="004971C1" w14:paraId="6950B103" w14:textId="77777777" w:rsidTr="008B66B9">
        <w:tc>
          <w:tcPr>
            <w:tcW w:w="9350" w:type="dxa"/>
            <w:gridSpan w:val="5"/>
            <w:shd w:val="clear" w:color="auto" w:fill="auto"/>
          </w:tcPr>
          <w:p w14:paraId="27FC6316" w14:textId="135ED489" w:rsidR="00C71FF7" w:rsidRPr="004971C1" w:rsidRDefault="00C71FF7" w:rsidP="008B66B9">
            <w:pPr>
              <w:spacing w:after="240"/>
              <w:rPr>
                <w:rFonts w:eastAsia="Calibri"/>
                <w:b/>
                <w:bCs/>
              </w:rPr>
            </w:pPr>
            <w:r w:rsidRPr="5F884969">
              <w:rPr>
                <w:rFonts w:eastAsia="Calibri"/>
                <w:b/>
                <w:bCs/>
              </w:rPr>
              <w:t xml:space="preserve">Discussion: </w:t>
            </w:r>
          </w:p>
          <w:p w14:paraId="187205AE" w14:textId="77777777" w:rsidR="00C71FF7" w:rsidRPr="004971C1" w:rsidRDefault="00C71FF7" w:rsidP="008B66B9">
            <w:pPr>
              <w:tabs>
                <w:tab w:val="left" w:pos="1574"/>
              </w:tabs>
              <w:spacing w:after="240"/>
              <w:rPr>
                <w:rFonts w:eastAsia="Calibri"/>
                <w:b/>
              </w:rPr>
            </w:pPr>
            <w:r w:rsidRPr="002A77F7">
              <w:rPr>
                <w:rFonts w:ascii="Calibri" w:eastAsia="Times New Roman" w:hAnsi="Calibri" w:cs="Times New Roman"/>
                <w:sz w:val="20"/>
                <w:szCs w:val="20"/>
              </w:rPr>
              <w:t>In the last two years, the University of Vermont and Champlain College have each built new on campus housing for about 600 students, representing the completion of one-third of the Mayor’s 5-year goal of housing half of off-campus undergraduate students in new, well-managed student housing to better balance quality of life issues in the City’s historic neighborhoods. The City continues discussions with both UVM and Champlain regarding options for the remainder of the goal. Champlain College is committed through its master plan to house 300 more students on campus, and the City is working with UVM to design a public process to identify appropriate locations for 800 additional students in the coming years.</w:t>
            </w:r>
            <w:r>
              <w:rPr>
                <w:rFonts w:eastAsia="Calibri"/>
                <w:b/>
              </w:rPr>
              <w:tab/>
            </w:r>
          </w:p>
        </w:tc>
      </w:tr>
      <w:tr w:rsidR="00B869D5" w:rsidRPr="004971C1" w14:paraId="65B59F96" w14:textId="77777777" w:rsidTr="007508F1">
        <w:tc>
          <w:tcPr>
            <w:tcW w:w="1558" w:type="dxa"/>
            <w:shd w:val="clear" w:color="auto" w:fill="auto"/>
            <w:vAlign w:val="center"/>
          </w:tcPr>
          <w:p w14:paraId="25F0AA0A" w14:textId="77777777" w:rsidR="00C71FF7" w:rsidRPr="004971C1" w:rsidRDefault="00C71FF7" w:rsidP="008B66B9">
            <w:pPr>
              <w:spacing w:after="240"/>
              <w:jc w:val="center"/>
              <w:rPr>
                <w:rFonts w:eastAsia="Calibri"/>
                <w:b/>
                <w:bCs/>
                <w:u w:val="single"/>
              </w:rPr>
            </w:pPr>
            <w:r w:rsidRPr="5F884969">
              <w:rPr>
                <w:rFonts w:eastAsia="Calibri"/>
                <w:b/>
                <w:bCs/>
                <w:u w:val="single"/>
              </w:rPr>
              <w:t>Goal</w:t>
            </w:r>
          </w:p>
        </w:tc>
        <w:tc>
          <w:tcPr>
            <w:tcW w:w="1567" w:type="dxa"/>
            <w:shd w:val="clear" w:color="auto" w:fill="auto"/>
            <w:vAlign w:val="center"/>
          </w:tcPr>
          <w:p w14:paraId="1CB80DB0" w14:textId="77777777" w:rsidR="00C71FF7" w:rsidRPr="004971C1" w:rsidRDefault="00C71FF7" w:rsidP="008B66B9">
            <w:pPr>
              <w:spacing w:after="240"/>
              <w:jc w:val="center"/>
              <w:rPr>
                <w:rFonts w:eastAsia="Calibri"/>
                <w:b/>
                <w:bCs/>
                <w:u w:val="single"/>
              </w:rPr>
            </w:pPr>
            <w:r w:rsidRPr="5F884969">
              <w:rPr>
                <w:rFonts w:eastAsia="Calibri"/>
                <w:b/>
                <w:bCs/>
                <w:u w:val="single"/>
              </w:rPr>
              <w:t>Contributing Factors</w:t>
            </w:r>
          </w:p>
        </w:tc>
        <w:tc>
          <w:tcPr>
            <w:tcW w:w="2376" w:type="dxa"/>
            <w:shd w:val="clear" w:color="auto" w:fill="auto"/>
            <w:vAlign w:val="center"/>
          </w:tcPr>
          <w:p w14:paraId="5BF1DA6C" w14:textId="77777777" w:rsidR="00C71FF7" w:rsidRPr="004971C1" w:rsidRDefault="00C71FF7" w:rsidP="008B66B9">
            <w:pPr>
              <w:spacing w:after="240"/>
              <w:jc w:val="center"/>
              <w:rPr>
                <w:rFonts w:eastAsia="Calibri"/>
                <w:b/>
                <w:bCs/>
                <w:u w:val="single"/>
              </w:rPr>
            </w:pPr>
            <w:r w:rsidRPr="5F884969">
              <w:rPr>
                <w:rFonts w:eastAsia="Calibri"/>
                <w:b/>
                <w:bCs/>
                <w:u w:val="single"/>
              </w:rPr>
              <w:t>Fair Housing Issues</w:t>
            </w:r>
          </w:p>
        </w:tc>
        <w:tc>
          <w:tcPr>
            <w:tcW w:w="2334" w:type="dxa"/>
            <w:shd w:val="clear" w:color="auto" w:fill="auto"/>
          </w:tcPr>
          <w:p w14:paraId="685557FE" w14:textId="77777777" w:rsidR="00C71FF7" w:rsidRPr="004971C1" w:rsidRDefault="00C71FF7" w:rsidP="008B66B9">
            <w:pPr>
              <w:spacing w:after="240"/>
              <w:jc w:val="center"/>
              <w:rPr>
                <w:rFonts w:eastAsia="Calibri"/>
                <w:b/>
                <w:bCs/>
                <w:u w:val="single"/>
              </w:rPr>
            </w:pPr>
            <w:r w:rsidRPr="5F884969">
              <w:rPr>
                <w:rFonts w:eastAsia="Calibri"/>
                <w:b/>
                <w:bCs/>
                <w:u w:val="single"/>
              </w:rPr>
              <w:t>Metrics, Milestones, and Timeframe for Achievement</w:t>
            </w:r>
          </w:p>
        </w:tc>
        <w:tc>
          <w:tcPr>
            <w:tcW w:w="1515" w:type="dxa"/>
            <w:shd w:val="clear" w:color="auto" w:fill="auto"/>
            <w:vAlign w:val="center"/>
          </w:tcPr>
          <w:p w14:paraId="2D1DA7A8" w14:textId="77777777" w:rsidR="00C71FF7" w:rsidRPr="004971C1" w:rsidRDefault="00C71FF7" w:rsidP="008B66B9">
            <w:pPr>
              <w:spacing w:after="240"/>
              <w:jc w:val="center"/>
              <w:rPr>
                <w:rFonts w:eastAsia="Calibri"/>
                <w:b/>
                <w:bCs/>
                <w:u w:val="single"/>
              </w:rPr>
            </w:pPr>
            <w:r w:rsidRPr="5F884969">
              <w:rPr>
                <w:rFonts w:eastAsia="Calibri"/>
                <w:b/>
                <w:bCs/>
                <w:u w:val="single"/>
              </w:rPr>
              <w:t>Responsible Program Participant(s)</w:t>
            </w:r>
          </w:p>
        </w:tc>
      </w:tr>
      <w:tr w:rsidR="00B869D5" w:rsidRPr="004971C1" w14:paraId="2D0F1C74" w14:textId="77777777" w:rsidTr="007508F1">
        <w:tc>
          <w:tcPr>
            <w:tcW w:w="1558" w:type="dxa"/>
            <w:shd w:val="clear" w:color="auto" w:fill="auto"/>
          </w:tcPr>
          <w:p w14:paraId="7AF0A8A5" w14:textId="368BD46F" w:rsidR="00A21B81" w:rsidRPr="00A21B81" w:rsidRDefault="00A21B81" w:rsidP="008B66B9">
            <w:pPr>
              <w:spacing w:after="240"/>
              <w:rPr>
                <w:rFonts w:eastAsia="Calibri"/>
                <w:b/>
              </w:rPr>
            </w:pPr>
            <w:r w:rsidRPr="00A21B81">
              <w:rPr>
                <w:rFonts w:eastAsia="Calibri"/>
                <w:b/>
              </w:rPr>
              <w:t>Increase Affordable Housing Opportunities</w:t>
            </w:r>
          </w:p>
          <w:p w14:paraId="03B8293E" w14:textId="77777777" w:rsidR="00C71FF7" w:rsidRPr="00A21B81" w:rsidRDefault="00C71FF7" w:rsidP="008B66B9">
            <w:pPr>
              <w:spacing w:after="240"/>
              <w:rPr>
                <w:rFonts w:eastAsia="Calibri"/>
              </w:rPr>
            </w:pPr>
            <w:r w:rsidRPr="00A21B81">
              <w:rPr>
                <w:rFonts w:eastAsia="Calibri"/>
              </w:rPr>
              <w:t>Review for improvements City’s Inclusionary Zoning Ordinance</w:t>
            </w:r>
          </w:p>
          <w:p w14:paraId="4B12EAA4" w14:textId="77777777" w:rsidR="00C71FF7" w:rsidRPr="004971C1" w:rsidRDefault="00C71FF7" w:rsidP="008B66B9">
            <w:pPr>
              <w:spacing w:after="240"/>
              <w:rPr>
                <w:rFonts w:eastAsia="Calibri"/>
                <w:b/>
              </w:rPr>
            </w:pPr>
          </w:p>
        </w:tc>
        <w:tc>
          <w:tcPr>
            <w:tcW w:w="1567" w:type="dxa"/>
            <w:shd w:val="clear" w:color="auto" w:fill="auto"/>
          </w:tcPr>
          <w:p w14:paraId="2FC07B7B" w14:textId="77777777" w:rsidR="00C71FF7" w:rsidRPr="00B869D5" w:rsidRDefault="00C71FF7" w:rsidP="008B66B9">
            <w:pPr>
              <w:spacing w:after="240"/>
              <w:rPr>
                <w:rFonts w:eastAsia="Calibri"/>
              </w:rPr>
            </w:pPr>
            <w:r w:rsidRPr="00B869D5">
              <w:rPr>
                <w:rFonts w:eastAsia="Calibri"/>
              </w:rPr>
              <w:t>Location/type of affordable housing</w:t>
            </w:r>
          </w:p>
          <w:p w14:paraId="064DF8BA" w14:textId="77777777" w:rsidR="00C71FF7" w:rsidRPr="00B869D5" w:rsidRDefault="00C71FF7" w:rsidP="008B66B9">
            <w:pPr>
              <w:spacing w:after="240"/>
              <w:rPr>
                <w:rFonts w:eastAsia="Calibri"/>
              </w:rPr>
            </w:pPr>
            <w:r w:rsidRPr="00B869D5">
              <w:rPr>
                <w:rFonts w:eastAsia="Calibri"/>
              </w:rPr>
              <w:t>Private discrimination</w:t>
            </w:r>
          </w:p>
        </w:tc>
        <w:tc>
          <w:tcPr>
            <w:tcW w:w="2376" w:type="dxa"/>
            <w:shd w:val="clear" w:color="auto" w:fill="auto"/>
          </w:tcPr>
          <w:p w14:paraId="784B9F47" w14:textId="77777777" w:rsidR="00C71FF7" w:rsidRPr="00B869D5" w:rsidRDefault="00C71FF7" w:rsidP="008B66B9">
            <w:pPr>
              <w:spacing w:after="240"/>
              <w:rPr>
                <w:rFonts w:eastAsia="Calibri"/>
              </w:rPr>
            </w:pPr>
            <w:r w:rsidRPr="00B869D5">
              <w:rPr>
                <w:rFonts w:eastAsia="Calibri"/>
              </w:rPr>
              <w:t>Segregation/Integration</w:t>
            </w:r>
          </w:p>
        </w:tc>
        <w:tc>
          <w:tcPr>
            <w:tcW w:w="2334" w:type="dxa"/>
            <w:shd w:val="clear" w:color="auto" w:fill="auto"/>
          </w:tcPr>
          <w:p w14:paraId="082A7157" w14:textId="77777777" w:rsidR="00C71FF7" w:rsidRPr="00A21B81" w:rsidRDefault="00C71FF7" w:rsidP="008B66B9">
            <w:pPr>
              <w:spacing w:after="240"/>
              <w:rPr>
                <w:rFonts w:eastAsia="Calibri"/>
              </w:rPr>
            </w:pPr>
            <w:r w:rsidRPr="00A21B81">
              <w:rPr>
                <w:rFonts w:eastAsia="Calibri"/>
              </w:rPr>
              <w:t>Work Group to begin 9.17</w:t>
            </w:r>
          </w:p>
          <w:p w14:paraId="0F67C97A" w14:textId="77777777" w:rsidR="00C71FF7" w:rsidRPr="00A21B81" w:rsidRDefault="00C71FF7" w:rsidP="008B66B9">
            <w:pPr>
              <w:spacing w:after="240"/>
              <w:rPr>
                <w:rFonts w:eastAsia="Calibri"/>
              </w:rPr>
            </w:pPr>
            <w:r w:rsidRPr="00A21B81">
              <w:rPr>
                <w:rFonts w:eastAsia="Calibri"/>
              </w:rPr>
              <w:t>Report to Council/Mayor 4.18</w:t>
            </w:r>
          </w:p>
          <w:p w14:paraId="078F012F" w14:textId="77777777" w:rsidR="00A21B81" w:rsidRDefault="00A21B81" w:rsidP="008B66B9">
            <w:pPr>
              <w:spacing w:after="240"/>
              <w:rPr>
                <w:rFonts w:eastAsia="Calibri"/>
              </w:rPr>
            </w:pPr>
            <w:r w:rsidRPr="00A21B81">
              <w:rPr>
                <w:rFonts w:eastAsia="Calibri"/>
              </w:rPr>
              <w:t>Plan to implement changes/improvements</w:t>
            </w:r>
          </w:p>
          <w:p w14:paraId="5F4AC489" w14:textId="142D2658" w:rsidR="008A3D6F" w:rsidRPr="004971C1" w:rsidRDefault="008A3D6F" w:rsidP="008B66B9">
            <w:pPr>
              <w:spacing w:after="240"/>
              <w:rPr>
                <w:rFonts w:eastAsia="Calibri"/>
                <w:b/>
              </w:rPr>
            </w:pPr>
            <w:r>
              <w:rPr>
                <w:rFonts w:eastAsia="Calibri"/>
              </w:rPr>
              <w:t>9.18-2019</w:t>
            </w:r>
          </w:p>
        </w:tc>
        <w:tc>
          <w:tcPr>
            <w:tcW w:w="1515" w:type="dxa"/>
            <w:shd w:val="clear" w:color="auto" w:fill="auto"/>
          </w:tcPr>
          <w:p w14:paraId="5262A2DF" w14:textId="77777777" w:rsidR="00C71FF7" w:rsidRPr="004971C1" w:rsidRDefault="00C71FF7" w:rsidP="008B66B9">
            <w:pPr>
              <w:spacing w:after="240"/>
              <w:rPr>
                <w:rFonts w:eastAsia="Calibri"/>
                <w:b/>
              </w:rPr>
            </w:pPr>
            <w:r>
              <w:rPr>
                <w:rFonts w:eastAsia="Calibri"/>
                <w:b/>
              </w:rPr>
              <w:t>CEDO/CDNR</w:t>
            </w:r>
          </w:p>
        </w:tc>
      </w:tr>
      <w:tr w:rsidR="00C71FF7" w:rsidRPr="004971C1" w14:paraId="74673FD1" w14:textId="77777777" w:rsidTr="008B66B9">
        <w:tc>
          <w:tcPr>
            <w:tcW w:w="9350" w:type="dxa"/>
            <w:gridSpan w:val="5"/>
            <w:shd w:val="clear" w:color="auto" w:fill="auto"/>
          </w:tcPr>
          <w:p w14:paraId="37C36702" w14:textId="77777777" w:rsidR="00C71FF7" w:rsidRPr="004971C1" w:rsidRDefault="00C71FF7" w:rsidP="008B66B9">
            <w:pPr>
              <w:spacing w:after="240"/>
              <w:rPr>
                <w:rFonts w:eastAsia="Calibri"/>
                <w:b/>
                <w:bCs/>
              </w:rPr>
            </w:pPr>
            <w:r w:rsidRPr="5F884969">
              <w:rPr>
                <w:rFonts w:eastAsia="Calibri"/>
                <w:b/>
                <w:bCs/>
              </w:rPr>
              <w:t xml:space="preserve">Discussion: </w:t>
            </w:r>
          </w:p>
          <w:p w14:paraId="5E537B89" w14:textId="77777777" w:rsidR="00C71FF7" w:rsidRDefault="00C71FF7" w:rsidP="008B66B9">
            <w:pPr>
              <w:pStyle w:val="NormalWeb"/>
              <w:spacing w:before="0" w:beforeAutospacing="0" w:after="160" w:afterAutospacing="0"/>
              <w:rPr>
                <w:rFonts w:ascii="Calibri" w:hAnsi="Calibri"/>
                <w:color w:val="000000"/>
                <w:sz w:val="20"/>
                <w:szCs w:val="20"/>
              </w:rPr>
            </w:pPr>
            <w:r>
              <w:rPr>
                <w:rFonts w:ascii="Calibri" w:hAnsi="Calibri"/>
                <w:color w:val="000000"/>
                <w:sz w:val="20"/>
                <w:szCs w:val="20"/>
              </w:rPr>
              <w:lastRenderedPageBreak/>
              <w:t xml:space="preserve">Following adoption of Burlington’s Housing Action Plan in October 2015, the City has moved forward with implementing a number of initiatives to help reduce the cost of housing for all Burlington residents and more broadly, support affordable housing. </w:t>
            </w:r>
          </w:p>
          <w:p w14:paraId="43B71F5F" w14:textId="7B2CE202" w:rsidR="00C71FF7" w:rsidRDefault="00C71FF7" w:rsidP="008B66B9">
            <w:pPr>
              <w:pStyle w:val="NormalWeb"/>
              <w:spacing w:before="0" w:beforeAutospacing="0" w:after="160" w:afterAutospacing="0"/>
              <w:rPr>
                <w:rFonts w:ascii="Calibri" w:hAnsi="Calibri"/>
                <w:color w:val="000000"/>
                <w:sz w:val="20"/>
                <w:szCs w:val="20"/>
              </w:rPr>
            </w:pPr>
            <w:r>
              <w:rPr>
                <w:rFonts w:ascii="Calibri" w:hAnsi="Calibri"/>
                <w:color w:val="000000"/>
                <w:sz w:val="20"/>
                <w:szCs w:val="20"/>
              </w:rPr>
              <w:t>Specifically, in January 2017, a draft evaluation report of Burlington’s Inclusionary Zoning (IZ) ordinance was completed.  Since then, the Burlington City Council adopted a resolution to establish an Inclusionary Zoning Working Group (IZWG), whose composition will include for-profit and not-for-profit developers and affordable housing advocates, as well as representation from the</w:t>
            </w:r>
            <w:r w:rsidR="00D10786">
              <w:rPr>
                <w:rFonts w:ascii="Calibri" w:hAnsi="Calibri"/>
                <w:color w:val="000000"/>
                <w:sz w:val="20"/>
                <w:szCs w:val="20"/>
              </w:rPr>
              <w:t xml:space="preserve"> City Council, </w:t>
            </w:r>
            <w:r>
              <w:rPr>
                <w:rFonts w:ascii="Calibri" w:hAnsi="Calibri"/>
                <w:color w:val="000000"/>
                <w:sz w:val="20"/>
                <w:szCs w:val="20"/>
              </w:rPr>
              <w:t xml:space="preserve">Planning Commission and other city departments. </w:t>
            </w:r>
          </w:p>
          <w:p w14:paraId="633B48DD" w14:textId="34F1EBED" w:rsidR="00C71FF7" w:rsidRPr="00140134" w:rsidRDefault="00C71FF7" w:rsidP="008B66B9">
            <w:pPr>
              <w:pStyle w:val="NormalWeb"/>
              <w:spacing w:before="0" w:beforeAutospacing="0" w:after="160" w:afterAutospacing="0"/>
              <w:rPr>
                <w:rFonts w:ascii="Calibri" w:hAnsi="Calibri"/>
                <w:color w:val="000000"/>
                <w:sz w:val="20"/>
                <w:szCs w:val="20"/>
              </w:rPr>
            </w:pPr>
            <w:r>
              <w:rPr>
                <w:rFonts w:ascii="Calibri" w:hAnsi="Calibri"/>
                <w:color w:val="000000"/>
                <w:sz w:val="20"/>
                <w:szCs w:val="20"/>
              </w:rPr>
              <w:t>The purpose and goals of</w:t>
            </w:r>
            <w:r w:rsidR="008B66B9">
              <w:rPr>
                <w:rFonts w:ascii="Calibri" w:hAnsi="Calibri"/>
                <w:color w:val="000000"/>
                <w:sz w:val="20"/>
                <w:szCs w:val="20"/>
              </w:rPr>
              <w:t xml:space="preserve"> the IZWG are to review the IZ </w:t>
            </w:r>
            <w:r>
              <w:rPr>
                <w:rFonts w:ascii="Calibri" w:hAnsi="Calibri"/>
                <w:color w:val="000000"/>
                <w:sz w:val="20"/>
                <w:szCs w:val="20"/>
              </w:rPr>
              <w:t>draft report’s recommendations, identify pros and cons, evaluate financial feasibility, identify any data/information gaps and propose a timeline for implementation, among others. The IZWG has also been tasked with gathering public input on the draft report’s recommendations before the final report is presented to the City Council.</w:t>
            </w:r>
            <w:r w:rsidRPr="004971C1">
              <w:rPr>
                <w:rFonts w:eastAsia="Calibri"/>
                <w:b/>
              </w:rPr>
              <w:tab/>
            </w:r>
          </w:p>
        </w:tc>
      </w:tr>
    </w:tbl>
    <w:p w14:paraId="38082698" w14:textId="77777777" w:rsidR="00C71FF7" w:rsidRPr="0021335D" w:rsidRDefault="00C71FF7" w:rsidP="00C71FF7"/>
    <w:tbl>
      <w:tblPr>
        <w:tblpPr w:leftFromText="180" w:rightFromText="180" w:vertAnchor="text" w:horzAnchor="page" w:tblpX="1439" w:tblpY="79"/>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278"/>
        <w:gridCol w:w="49"/>
        <w:gridCol w:w="1240"/>
        <w:gridCol w:w="110"/>
        <w:gridCol w:w="85"/>
        <w:gridCol w:w="1886"/>
        <w:gridCol w:w="276"/>
        <w:gridCol w:w="19"/>
        <w:gridCol w:w="2234"/>
        <w:gridCol w:w="8"/>
        <w:gridCol w:w="92"/>
        <w:gridCol w:w="1515"/>
        <w:gridCol w:w="236"/>
      </w:tblGrid>
      <w:tr w:rsidR="000D03C4" w:rsidRPr="004971C1" w14:paraId="6359632C" w14:textId="77777777" w:rsidTr="00A3600D">
        <w:tc>
          <w:tcPr>
            <w:tcW w:w="1885" w:type="dxa"/>
            <w:gridSpan w:val="3"/>
            <w:shd w:val="clear" w:color="auto" w:fill="auto"/>
            <w:vAlign w:val="center"/>
          </w:tcPr>
          <w:p w14:paraId="0D7628F7" w14:textId="77777777" w:rsidR="00912A12" w:rsidRPr="004971C1" w:rsidRDefault="00912A12" w:rsidP="008B66B9">
            <w:pPr>
              <w:spacing w:after="240"/>
              <w:jc w:val="center"/>
              <w:rPr>
                <w:rFonts w:eastAsia="Calibri"/>
                <w:b/>
                <w:bCs/>
                <w:u w:val="single"/>
              </w:rPr>
            </w:pPr>
            <w:r w:rsidRPr="006951CA">
              <w:rPr>
                <w:rFonts w:eastAsia="Calibri"/>
                <w:b/>
                <w:bCs/>
                <w:highlight w:val="yellow"/>
                <w:u w:val="single"/>
              </w:rPr>
              <w:t>Goal</w:t>
            </w:r>
          </w:p>
        </w:tc>
        <w:tc>
          <w:tcPr>
            <w:tcW w:w="1435" w:type="dxa"/>
            <w:gridSpan w:val="3"/>
            <w:shd w:val="clear" w:color="auto" w:fill="auto"/>
            <w:vAlign w:val="center"/>
          </w:tcPr>
          <w:p w14:paraId="090E3E3C" w14:textId="77777777" w:rsidR="00912A12" w:rsidRPr="004971C1" w:rsidRDefault="00912A12" w:rsidP="008B66B9">
            <w:pPr>
              <w:spacing w:after="240"/>
              <w:jc w:val="center"/>
              <w:rPr>
                <w:rFonts w:eastAsia="Calibri"/>
                <w:b/>
                <w:bCs/>
                <w:u w:val="single"/>
              </w:rPr>
            </w:pPr>
            <w:r w:rsidRPr="5F884969">
              <w:rPr>
                <w:rFonts w:eastAsia="Calibri"/>
                <w:b/>
                <w:bCs/>
                <w:u w:val="single"/>
              </w:rPr>
              <w:t>Contributing Factors</w:t>
            </w:r>
          </w:p>
        </w:tc>
        <w:tc>
          <w:tcPr>
            <w:tcW w:w="2162" w:type="dxa"/>
            <w:gridSpan w:val="2"/>
            <w:shd w:val="clear" w:color="auto" w:fill="auto"/>
            <w:vAlign w:val="center"/>
          </w:tcPr>
          <w:p w14:paraId="0276479C" w14:textId="77777777" w:rsidR="00912A12" w:rsidRPr="004971C1" w:rsidRDefault="00912A12" w:rsidP="008B66B9">
            <w:pPr>
              <w:spacing w:after="240"/>
              <w:jc w:val="center"/>
              <w:rPr>
                <w:rFonts w:eastAsia="Calibri"/>
                <w:b/>
                <w:bCs/>
                <w:u w:val="single"/>
              </w:rPr>
            </w:pPr>
            <w:r w:rsidRPr="5F884969">
              <w:rPr>
                <w:rFonts w:eastAsia="Calibri"/>
                <w:b/>
                <w:bCs/>
                <w:u w:val="single"/>
              </w:rPr>
              <w:t>Fair Housing Issues</w:t>
            </w:r>
          </w:p>
        </w:tc>
        <w:tc>
          <w:tcPr>
            <w:tcW w:w="2253" w:type="dxa"/>
            <w:gridSpan w:val="2"/>
            <w:shd w:val="clear" w:color="auto" w:fill="auto"/>
          </w:tcPr>
          <w:p w14:paraId="0EA5EDE9" w14:textId="77777777" w:rsidR="00912A12" w:rsidRPr="004971C1" w:rsidRDefault="00912A12" w:rsidP="008B66B9">
            <w:pPr>
              <w:spacing w:after="240"/>
              <w:jc w:val="center"/>
              <w:rPr>
                <w:rFonts w:eastAsia="Calibri"/>
                <w:b/>
                <w:bCs/>
                <w:u w:val="single"/>
              </w:rPr>
            </w:pPr>
            <w:r w:rsidRPr="5F884969">
              <w:rPr>
                <w:rFonts w:eastAsia="Calibri"/>
                <w:b/>
                <w:bCs/>
                <w:u w:val="single"/>
              </w:rPr>
              <w:t>Metrics, Milestones, and Timeframe for Achievement</w:t>
            </w:r>
          </w:p>
        </w:tc>
        <w:tc>
          <w:tcPr>
            <w:tcW w:w="1851" w:type="dxa"/>
            <w:gridSpan w:val="4"/>
            <w:shd w:val="clear" w:color="auto" w:fill="auto"/>
            <w:vAlign w:val="center"/>
          </w:tcPr>
          <w:p w14:paraId="0EA4CD01" w14:textId="77777777" w:rsidR="00912A12" w:rsidRPr="004971C1" w:rsidRDefault="00912A12" w:rsidP="008B66B9">
            <w:pPr>
              <w:spacing w:after="240"/>
              <w:jc w:val="center"/>
              <w:rPr>
                <w:rFonts w:eastAsia="Calibri"/>
                <w:b/>
                <w:bCs/>
                <w:u w:val="single"/>
              </w:rPr>
            </w:pPr>
            <w:r w:rsidRPr="5F884969">
              <w:rPr>
                <w:rFonts w:eastAsia="Calibri"/>
                <w:b/>
                <w:bCs/>
                <w:u w:val="single"/>
              </w:rPr>
              <w:t>Responsible Program Participant(s)</w:t>
            </w:r>
          </w:p>
        </w:tc>
      </w:tr>
      <w:tr w:rsidR="000D03C4" w:rsidRPr="004971C1" w14:paraId="245E3879" w14:textId="77777777" w:rsidTr="00A3600D">
        <w:tc>
          <w:tcPr>
            <w:tcW w:w="1885" w:type="dxa"/>
            <w:gridSpan w:val="3"/>
            <w:shd w:val="clear" w:color="auto" w:fill="auto"/>
          </w:tcPr>
          <w:p w14:paraId="7BC8598A" w14:textId="3717E5B5" w:rsidR="007508F1" w:rsidRDefault="007508F1" w:rsidP="008B66B9">
            <w:pPr>
              <w:spacing w:after="240"/>
              <w:rPr>
                <w:rFonts w:eastAsia="Calibri"/>
                <w:b/>
              </w:rPr>
            </w:pPr>
            <w:r>
              <w:rPr>
                <w:rFonts w:eastAsia="Calibri"/>
                <w:b/>
              </w:rPr>
              <w:t>Maintain/</w:t>
            </w:r>
            <w:r w:rsidR="00A3600D">
              <w:rPr>
                <w:rFonts w:eastAsia="Calibri"/>
                <w:b/>
              </w:rPr>
              <w:t xml:space="preserve">    </w:t>
            </w:r>
            <w:r>
              <w:rPr>
                <w:rFonts w:eastAsia="Calibri"/>
                <w:b/>
              </w:rPr>
              <w:t>Preserve affordable housing units</w:t>
            </w:r>
          </w:p>
          <w:p w14:paraId="1A340754" w14:textId="215C3273" w:rsidR="00912A12" w:rsidRDefault="007508F1" w:rsidP="008B66B9">
            <w:pPr>
              <w:spacing w:after="240"/>
              <w:rPr>
                <w:rFonts w:eastAsia="Calibri"/>
              </w:rPr>
            </w:pPr>
            <w:r>
              <w:rPr>
                <w:rFonts w:eastAsia="Calibri"/>
              </w:rPr>
              <w:t>North Avenue Coop</w:t>
            </w:r>
          </w:p>
          <w:p w14:paraId="5909E001" w14:textId="77777777" w:rsidR="007508F1" w:rsidRDefault="007508F1" w:rsidP="008B66B9">
            <w:pPr>
              <w:spacing w:after="240"/>
              <w:rPr>
                <w:rFonts w:eastAsia="Calibri"/>
              </w:rPr>
            </w:pPr>
          </w:p>
          <w:p w14:paraId="32BD1C3B" w14:textId="77777777" w:rsidR="007508F1" w:rsidRDefault="007508F1" w:rsidP="008B66B9">
            <w:pPr>
              <w:spacing w:after="240"/>
              <w:rPr>
                <w:rFonts w:eastAsia="Calibri"/>
              </w:rPr>
            </w:pPr>
          </w:p>
          <w:p w14:paraId="1BF0E25F" w14:textId="77777777" w:rsidR="007508F1" w:rsidRDefault="007508F1" w:rsidP="008B66B9">
            <w:pPr>
              <w:spacing w:after="240"/>
              <w:rPr>
                <w:rFonts w:eastAsia="Calibri"/>
              </w:rPr>
            </w:pPr>
          </w:p>
          <w:p w14:paraId="2B25F258" w14:textId="77777777" w:rsidR="007508F1" w:rsidRDefault="007508F1" w:rsidP="008B66B9">
            <w:pPr>
              <w:spacing w:after="240"/>
              <w:rPr>
                <w:rFonts w:eastAsia="Calibri"/>
              </w:rPr>
            </w:pPr>
            <w:r>
              <w:rPr>
                <w:rFonts w:eastAsia="Calibri"/>
              </w:rPr>
              <w:t>BRHIP</w:t>
            </w:r>
          </w:p>
          <w:p w14:paraId="69CEE857" w14:textId="77777777" w:rsidR="00616FF5" w:rsidRDefault="00616FF5" w:rsidP="008B66B9">
            <w:pPr>
              <w:spacing w:after="240"/>
              <w:rPr>
                <w:rFonts w:eastAsia="Calibri"/>
              </w:rPr>
            </w:pPr>
          </w:p>
          <w:p w14:paraId="41B451A8" w14:textId="77777777" w:rsidR="00616FF5" w:rsidRDefault="00616FF5" w:rsidP="008B66B9">
            <w:pPr>
              <w:spacing w:after="240"/>
              <w:rPr>
                <w:rFonts w:eastAsia="Calibri"/>
              </w:rPr>
            </w:pPr>
          </w:p>
          <w:p w14:paraId="4BE931EF" w14:textId="77777777" w:rsidR="00616FF5" w:rsidRDefault="00616FF5" w:rsidP="008B66B9">
            <w:pPr>
              <w:spacing w:after="240"/>
              <w:rPr>
                <w:rFonts w:eastAsia="Calibri"/>
              </w:rPr>
            </w:pPr>
          </w:p>
          <w:p w14:paraId="4C2D793C" w14:textId="77777777" w:rsidR="00616FF5" w:rsidRDefault="00616FF5" w:rsidP="008B66B9">
            <w:pPr>
              <w:spacing w:after="240"/>
              <w:rPr>
                <w:rFonts w:eastAsia="Calibri"/>
              </w:rPr>
            </w:pPr>
          </w:p>
          <w:p w14:paraId="0790E3B8" w14:textId="77777777" w:rsidR="00616FF5" w:rsidRDefault="00616FF5" w:rsidP="008B66B9">
            <w:pPr>
              <w:spacing w:after="240"/>
              <w:rPr>
                <w:rFonts w:eastAsia="Calibri"/>
              </w:rPr>
            </w:pPr>
          </w:p>
          <w:p w14:paraId="620A113C" w14:textId="77777777" w:rsidR="00616FF5" w:rsidRDefault="00616FF5" w:rsidP="008B66B9">
            <w:pPr>
              <w:spacing w:after="240"/>
              <w:rPr>
                <w:rFonts w:eastAsia="Calibri"/>
              </w:rPr>
            </w:pPr>
            <w:r>
              <w:rPr>
                <w:rFonts w:eastAsia="Calibri"/>
              </w:rPr>
              <w:t>Pearl Union SRO</w:t>
            </w:r>
          </w:p>
          <w:p w14:paraId="3744126C" w14:textId="77777777" w:rsidR="00616FF5" w:rsidRDefault="00616FF5" w:rsidP="008B66B9">
            <w:pPr>
              <w:spacing w:after="240"/>
              <w:rPr>
                <w:rFonts w:eastAsia="Calibri"/>
              </w:rPr>
            </w:pPr>
          </w:p>
          <w:p w14:paraId="4B5157BE" w14:textId="32F99A07" w:rsidR="00616FF5" w:rsidRDefault="00616FF5" w:rsidP="008B66B9">
            <w:pPr>
              <w:spacing w:after="240"/>
              <w:rPr>
                <w:rFonts w:eastAsia="Calibri"/>
              </w:rPr>
            </w:pPr>
            <w:r>
              <w:rPr>
                <w:rFonts w:eastAsia="Calibri"/>
              </w:rPr>
              <w:t>Lead Remediation/Healthy Homes – rental</w:t>
            </w:r>
          </w:p>
          <w:p w14:paraId="2C96DED4" w14:textId="77777777" w:rsidR="00616FF5" w:rsidRDefault="00616FF5" w:rsidP="008B66B9">
            <w:pPr>
              <w:spacing w:after="240"/>
              <w:rPr>
                <w:rFonts w:eastAsia="Calibri"/>
              </w:rPr>
            </w:pPr>
          </w:p>
          <w:p w14:paraId="773E7795" w14:textId="32EF2E27" w:rsidR="00616FF5" w:rsidRPr="007508F1" w:rsidRDefault="00616FF5" w:rsidP="008B66B9">
            <w:pPr>
              <w:spacing w:after="240"/>
              <w:rPr>
                <w:rFonts w:eastAsia="Calibri"/>
              </w:rPr>
            </w:pPr>
            <w:r>
              <w:rPr>
                <w:rFonts w:eastAsia="Calibri"/>
              </w:rPr>
              <w:t>Expiring Subsidized Units</w:t>
            </w:r>
          </w:p>
        </w:tc>
        <w:tc>
          <w:tcPr>
            <w:tcW w:w="1435" w:type="dxa"/>
            <w:gridSpan w:val="3"/>
            <w:shd w:val="clear" w:color="auto" w:fill="auto"/>
          </w:tcPr>
          <w:p w14:paraId="327E7ED9" w14:textId="77777777" w:rsidR="00912A12" w:rsidRPr="008B66B9" w:rsidRDefault="00912A12" w:rsidP="008B66B9">
            <w:pPr>
              <w:spacing w:after="240"/>
              <w:rPr>
                <w:rFonts w:eastAsia="Calibri"/>
                <w:sz w:val="20"/>
                <w:szCs w:val="20"/>
              </w:rPr>
            </w:pPr>
            <w:r w:rsidRPr="008B66B9">
              <w:rPr>
                <w:rFonts w:eastAsia="Calibri"/>
                <w:sz w:val="20"/>
                <w:szCs w:val="20"/>
              </w:rPr>
              <w:lastRenderedPageBreak/>
              <w:t>Lack of affordable units</w:t>
            </w:r>
          </w:p>
          <w:p w14:paraId="66B9A27B" w14:textId="77777777" w:rsidR="00912A12" w:rsidRPr="008B66B9" w:rsidRDefault="00912A12" w:rsidP="008B66B9">
            <w:pPr>
              <w:spacing w:after="240"/>
              <w:rPr>
                <w:rFonts w:eastAsia="Calibri"/>
                <w:sz w:val="20"/>
                <w:szCs w:val="20"/>
              </w:rPr>
            </w:pPr>
            <w:r w:rsidRPr="008B66B9">
              <w:rPr>
                <w:rFonts w:eastAsia="Calibri"/>
                <w:sz w:val="20"/>
                <w:szCs w:val="20"/>
              </w:rPr>
              <w:t>Location and type of units</w:t>
            </w:r>
          </w:p>
          <w:p w14:paraId="2E00CF69" w14:textId="77777777" w:rsidR="007508F1" w:rsidRDefault="007508F1" w:rsidP="008B66B9">
            <w:pPr>
              <w:spacing w:after="240"/>
              <w:rPr>
                <w:rFonts w:eastAsia="Calibri"/>
              </w:rPr>
            </w:pPr>
            <w:r w:rsidRPr="008B66B9">
              <w:rPr>
                <w:rFonts w:eastAsia="Calibri"/>
                <w:sz w:val="20"/>
                <w:szCs w:val="20"/>
              </w:rPr>
              <w:t>Displacement of residents</w:t>
            </w:r>
            <w:r>
              <w:rPr>
                <w:rFonts w:eastAsia="Calibri"/>
              </w:rPr>
              <w:t xml:space="preserve"> due to economic pressures</w:t>
            </w:r>
          </w:p>
          <w:p w14:paraId="39D51E14" w14:textId="5AAF82A6" w:rsidR="007508F1" w:rsidRPr="008B66B9" w:rsidRDefault="007508F1" w:rsidP="008B66B9">
            <w:pPr>
              <w:spacing w:after="240"/>
              <w:rPr>
                <w:rFonts w:eastAsia="Calibri"/>
                <w:sz w:val="20"/>
                <w:szCs w:val="20"/>
              </w:rPr>
            </w:pPr>
            <w:r w:rsidRPr="008B66B9">
              <w:rPr>
                <w:rFonts w:eastAsia="Calibri"/>
                <w:sz w:val="20"/>
                <w:szCs w:val="20"/>
              </w:rPr>
              <w:t>Inaccessible private infrastructure</w:t>
            </w:r>
          </w:p>
        </w:tc>
        <w:tc>
          <w:tcPr>
            <w:tcW w:w="2162" w:type="dxa"/>
            <w:gridSpan w:val="2"/>
            <w:shd w:val="clear" w:color="auto" w:fill="auto"/>
          </w:tcPr>
          <w:p w14:paraId="3FEFB78A" w14:textId="76FE336B" w:rsidR="00912A12" w:rsidRPr="007508F1" w:rsidRDefault="00912A12" w:rsidP="008B66B9">
            <w:pPr>
              <w:spacing w:after="240"/>
              <w:rPr>
                <w:rFonts w:eastAsia="Calibri"/>
              </w:rPr>
            </w:pPr>
            <w:r w:rsidRPr="007508F1">
              <w:rPr>
                <w:rFonts w:eastAsia="Calibri"/>
              </w:rPr>
              <w:t xml:space="preserve">Cost of housing – disproportionate housing </w:t>
            </w:r>
            <w:r w:rsidR="007508F1">
              <w:rPr>
                <w:rFonts w:eastAsia="Calibri"/>
              </w:rPr>
              <w:t>needs</w:t>
            </w:r>
          </w:p>
          <w:p w14:paraId="6A60ED8A" w14:textId="11077900" w:rsidR="00912A12" w:rsidRPr="007508F1" w:rsidRDefault="007508F1" w:rsidP="008B66B9">
            <w:pPr>
              <w:spacing w:after="240"/>
              <w:rPr>
                <w:rFonts w:eastAsia="Calibri"/>
              </w:rPr>
            </w:pPr>
            <w:r>
              <w:rPr>
                <w:rFonts w:eastAsia="Calibri"/>
              </w:rPr>
              <w:t>Disparities to Access to opportunities</w:t>
            </w:r>
          </w:p>
        </w:tc>
        <w:tc>
          <w:tcPr>
            <w:tcW w:w="2253" w:type="dxa"/>
            <w:gridSpan w:val="2"/>
            <w:shd w:val="clear" w:color="auto" w:fill="auto"/>
          </w:tcPr>
          <w:p w14:paraId="7AB21802" w14:textId="77777777" w:rsidR="00912A12" w:rsidRDefault="00912A12" w:rsidP="008B66B9">
            <w:pPr>
              <w:spacing w:after="240"/>
              <w:rPr>
                <w:rFonts w:eastAsia="Calibri"/>
              </w:rPr>
            </w:pPr>
            <w:r w:rsidRPr="007508F1">
              <w:rPr>
                <w:rFonts w:eastAsia="Calibri"/>
              </w:rPr>
              <w:t>Preservation of local mobile home park, 6 abandoned homes 12.17</w:t>
            </w:r>
          </w:p>
          <w:p w14:paraId="03290F50" w14:textId="77777777" w:rsidR="007508F1" w:rsidRDefault="007508F1" w:rsidP="008B66B9">
            <w:pPr>
              <w:spacing w:after="240"/>
              <w:rPr>
                <w:rFonts w:eastAsia="Calibri"/>
              </w:rPr>
            </w:pPr>
            <w:r>
              <w:rPr>
                <w:rFonts w:eastAsia="Calibri"/>
              </w:rPr>
              <w:t>HTF assistance with infrastructure 2018-2020</w:t>
            </w:r>
          </w:p>
          <w:p w14:paraId="4D93B2F5" w14:textId="49733F89" w:rsidR="007508F1" w:rsidRDefault="007508F1" w:rsidP="008B66B9">
            <w:pPr>
              <w:spacing w:after="240"/>
              <w:rPr>
                <w:rFonts w:eastAsia="Calibri"/>
              </w:rPr>
            </w:pPr>
            <w:r>
              <w:rPr>
                <w:rFonts w:eastAsia="Calibri"/>
              </w:rPr>
              <w:t>Financing, capital i</w:t>
            </w:r>
            <w:r w:rsidR="008B66B9">
              <w:rPr>
                <w:rFonts w:eastAsia="Calibri"/>
              </w:rPr>
              <w:t>nvestments, rehabilitation of 49</w:t>
            </w:r>
            <w:r>
              <w:rPr>
                <w:rFonts w:eastAsia="Calibri"/>
              </w:rPr>
              <w:t xml:space="preserve"> scattered affordable units in the Old North End 2016-2018</w:t>
            </w:r>
          </w:p>
          <w:p w14:paraId="36452FD4" w14:textId="77777777" w:rsidR="00616FF5" w:rsidRDefault="00616FF5" w:rsidP="00616FF5">
            <w:pPr>
              <w:spacing w:after="240"/>
              <w:rPr>
                <w:rFonts w:eastAsia="Calibri"/>
              </w:rPr>
            </w:pPr>
          </w:p>
          <w:p w14:paraId="58E1A3BC" w14:textId="77777777" w:rsidR="00616FF5" w:rsidRDefault="00616FF5" w:rsidP="00616FF5">
            <w:pPr>
              <w:spacing w:after="240"/>
              <w:rPr>
                <w:rFonts w:eastAsia="Calibri"/>
              </w:rPr>
            </w:pPr>
            <w:r>
              <w:rPr>
                <w:rFonts w:eastAsia="Calibri"/>
              </w:rPr>
              <w:t>Rehabilitation of 14 SRO units for homeless 2017-2018</w:t>
            </w:r>
          </w:p>
          <w:p w14:paraId="1CCA5E6B" w14:textId="77777777" w:rsidR="00616FF5" w:rsidRDefault="00616FF5" w:rsidP="00616FF5">
            <w:pPr>
              <w:spacing w:after="240"/>
              <w:rPr>
                <w:rFonts w:eastAsia="Calibri"/>
              </w:rPr>
            </w:pPr>
            <w:r>
              <w:rPr>
                <w:rFonts w:eastAsia="Calibri"/>
              </w:rPr>
              <w:t>Remediation of 149 units 2017-2020</w:t>
            </w:r>
          </w:p>
          <w:p w14:paraId="2385C11E" w14:textId="06C2BCD3" w:rsidR="00616FF5" w:rsidRPr="007508F1" w:rsidRDefault="003F2959" w:rsidP="00616FF5">
            <w:pPr>
              <w:spacing w:after="240"/>
              <w:rPr>
                <w:rFonts w:eastAsia="Calibri"/>
              </w:rPr>
            </w:pPr>
            <w:r>
              <w:rPr>
                <w:rFonts w:eastAsia="Calibri"/>
              </w:rPr>
              <w:t xml:space="preserve">Identification of units/funding and non-profit partners to </w:t>
            </w:r>
            <w:r>
              <w:rPr>
                <w:rFonts w:eastAsia="Calibri"/>
              </w:rPr>
              <w:lastRenderedPageBreak/>
              <w:t>preserve annually as needed</w:t>
            </w:r>
          </w:p>
        </w:tc>
        <w:tc>
          <w:tcPr>
            <w:tcW w:w="1851" w:type="dxa"/>
            <w:gridSpan w:val="4"/>
            <w:shd w:val="clear" w:color="auto" w:fill="auto"/>
          </w:tcPr>
          <w:p w14:paraId="17B78BC3" w14:textId="77777777" w:rsidR="00912A12" w:rsidRDefault="00912A12" w:rsidP="008B66B9">
            <w:pPr>
              <w:spacing w:after="240"/>
              <w:rPr>
                <w:rFonts w:eastAsia="Calibri"/>
                <w:b/>
              </w:rPr>
            </w:pPr>
            <w:r>
              <w:rPr>
                <w:rFonts w:eastAsia="Calibri"/>
                <w:b/>
              </w:rPr>
              <w:lastRenderedPageBreak/>
              <w:t>CEDO</w:t>
            </w:r>
          </w:p>
          <w:p w14:paraId="77796AF0" w14:textId="77777777" w:rsidR="007508F1" w:rsidRDefault="007508F1" w:rsidP="008B66B9">
            <w:pPr>
              <w:spacing w:after="240"/>
              <w:rPr>
                <w:rFonts w:eastAsia="Calibri"/>
                <w:b/>
              </w:rPr>
            </w:pPr>
          </w:p>
          <w:p w14:paraId="080874BF" w14:textId="77777777" w:rsidR="007508F1" w:rsidRDefault="007508F1" w:rsidP="008B66B9">
            <w:pPr>
              <w:spacing w:after="240"/>
              <w:rPr>
                <w:rFonts w:eastAsia="Calibri"/>
                <w:b/>
              </w:rPr>
            </w:pPr>
          </w:p>
          <w:p w14:paraId="47738B18" w14:textId="77777777" w:rsidR="007508F1" w:rsidRDefault="007508F1" w:rsidP="008B66B9">
            <w:pPr>
              <w:spacing w:after="240"/>
              <w:rPr>
                <w:rFonts w:eastAsia="Calibri"/>
                <w:b/>
              </w:rPr>
            </w:pPr>
          </w:p>
          <w:p w14:paraId="7C64B7DE" w14:textId="77777777" w:rsidR="007508F1" w:rsidRDefault="007508F1" w:rsidP="008B66B9">
            <w:pPr>
              <w:spacing w:after="240"/>
              <w:rPr>
                <w:rFonts w:eastAsia="Calibri"/>
                <w:b/>
              </w:rPr>
            </w:pPr>
          </w:p>
          <w:p w14:paraId="3EEECCAA" w14:textId="77777777" w:rsidR="007508F1" w:rsidRDefault="007508F1" w:rsidP="008B66B9">
            <w:pPr>
              <w:spacing w:after="240"/>
              <w:rPr>
                <w:rFonts w:eastAsia="Calibri"/>
                <w:b/>
              </w:rPr>
            </w:pPr>
          </w:p>
          <w:p w14:paraId="6A2E69E6" w14:textId="77777777" w:rsidR="007508F1" w:rsidRDefault="007508F1" w:rsidP="008B66B9">
            <w:pPr>
              <w:spacing w:after="240"/>
              <w:rPr>
                <w:rFonts w:eastAsia="Calibri"/>
                <w:b/>
              </w:rPr>
            </w:pPr>
          </w:p>
          <w:p w14:paraId="2881D027" w14:textId="77777777" w:rsidR="007508F1" w:rsidRDefault="007508F1" w:rsidP="008B66B9">
            <w:pPr>
              <w:spacing w:after="240"/>
              <w:rPr>
                <w:rFonts w:eastAsia="Calibri"/>
                <w:b/>
              </w:rPr>
            </w:pPr>
            <w:r>
              <w:rPr>
                <w:rFonts w:eastAsia="Calibri"/>
                <w:b/>
              </w:rPr>
              <w:t>Champlain Housing Trust/CEDO</w:t>
            </w:r>
          </w:p>
          <w:p w14:paraId="171B2EE7" w14:textId="77777777" w:rsidR="00616FF5" w:rsidRDefault="00616FF5" w:rsidP="008B66B9">
            <w:pPr>
              <w:spacing w:after="240"/>
              <w:rPr>
                <w:rFonts w:eastAsia="Calibri"/>
                <w:b/>
              </w:rPr>
            </w:pPr>
          </w:p>
          <w:p w14:paraId="08E31961" w14:textId="77777777" w:rsidR="00616FF5" w:rsidRDefault="00616FF5" w:rsidP="00616FF5">
            <w:pPr>
              <w:spacing w:after="240"/>
              <w:rPr>
                <w:rFonts w:eastAsia="Calibri"/>
                <w:b/>
              </w:rPr>
            </w:pPr>
          </w:p>
          <w:p w14:paraId="5C7CB30E" w14:textId="77777777" w:rsidR="00616FF5" w:rsidRDefault="00616FF5" w:rsidP="00616FF5">
            <w:pPr>
              <w:spacing w:after="240"/>
              <w:rPr>
                <w:rFonts w:eastAsia="Calibri"/>
                <w:b/>
              </w:rPr>
            </w:pPr>
          </w:p>
          <w:p w14:paraId="36EDF62E" w14:textId="77777777" w:rsidR="00616FF5" w:rsidRDefault="00616FF5" w:rsidP="00616FF5">
            <w:pPr>
              <w:spacing w:after="240"/>
              <w:rPr>
                <w:rFonts w:eastAsia="Calibri"/>
                <w:b/>
              </w:rPr>
            </w:pPr>
          </w:p>
          <w:p w14:paraId="3FB725A1" w14:textId="77777777" w:rsidR="00616FF5" w:rsidRDefault="00616FF5" w:rsidP="00616FF5">
            <w:pPr>
              <w:spacing w:after="240"/>
              <w:rPr>
                <w:rFonts w:eastAsia="Calibri"/>
                <w:b/>
              </w:rPr>
            </w:pPr>
            <w:r>
              <w:rPr>
                <w:rFonts w:eastAsia="Calibri"/>
                <w:b/>
              </w:rPr>
              <w:lastRenderedPageBreak/>
              <w:t>Champlain Housing Trust/CEDO</w:t>
            </w:r>
          </w:p>
          <w:p w14:paraId="77D29D27" w14:textId="77777777" w:rsidR="00616FF5" w:rsidRDefault="00616FF5" w:rsidP="00616FF5">
            <w:pPr>
              <w:spacing w:after="240"/>
              <w:rPr>
                <w:rFonts w:eastAsia="Calibri"/>
                <w:b/>
              </w:rPr>
            </w:pPr>
            <w:r>
              <w:rPr>
                <w:rFonts w:eastAsia="Calibri"/>
                <w:b/>
              </w:rPr>
              <w:t>CEDO</w:t>
            </w:r>
          </w:p>
          <w:p w14:paraId="65E3CB57" w14:textId="77777777" w:rsidR="003F2959" w:rsidRDefault="003F2959" w:rsidP="00616FF5">
            <w:pPr>
              <w:spacing w:after="240"/>
              <w:rPr>
                <w:rFonts w:eastAsia="Calibri"/>
                <w:b/>
              </w:rPr>
            </w:pPr>
          </w:p>
          <w:p w14:paraId="6EFCB147" w14:textId="77777777" w:rsidR="003F2959" w:rsidRDefault="003F2959" w:rsidP="00616FF5">
            <w:pPr>
              <w:spacing w:after="240"/>
              <w:rPr>
                <w:rFonts w:eastAsia="Calibri"/>
                <w:b/>
              </w:rPr>
            </w:pPr>
          </w:p>
          <w:p w14:paraId="5D4E6AA6" w14:textId="6F29E77A" w:rsidR="003F2959" w:rsidRPr="004971C1" w:rsidRDefault="003F2959" w:rsidP="00616FF5">
            <w:pPr>
              <w:spacing w:after="240"/>
              <w:rPr>
                <w:rFonts w:eastAsia="Calibri"/>
                <w:b/>
              </w:rPr>
            </w:pPr>
            <w:r>
              <w:rPr>
                <w:rFonts w:eastAsia="Calibri"/>
                <w:b/>
              </w:rPr>
              <w:t>CEDO</w:t>
            </w:r>
          </w:p>
        </w:tc>
      </w:tr>
      <w:tr w:rsidR="00912A12" w:rsidRPr="004971C1" w14:paraId="05CD12E7" w14:textId="77777777" w:rsidTr="001B39A6">
        <w:tc>
          <w:tcPr>
            <w:tcW w:w="9586" w:type="dxa"/>
            <w:gridSpan w:val="14"/>
            <w:shd w:val="clear" w:color="auto" w:fill="auto"/>
          </w:tcPr>
          <w:p w14:paraId="5234FACB" w14:textId="54116E82" w:rsidR="00996D63" w:rsidRPr="00CD15D9" w:rsidRDefault="00912A12" w:rsidP="00996D63">
            <w:pPr>
              <w:spacing w:after="240"/>
              <w:rPr>
                <w:rFonts w:eastAsia="Calibri"/>
                <w:bCs/>
                <w:sz w:val="18"/>
                <w:szCs w:val="18"/>
              </w:rPr>
            </w:pPr>
            <w:r w:rsidRPr="007508F1">
              <w:rPr>
                <w:rFonts w:eastAsia="Calibri"/>
                <w:bCs/>
              </w:rPr>
              <w:lastRenderedPageBreak/>
              <w:t>Discussion:</w:t>
            </w:r>
            <w:r w:rsidRPr="007508F1">
              <w:rPr>
                <w:rFonts w:eastAsia="Calibri"/>
              </w:rPr>
              <w:t xml:space="preserve"> </w:t>
            </w:r>
            <w:r w:rsidRPr="00CD15D9">
              <w:rPr>
                <w:rFonts w:ascii="Calibri" w:eastAsia="Times New Roman" w:hAnsi="Calibri" w:cs="Times New Roman"/>
                <w:color w:val="000000"/>
                <w:sz w:val="18"/>
                <w:szCs w:val="18"/>
              </w:rPr>
              <w:t xml:space="preserve"> </w:t>
            </w:r>
            <w:r w:rsidR="00616FF5" w:rsidRPr="00CD15D9">
              <w:rPr>
                <w:rFonts w:ascii="Calibri" w:eastAsia="Times New Roman" w:hAnsi="Calibri" w:cs="Times New Roman"/>
                <w:color w:val="000000"/>
                <w:sz w:val="18"/>
                <w:szCs w:val="18"/>
              </w:rPr>
              <w:t>The City of Burlington prioritizes maintaining and preserving affordable housi</w:t>
            </w:r>
            <w:r w:rsidR="00996D63" w:rsidRPr="00CD15D9">
              <w:rPr>
                <w:rFonts w:ascii="Calibri" w:eastAsia="Times New Roman" w:hAnsi="Calibri" w:cs="Times New Roman"/>
                <w:color w:val="000000"/>
                <w:sz w:val="18"/>
                <w:szCs w:val="18"/>
              </w:rPr>
              <w:t>ng within the City and allocates</w:t>
            </w:r>
            <w:r w:rsidR="00616FF5" w:rsidRPr="00CD15D9">
              <w:rPr>
                <w:rFonts w:ascii="Calibri" w:eastAsia="Times New Roman" w:hAnsi="Calibri" w:cs="Times New Roman"/>
                <w:color w:val="000000"/>
                <w:sz w:val="18"/>
                <w:szCs w:val="18"/>
              </w:rPr>
              <w:t xml:space="preserve"> federal and local resources to partners to keep housing with expiring subsidies, renovate housing, provide energy efficiencies and lead remediation.</w:t>
            </w:r>
            <w:r w:rsidR="00996D63" w:rsidRPr="00CD15D9">
              <w:rPr>
                <w:rFonts w:eastAsia="Calibri"/>
                <w:bCs/>
                <w:sz w:val="18"/>
                <w:szCs w:val="18"/>
              </w:rPr>
              <w:t xml:space="preserve"> </w:t>
            </w:r>
            <w:r w:rsidR="008B66B9">
              <w:rPr>
                <w:rFonts w:eastAsia="Calibri"/>
                <w:bCs/>
                <w:sz w:val="18"/>
                <w:szCs w:val="18"/>
              </w:rPr>
              <w:t>It</w:t>
            </w:r>
            <w:r w:rsidR="00C55F26">
              <w:rPr>
                <w:rFonts w:eastAsia="Calibri"/>
                <w:bCs/>
                <w:sz w:val="18"/>
                <w:szCs w:val="18"/>
              </w:rPr>
              <w:t xml:space="preserve"> makes economic sense to modernize</w:t>
            </w:r>
            <w:r w:rsidR="008B66B9">
              <w:rPr>
                <w:rFonts w:eastAsia="Calibri"/>
                <w:bCs/>
                <w:sz w:val="18"/>
                <w:szCs w:val="18"/>
              </w:rPr>
              <w:t xml:space="preserve"> existing affordable housing </w:t>
            </w:r>
            <w:r w:rsidR="00C55F26">
              <w:rPr>
                <w:rFonts w:eastAsia="Calibri"/>
                <w:bCs/>
                <w:sz w:val="18"/>
                <w:szCs w:val="18"/>
              </w:rPr>
              <w:t>at a significantly reduced cost than creating a new unit at about $250,000.</w:t>
            </w:r>
          </w:p>
          <w:p w14:paraId="4BE18E7D" w14:textId="50DADB22" w:rsidR="00912A12" w:rsidRDefault="00996D63" w:rsidP="00996D63">
            <w:pPr>
              <w:spacing w:after="240"/>
              <w:rPr>
                <w:rFonts w:ascii="Calibri" w:eastAsia="Times New Roman" w:hAnsi="Calibri" w:cs="Times New Roman"/>
                <w:color w:val="000000"/>
                <w:sz w:val="20"/>
                <w:szCs w:val="20"/>
              </w:rPr>
            </w:pPr>
            <w:r w:rsidRPr="00CD15D9">
              <w:rPr>
                <w:rFonts w:eastAsia="Calibri"/>
                <w:sz w:val="18"/>
                <w:szCs w:val="18"/>
              </w:rPr>
              <w:t>The City helped to facilitate the preservation of affordable housing at the North Avenue Cooperative (formerly known as Farrington’s Mobile Home Park).</w:t>
            </w:r>
            <w:r w:rsidRPr="007508F1">
              <w:rPr>
                <w:rFonts w:ascii="Calibri" w:eastAsia="Times New Roman" w:hAnsi="Calibri" w:cs="Times New Roman"/>
                <w:color w:val="000000"/>
                <w:sz w:val="20"/>
                <w:szCs w:val="20"/>
              </w:rPr>
              <w:t xml:space="preserve"> With CEDO su</w:t>
            </w:r>
            <w:r w:rsidR="00E82CF8">
              <w:rPr>
                <w:rFonts w:ascii="Calibri" w:eastAsia="Times New Roman" w:hAnsi="Calibri" w:cs="Times New Roman"/>
                <w:color w:val="000000"/>
                <w:sz w:val="20"/>
                <w:szCs w:val="20"/>
              </w:rPr>
              <w:t xml:space="preserve">pport, Efficiency Vermont &amp; Burlington Electric Department </w:t>
            </w:r>
            <w:r w:rsidRPr="007508F1">
              <w:rPr>
                <w:rFonts w:ascii="Calibri" w:eastAsia="Times New Roman" w:hAnsi="Calibri" w:cs="Times New Roman"/>
                <w:color w:val="000000"/>
                <w:sz w:val="20"/>
                <w:szCs w:val="20"/>
              </w:rPr>
              <w:t>have installed a high efficiency “</w:t>
            </w:r>
            <w:proofErr w:type="spellStart"/>
            <w:r w:rsidRPr="007508F1">
              <w:rPr>
                <w:rFonts w:ascii="Calibri" w:eastAsia="Times New Roman" w:hAnsi="Calibri" w:cs="Times New Roman"/>
                <w:color w:val="000000"/>
                <w:sz w:val="20"/>
                <w:szCs w:val="20"/>
              </w:rPr>
              <w:t>Vermod</w:t>
            </w:r>
            <w:proofErr w:type="spellEnd"/>
            <w:r w:rsidRPr="007508F1">
              <w:rPr>
                <w:rFonts w:ascii="Calibri" w:eastAsia="Times New Roman" w:hAnsi="Calibri" w:cs="Times New Roman"/>
                <w:color w:val="000000"/>
                <w:sz w:val="20"/>
                <w:szCs w:val="20"/>
              </w:rPr>
              <w:t>” unit as a model home in the North Avenue Cooperative.</w:t>
            </w:r>
          </w:p>
          <w:p w14:paraId="2724378A" w14:textId="77777777" w:rsidR="00A17323" w:rsidRDefault="00A17323" w:rsidP="00996D63">
            <w:pPr>
              <w:spacing w:after="240"/>
              <w:rPr>
                <w:rFonts w:ascii="Calibri" w:eastAsia="Times New Roman" w:hAnsi="Calibri" w:cs="Times New Roman"/>
                <w:color w:val="000000"/>
                <w:sz w:val="20"/>
                <w:szCs w:val="20"/>
              </w:rPr>
            </w:pPr>
          </w:p>
          <w:p w14:paraId="5C30A8E4" w14:textId="77777777" w:rsidR="00191F45" w:rsidRDefault="00191F45" w:rsidP="00996D63">
            <w:pPr>
              <w:spacing w:after="240"/>
              <w:rPr>
                <w:rFonts w:ascii="Calibri" w:eastAsia="Times New Roman" w:hAnsi="Calibri" w:cs="Times New Roman"/>
                <w:color w:val="000000"/>
                <w:sz w:val="20"/>
                <w:szCs w:val="20"/>
              </w:rPr>
            </w:pPr>
          </w:p>
          <w:p w14:paraId="705C2666" w14:textId="77777777" w:rsidR="00A17323" w:rsidRDefault="00A17323" w:rsidP="00996D63">
            <w:pPr>
              <w:spacing w:after="240"/>
              <w:rPr>
                <w:rFonts w:eastAsia="Calibri"/>
              </w:rPr>
            </w:pPr>
          </w:p>
          <w:p w14:paraId="57E4F663" w14:textId="250C2AC6" w:rsidR="00E21035" w:rsidRPr="007508F1" w:rsidRDefault="00E21035" w:rsidP="00996D63">
            <w:pPr>
              <w:spacing w:after="240"/>
              <w:rPr>
                <w:rFonts w:eastAsia="Calibri"/>
              </w:rPr>
            </w:pPr>
          </w:p>
        </w:tc>
      </w:tr>
      <w:tr w:rsidR="000D03C4" w:rsidRPr="004971C1" w14:paraId="5D99CBDD" w14:textId="77777777" w:rsidTr="00A3600D">
        <w:tc>
          <w:tcPr>
            <w:tcW w:w="1885" w:type="dxa"/>
            <w:gridSpan w:val="3"/>
            <w:shd w:val="clear" w:color="auto" w:fill="auto"/>
            <w:vAlign w:val="center"/>
          </w:tcPr>
          <w:p w14:paraId="275AE0B7" w14:textId="77777777" w:rsidR="00912A12" w:rsidRPr="004971C1" w:rsidRDefault="00912A12" w:rsidP="008B66B9">
            <w:pPr>
              <w:spacing w:after="240"/>
              <w:jc w:val="center"/>
              <w:rPr>
                <w:rFonts w:eastAsia="Calibri"/>
                <w:b/>
                <w:bCs/>
                <w:u w:val="single"/>
              </w:rPr>
            </w:pPr>
            <w:r w:rsidRPr="5F884969">
              <w:rPr>
                <w:rFonts w:eastAsia="Calibri"/>
                <w:b/>
                <w:bCs/>
                <w:u w:val="single"/>
              </w:rPr>
              <w:t>Goal</w:t>
            </w:r>
          </w:p>
        </w:tc>
        <w:tc>
          <w:tcPr>
            <w:tcW w:w="1435" w:type="dxa"/>
            <w:gridSpan w:val="3"/>
            <w:shd w:val="clear" w:color="auto" w:fill="auto"/>
            <w:vAlign w:val="center"/>
          </w:tcPr>
          <w:p w14:paraId="646B9A2E" w14:textId="77777777" w:rsidR="00912A12" w:rsidRPr="004971C1" w:rsidRDefault="00912A12" w:rsidP="008B66B9">
            <w:pPr>
              <w:spacing w:after="240"/>
              <w:jc w:val="center"/>
              <w:rPr>
                <w:rFonts w:eastAsia="Calibri"/>
                <w:b/>
                <w:bCs/>
                <w:u w:val="single"/>
              </w:rPr>
            </w:pPr>
            <w:r w:rsidRPr="5F884969">
              <w:rPr>
                <w:rFonts w:eastAsia="Calibri"/>
                <w:b/>
                <w:bCs/>
                <w:u w:val="single"/>
              </w:rPr>
              <w:t>Contributing Factors</w:t>
            </w:r>
          </w:p>
        </w:tc>
        <w:tc>
          <w:tcPr>
            <w:tcW w:w="2162" w:type="dxa"/>
            <w:gridSpan w:val="2"/>
            <w:shd w:val="clear" w:color="auto" w:fill="auto"/>
            <w:vAlign w:val="center"/>
          </w:tcPr>
          <w:p w14:paraId="0F06BE6A" w14:textId="77777777" w:rsidR="00912A12" w:rsidRPr="004971C1" w:rsidRDefault="00912A12" w:rsidP="008B66B9">
            <w:pPr>
              <w:spacing w:after="240"/>
              <w:jc w:val="center"/>
              <w:rPr>
                <w:rFonts w:eastAsia="Calibri"/>
                <w:b/>
                <w:bCs/>
                <w:u w:val="single"/>
              </w:rPr>
            </w:pPr>
            <w:r w:rsidRPr="5F884969">
              <w:rPr>
                <w:rFonts w:eastAsia="Calibri"/>
                <w:b/>
                <w:bCs/>
                <w:u w:val="single"/>
              </w:rPr>
              <w:t>Fair Housing Issues</w:t>
            </w:r>
          </w:p>
        </w:tc>
        <w:tc>
          <w:tcPr>
            <w:tcW w:w="2253" w:type="dxa"/>
            <w:gridSpan w:val="2"/>
            <w:shd w:val="clear" w:color="auto" w:fill="auto"/>
          </w:tcPr>
          <w:p w14:paraId="10C3AAF9" w14:textId="77777777" w:rsidR="00912A12" w:rsidRPr="004971C1" w:rsidRDefault="00912A12" w:rsidP="008B66B9">
            <w:pPr>
              <w:spacing w:after="240"/>
              <w:jc w:val="center"/>
              <w:rPr>
                <w:rFonts w:eastAsia="Calibri"/>
                <w:b/>
                <w:bCs/>
                <w:u w:val="single"/>
              </w:rPr>
            </w:pPr>
            <w:r w:rsidRPr="5F884969">
              <w:rPr>
                <w:rFonts w:eastAsia="Calibri"/>
                <w:b/>
                <w:bCs/>
                <w:u w:val="single"/>
              </w:rPr>
              <w:t>Metrics, Milestones, and Timeframe for Achievement</w:t>
            </w:r>
          </w:p>
        </w:tc>
        <w:tc>
          <w:tcPr>
            <w:tcW w:w="1851" w:type="dxa"/>
            <w:gridSpan w:val="4"/>
            <w:shd w:val="clear" w:color="auto" w:fill="auto"/>
            <w:vAlign w:val="center"/>
          </w:tcPr>
          <w:p w14:paraId="3D82CA5B" w14:textId="77777777" w:rsidR="00912A12" w:rsidRPr="004971C1" w:rsidRDefault="00912A12" w:rsidP="008B66B9">
            <w:pPr>
              <w:spacing w:after="240"/>
              <w:jc w:val="center"/>
              <w:rPr>
                <w:rFonts w:eastAsia="Calibri"/>
                <w:b/>
                <w:bCs/>
                <w:u w:val="single"/>
              </w:rPr>
            </w:pPr>
            <w:r w:rsidRPr="5F884969">
              <w:rPr>
                <w:rFonts w:eastAsia="Calibri"/>
                <w:b/>
                <w:bCs/>
                <w:u w:val="single"/>
              </w:rPr>
              <w:t>Responsible Program Participant(s)</w:t>
            </w:r>
          </w:p>
        </w:tc>
      </w:tr>
      <w:tr w:rsidR="000D03C4" w:rsidRPr="004971C1" w14:paraId="1BFA9A62" w14:textId="77777777" w:rsidTr="00A3600D">
        <w:tc>
          <w:tcPr>
            <w:tcW w:w="1885" w:type="dxa"/>
            <w:gridSpan w:val="3"/>
            <w:shd w:val="clear" w:color="auto" w:fill="auto"/>
          </w:tcPr>
          <w:p w14:paraId="1E4F751B" w14:textId="694C5676" w:rsidR="00A17323" w:rsidRDefault="00A17323" w:rsidP="008B66B9">
            <w:pPr>
              <w:spacing w:after="240"/>
              <w:rPr>
                <w:rFonts w:eastAsia="Calibri"/>
                <w:b/>
              </w:rPr>
            </w:pPr>
            <w:r>
              <w:rPr>
                <w:rFonts w:eastAsia="Calibri"/>
                <w:b/>
              </w:rPr>
              <w:t>Provide housing resources to low income renters, homeowners and increase homeownership opportunities</w:t>
            </w:r>
          </w:p>
          <w:p w14:paraId="77F06AB3" w14:textId="77777777" w:rsidR="00912A12" w:rsidRDefault="00A17323" w:rsidP="00A17323">
            <w:pPr>
              <w:spacing w:after="240"/>
              <w:rPr>
                <w:rFonts w:eastAsia="Calibri"/>
              </w:rPr>
            </w:pPr>
            <w:r>
              <w:rPr>
                <w:rFonts w:eastAsia="Calibri"/>
              </w:rPr>
              <w:t>Housing Improvement Program</w:t>
            </w:r>
          </w:p>
          <w:p w14:paraId="5D3A3A7B" w14:textId="77777777" w:rsidR="000D03C4" w:rsidRDefault="000D03C4" w:rsidP="00A17323">
            <w:pPr>
              <w:spacing w:after="240"/>
              <w:rPr>
                <w:rFonts w:eastAsia="Calibri"/>
              </w:rPr>
            </w:pPr>
          </w:p>
          <w:p w14:paraId="1DE2586D" w14:textId="77777777" w:rsidR="000D03C4" w:rsidRDefault="000D03C4" w:rsidP="00A17323">
            <w:pPr>
              <w:spacing w:after="240"/>
              <w:rPr>
                <w:rFonts w:eastAsia="Calibri"/>
              </w:rPr>
            </w:pPr>
          </w:p>
          <w:p w14:paraId="2ADC4AE4" w14:textId="77777777" w:rsidR="000D03C4" w:rsidRDefault="000D03C4" w:rsidP="00A17323">
            <w:pPr>
              <w:spacing w:after="240"/>
              <w:rPr>
                <w:rFonts w:eastAsia="Calibri"/>
              </w:rPr>
            </w:pPr>
            <w:r>
              <w:rPr>
                <w:rFonts w:eastAsia="Calibri"/>
              </w:rPr>
              <w:t>Study Homeownership Trends in Burlington</w:t>
            </w:r>
          </w:p>
          <w:p w14:paraId="6031D00A" w14:textId="77777777" w:rsidR="000D03C4" w:rsidRDefault="000D03C4" w:rsidP="00A17323">
            <w:pPr>
              <w:spacing w:after="240"/>
              <w:rPr>
                <w:rFonts w:eastAsia="Calibri"/>
              </w:rPr>
            </w:pPr>
          </w:p>
          <w:p w14:paraId="49D1919C" w14:textId="77777777" w:rsidR="000D03C4" w:rsidRDefault="000D03C4" w:rsidP="00A17323">
            <w:pPr>
              <w:spacing w:after="240"/>
              <w:rPr>
                <w:rFonts w:eastAsia="Calibri"/>
              </w:rPr>
            </w:pPr>
          </w:p>
          <w:p w14:paraId="07CBE03F" w14:textId="77777777" w:rsidR="000D03C4" w:rsidRDefault="000D03C4" w:rsidP="00A17323">
            <w:pPr>
              <w:spacing w:after="240"/>
              <w:rPr>
                <w:rFonts w:eastAsia="Calibri"/>
              </w:rPr>
            </w:pPr>
          </w:p>
          <w:p w14:paraId="33668ACF" w14:textId="77777777" w:rsidR="000D03C4" w:rsidRDefault="000D03C4" w:rsidP="00A17323">
            <w:pPr>
              <w:spacing w:after="240"/>
              <w:rPr>
                <w:rFonts w:eastAsia="Calibri"/>
              </w:rPr>
            </w:pPr>
          </w:p>
          <w:p w14:paraId="7FE7EA55" w14:textId="77777777" w:rsidR="000D03C4" w:rsidRDefault="000D03C4" w:rsidP="00A17323">
            <w:pPr>
              <w:spacing w:after="240"/>
              <w:rPr>
                <w:rFonts w:eastAsia="Calibri"/>
              </w:rPr>
            </w:pPr>
          </w:p>
          <w:p w14:paraId="7F15B57D" w14:textId="77777777" w:rsidR="000D03C4" w:rsidRDefault="000D03C4" w:rsidP="00A17323">
            <w:pPr>
              <w:spacing w:after="240"/>
              <w:rPr>
                <w:rFonts w:eastAsia="Calibri"/>
              </w:rPr>
            </w:pPr>
          </w:p>
          <w:p w14:paraId="28FEF63F" w14:textId="77777777" w:rsidR="000D03C4" w:rsidRDefault="000D03C4" w:rsidP="00A17323">
            <w:pPr>
              <w:spacing w:after="240"/>
              <w:rPr>
                <w:rFonts w:eastAsia="Calibri"/>
              </w:rPr>
            </w:pPr>
            <w:r>
              <w:rPr>
                <w:rFonts w:eastAsia="Calibri"/>
              </w:rPr>
              <w:t>Lead Remediation – owner occupied units</w:t>
            </w:r>
          </w:p>
          <w:p w14:paraId="58399864" w14:textId="77777777" w:rsidR="000D03C4" w:rsidRDefault="000D03C4" w:rsidP="00A17323">
            <w:pPr>
              <w:spacing w:after="240"/>
              <w:rPr>
                <w:rFonts w:eastAsia="Calibri"/>
              </w:rPr>
            </w:pPr>
          </w:p>
          <w:p w14:paraId="41F57DB9" w14:textId="77777777" w:rsidR="000D03C4" w:rsidRDefault="000D03C4" w:rsidP="00A17323">
            <w:pPr>
              <w:spacing w:after="240"/>
              <w:rPr>
                <w:rFonts w:eastAsia="Calibri"/>
              </w:rPr>
            </w:pPr>
            <w:r>
              <w:rPr>
                <w:rFonts w:eastAsia="Calibri"/>
              </w:rPr>
              <w:t>Create new owner occupied housing</w:t>
            </w:r>
          </w:p>
          <w:p w14:paraId="459B2D14" w14:textId="77777777" w:rsidR="000D03C4" w:rsidRDefault="000D03C4" w:rsidP="00A17323">
            <w:pPr>
              <w:spacing w:after="240"/>
              <w:rPr>
                <w:rFonts w:eastAsia="Calibri"/>
              </w:rPr>
            </w:pPr>
          </w:p>
          <w:p w14:paraId="14AAB7E4" w14:textId="77777777" w:rsidR="000D03C4" w:rsidRDefault="000D03C4" w:rsidP="00A17323">
            <w:pPr>
              <w:spacing w:after="240"/>
              <w:rPr>
                <w:rFonts w:eastAsia="Calibri"/>
              </w:rPr>
            </w:pPr>
          </w:p>
          <w:p w14:paraId="0177FF7C" w14:textId="77777777" w:rsidR="000D03C4" w:rsidRDefault="000D03C4" w:rsidP="00A17323">
            <w:pPr>
              <w:spacing w:after="240"/>
              <w:rPr>
                <w:rFonts w:eastAsia="Calibri"/>
              </w:rPr>
            </w:pPr>
            <w:r>
              <w:rPr>
                <w:rFonts w:eastAsia="Calibri"/>
              </w:rPr>
              <w:t xml:space="preserve">Assist senior/disabled with housing options </w:t>
            </w:r>
          </w:p>
          <w:p w14:paraId="7390EDC5" w14:textId="77777777" w:rsidR="007115C4" w:rsidRDefault="007115C4" w:rsidP="00A17323">
            <w:pPr>
              <w:spacing w:after="240"/>
              <w:rPr>
                <w:rFonts w:eastAsia="Calibri"/>
              </w:rPr>
            </w:pPr>
          </w:p>
          <w:p w14:paraId="4224FBCA" w14:textId="77777777" w:rsidR="007115C4" w:rsidRDefault="007115C4" w:rsidP="00A17323">
            <w:pPr>
              <w:spacing w:after="240"/>
              <w:rPr>
                <w:rFonts w:eastAsia="Calibri"/>
              </w:rPr>
            </w:pPr>
            <w:r>
              <w:rPr>
                <w:rFonts w:eastAsia="Calibri"/>
              </w:rPr>
              <w:t>Study on Accessory Dwelling Units</w:t>
            </w:r>
          </w:p>
          <w:p w14:paraId="16A17F75" w14:textId="77777777" w:rsidR="00644805" w:rsidRDefault="00644805" w:rsidP="00A17323">
            <w:pPr>
              <w:spacing w:after="240"/>
              <w:rPr>
                <w:rFonts w:eastAsia="Calibri"/>
              </w:rPr>
            </w:pPr>
          </w:p>
          <w:p w14:paraId="4CA374DC" w14:textId="77777777" w:rsidR="00644805" w:rsidRDefault="00644805" w:rsidP="00A17323">
            <w:pPr>
              <w:spacing w:after="240"/>
              <w:rPr>
                <w:rFonts w:eastAsia="Calibri"/>
              </w:rPr>
            </w:pPr>
          </w:p>
          <w:p w14:paraId="35C6EF18" w14:textId="77777777" w:rsidR="00644805" w:rsidRDefault="00644805" w:rsidP="00A17323">
            <w:pPr>
              <w:spacing w:after="240"/>
              <w:rPr>
                <w:rFonts w:eastAsia="Calibri"/>
              </w:rPr>
            </w:pPr>
          </w:p>
          <w:p w14:paraId="1488B899" w14:textId="77777777" w:rsidR="00E21035" w:rsidRDefault="00E21035" w:rsidP="00A17323">
            <w:pPr>
              <w:spacing w:after="240"/>
              <w:rPr>
                <w:rFonts w:eastAsia="Calibri"/>
              </w:rPr>
            </w:pPr>
          </w:p>
          <w:p w14:paraId="4EF14D3B" w14:textId="1FDC5CAF" w:rsidR="005C5A73" w:rsidRPr="00A17323" w:rsidRDefault="005C5A73" w:rsidP="00A17323">
            <w:pPr>
              <w:spacing w:after="240"/>
              <w:rPr>
                <w:rFonts w:eastAsia="Calibri"/>
              </w:rPr>
            </w:pPr>
            <w:r>
              <w:rPr>
                <w:rFonts w:eastAsia="Calibri"/>
              </w:rPr>
              <w:t>Section 8 Homeownership Program</w:t>
            </w:r>
          </w:p>
        </w:tc>
        <w:tc>
          <w:tcPr>
            <w:tcW w:w="1435" w:type="dxa"/>
            <w:gridSpan w:val="3"/>
            <w:shd w:val="clear" w:color="auto" w:fill="auto"/>
          </w:tcPr>
          <w:p w14:paraId="1A2CB2AB" w14:textId="16251D73" w:rsidR="00912A12" w:rsidRPr="00191F45" w:rsidRDefault="00A17323" w:rsidP="008B66B9">
            <w:pPr>
              <w:spacing w:after="240"/>
              <w:rPr>
                <w:rFonts w:eastAsia="Calibri"/>
                <w:sz w:val="20"/>
                <w:szCs w:val="20"/>
              </w:rPr>
            </w:pPr>
            <w:r w:rsidRPr="00191F45">
              <w:rPr>
                <w:rFonts w:eastAsia="Calibri"/>
                <w:sz w:val="20"/>
                <w:szCs w:val="20"/>
              </w:rPr>
              <w:lastRenderedPageBreak/>
              <w:t>Lack of assistance for housing accessibility modifications</w:t>
            </w:r>
          </w:p>
          <w:p w14:paraId="468FCF9B" w14:textId="77777777" w:rsidR="00A17323" w:rsidRPr="00191F45" w:rsidRDefault="00A17323" w:rsidP="008B66B9">
            <w:pPr>
              <w:spacing w:after="240"/>
              <w:rPr>
                <w:rFonts w:eastAsia="Calibri"/>
                <w:sz w:val="20"/>
                <w:szCs w:val="20"/>
              </w:rPr>
            </w:pPr>
            <w:r w:rsidRPr="00191F45">
              <w:rPr>
                <w:rFonts w:eastAsia="Calibri"/>
                <w:sz w:val="20"/>
                <w:szCs w:val="20"/>
              </w:rPr>
              <w:t>Displacement of residents due to economic pressure</w:t>
            </w:r>
          </w:p>
          <w:p w14:paraId="161C5337" w14:textId="5BA0BFFD" w:rsidR="00A17323" w:rsidRPr="00191F45" w:rsidRDefault="00A17323" w:rsidP="008B66B9">
            <w:pPr>
              <w:spacing w:after="240"/>
              <w:rPr>
                <w:rFonts w:eastAsia="Calibri"/>
                <w:sz w:val="20"/>
                <w:szCs w:val="20"/>
              </w:rPr>
            </w:pPr>
            <w:r w:rsidRPr="00191F45">
              <w:rPr>
                <w:rFonts w:eastAsia="Calibri"/>
                <w:sz w:val="20"/>
                <w:szCs w:val="20"/>
              </w:rPr>
              <w:t xml:space="preserve">Availability type, frequency of </w:t>
            </w:r>
            <w:r w:rsidRPr="00191F45">
              <w:rPr>
                <w:rFonts w:eastAsia="Calibri"/>
                <w:sz w:val="20"/>
                <w:szCs w:val="20"/>
              </w:rPr>
              <w:lastRenderedPageBreak/>
              <w:t>type of public transportation</w:t>
            </w:r>
          </w:p>
          <w:p w14:paraId="28E78C56" w14:textId="752FB3D2" w:rsidR="00A17323" w:rsidRPr="00191F45" w:rsidRDefault="00A17323" w:rsidP="008B66B9">
            <w:pPr>
              <w:spacing w:after="240"/>
              <w:rPr>
                <w:rFonts w:eastAsia="Calibri"/>
                <w:sz w:val="20"/>
                <w:szCs w:val="20"/>
              </w:rPr>
            </w:pPr>
            <w:r w:rsidRPr="00191F45">
              <w:rPr>
                <w:rFonts w:eastAsia="Calibri"/>
                <w:sz w:val="20"/>
                <w:szCs w:val="20"/>
              </w:rPr>
              <w:t>Impediments to mobility</w:t>
            </w:r>
          </w:p>
          <w:p w14:paraId="3FCF029E" w14:textId="77777777" w:rsidR="00912A12" w:rsidRPr="004971C1" w:rsidRDefault="00912A12" w:rsidP="008B66B9">
            <w:pPr>
              <w:spacing w:after="240"/>
              <w:rPr>
                <w:rFonts w:eastAsia="Calibri"/>
                <w:b/>
              </w:rPr>
            </w:pPr>
            <w:r w:rsidRPr="00191F45">
              <w:rPr>
                <w:rFonts w:eastAsia="Calibri"/>
                <w:sz w:val="20"/>
                <w:szCs w:val="20"/>
              </w:rPr>
              <w:t>Private discrimination</w:t>
            </w:r>
          </w:p>
        </w:tc>
        <w:tc>
          <w:tcPr>
            <w:tcW w:w="2162" w:type="dxa"/>
            <w:gridSpan w:val="2"/>
            <w:shd w:val="clear" w:color="auto" w:fill="auto"/>
          </w:tcPr>
          <w:p w14:paraId="328C1AA5" w14:textId="77777777" w:rsidR="00912A12" w:rsidRPr="0024352D" w:rsidRDefault="00A17323" w:rsidP="008B66B9">
            <w:pPr>
              <w:spacing w:after="240"/>
              <w:rPr>
                <w:rFonts w:eastAsia="Calibri"/>
              </w:rPr>
            </w:pPr>
            <w:r w:rsidRPr="0024352D">
              <w:rPr>
                <w:rFonts w:eastAsia="Calibri"/>
              </w:rPr>
              <w:lastRenderedPageBreak/>
              <w:t>S</w:t>
            </w:r>
            <w:r w:rsidR="00912A12" w:rsidRPr="0024352D">
              <w:rPr>
                <w:rFonts w:eastAsia="Calibri"/>
              </w:rPr>
              <w:t>egregation/Integration</w:t>
            </w:r>
          </w:p>
          <w:p w14:paraId="43E6EF4D" w14:textId="77777777" w:rsidR="00A17323" w:rsidRPr="0024352D" w:rsidRDefault="00A17323" w:rsidP="008B66B9">
            <w:pPr>
              <w:spacing w:after="240"/>
              <w:rPr>
                <w:rFonts w:eastAsia="Calibri"/>
              </w:rPr>
            </w:pPr>
            <w:r w:rsidRPr="0024352D">
              <w:rPr>
                <w:rFonts w:eastAsia="Calibri"/>
              </w:rPr>
              <w:t>Disparities to Access to Opportunities</w:t>
            </w:r>
          </w:p>
          <w:p w14:paraId="3330A7B5" w14:textId="77777777" w:rsidR="00A17323" w:rsidRPr="0024352D" w:rsidRDefault="00A17323" w:rsidP="008B66B9">
            <w:pPr>
              <w:spacing w:after="240"/>
              <w:rPr>
                <w:rFonts w:eastAsia="Calibri"/>
              </w:rPr>
            </w:pPr>
            <w:r w:rsidRPr="0024352D">
              <w:rPr>
                <w:rFonts w:eastAsia="Calibri"/>
              </w:rPr>
              <w:t>Disproportionate Housing Needs</w:t>
            </w:r>
          </w:p>
          <w:p w14:paraId="263D6893" w14:textId="77777777" w:rsidR="00A17323" w:rsidRPr="0024352D" w:rsidRDefault="000D03C4" w:rsidP="008B66B9">
            <w:pPr>
              <w:spacing w:after="240"/>
              <w:rPr>
                <w:rFonts w:eastAsia="Calibri"/>
              </w:rPr>
            </w:pPr>
            <w:r w:rsidRPr="0024352D">
              <w:rPr>
                <w:rFonts w:eastAsia="Calibri"/>
              </w:rPr>
              <w:t>Publicly Supported Housing</w:t>
            </w:r>
          </w:p>
          <w:p w14:paraId="03A43F98" w14:textId="163AF750" w:rsidR="000D03C4" w:rsidRPr="004971C1" w:rsidRDefault="000D03C4" w:rsidP="008B66B9">
            <w:pPr>
              <w:spacing w:after="240"/>
              <w:rPr>
                <w:rFonts w:eastAsia="Calibri"/>
                <w:b/>
              </w:rPr>
            </w:pPr>
            <w:r w:rsidRPr="0024352D">
              <w:rPr>
                <w:rFonts w:eastAsia="Calibri"/>
              </w:rPr>
              <w:t>Disability and Access</w:t>
            </w:r>
          </w:p>
        </w:tc>
        <w:tc>
          <w:tcPr>
            <w:tcW w:w="2253" w:type="dxa"/>
            <w:gridSpan w:val="2"/>
            <w:shd w:val="clear" w:color="auto" w:fill="auto"/>
          </w:tcPr>
          <w:p w14:paraId="6F2E793F" w14:textId="77777777" w:rsidR="00912A12" w:rsidRDefault="00912A12" w:rsidP="008B66B9">
            <w:pPr>
              <w:spacing w:after="240"/>
              <w:rPr>
                <w:rFonts w:eastAsia="Calibri"/>
                <w:b/>
              </w:rPr>
            </w:pPr>
          </w:p>
          <w:p w14:paraId="64EE6723" w14:textId="77777777" w:rsidR="000D03C4" w:rsidRDefault="000D03C4" w:rsidP="008B66B9">
            <w:pPr>
              <w:spacing w:after="240"/>
              <w:rPr>
                <w:rFonts w:eastAsia="Calibri"/>
                <w:b/>
              </w:rPr>
            </w:pPr>
          </w:p>
          <w:p w14:paraId="28F7904B" w14:textId="77777777" w:rsidR="000D03C4" w:rsidRDefault="000D03C4" w:rsidP="008B66B9">
            <w:pPr>
              <w:spacing w:after="240"/>
              <w:rPr>
                <w:rFonts w:eastAsia="Calibri"/>
                <w:b/>
              </w:rPr>
            </w:pPr>
          </w:p>
          <w:p w14:paraId="3C675A46" w14:textId="77777777" w:rsidR="000D03C4" w:rsidRDefault="000D03C4" w:rsidP="008B66B9">
            <w:pPr>
              <w:spacing w:after="240"/>
              <w:rPr>
                <w:rFonts w:eastAsia="Calibri"/>
                <w:b/>
              </w:rPr>
            </w:pPr>
          </w:p>
          <w:p w14:paraId="01A8F926" w14:textId="02B491C5" w:rsidR="000D03C4" w:rsidRDefault="000D03C4" w:rsidP="008B66B9">
            <w:pPr>
              <w:spacing w:after="240"/>
              <w:rPr>
                <w:rFonts w:eastAsia="Calibri"/>
              </w:rPr>
            </w:pPr>
            <w:r>
              <w:rPr>
                <w:rFonts w:eastAsia="Calibri"/>
              </w:rPr>
              <w:t>Provide emergency repairs/access modifications for 5 low-income homeowners – annually</w:t>
            </w:r>
          </w:p>
          <w:p w14:paraId="6448E524" w14:textId="77777777" w:rsidR="000D03C4" w:rsidRDefault="000D03C4" w:rsidP="008B66B9">
            <w:pPr>
              <w:spacing w:after="240"/>
              <w:rPr>
                <w:rFonts w:eastAsia="Calibri"/>
              </w:rPr>
            </w:pPr>
            <w:r>
              <w:rPr>
                <w:rFonts w:eastAsia="Calibri"/>
              </w:rPr>
              <w:lastRenderedPageBreak/>
              <w:t>Collect data on trends in homeownership 2018</w:t>
            </w:r>
          </w:p>
          <w:p w14:paraId="12CF6AD4" w14:textId="77777777" w:rsidR="000D03C4" w:rsidRDefault="000D03C4" w:rsidP="008B66B9">
            <w:pPr>
              <w:spacing w:after="240"/>
              <w:rPr>
                <w:rFonts w:eastAsia="Calibri"/>
              </w:rPr>
            </w:pPr>
            <w:r>
              <w:rPr>
                <w:rFonts w:eastAsia="Calibri"/>
              </w:rPr>
              <w:t>Present findings/discuss target goals with CDNR/Council/Mayor 2019</w:t>
            </w:r>
          </w:p>
          <w:p w14:paraId="7EE06AED" w14:textId="77777777" w:rsidR="000D03C4" w:rsidRDefault="000D03C4" w:rsidP="008B66B9">
            <w:pPr>
              <w:spacing w:after="240"/>
              <w:rPr>
                <w:rFonts w:eastAsia="Calibri"/>
              </w:rPr>
            </w:pPr>
            <w:r>
              <w:rPr>
                <w:rFonts w:eastAsia="Calibri"/>
              </w:rPr>
              <w:t>Create targets for increasing homeownership in specific census tracts 2020</w:t>
            </w:r>
          </w:p>
          <w:p w14:paraId="0273034F" w14:textId="77777777" w:rsidR="000D03C4" w:rsidRDefault="000D03C4" w:rsidP="008B66B9">
            <w:pPr>
              <w:spacing w:after="240"/>
              <w:rPr>
                <w:rFonts w:eastAsia="Calibri"/>
              </w:rPr>
            </w:pPr>
          </w:p>
          <w:p w14:paraId="497B2CC0" w14:textId="77777777" w:rsidR="000D03C4" w:rsidRDefault="000D03C4" w:rsidP="008B66B9">
            <w:pPr>
              <w:spacing w:after="240"/>
              <w:rPr>
                <w:rFonts w:eastAsia="Calibri"/>
              </w:rPr>
            </w:pPr>
            <w:r>
              <w:rPr>
                <w:rFonts w:eastAsia="Calibri"/>
              </w:rPr>
              <w:t>Provide 16 owner occupied units with lead remediation by 2020</w:t>
            </w:r>
          </w:p>
          <w:p w14:paraId="15708B08" w14:textId="338200BD" w:rsidR="000D03C4" w:rsidRDefault="000D03C4" w:rsidP="008B66B9">
            <w:pPr>
              <w:spacing w:after="240"/>
              <w:rPr>
                <w:rFonts w:eastAsia="Calibri"/>
              </w:rPr>
            </w:pPr>
            <w:r>
              <w:rPr>
                <w:rFonts w:eastAsia="Calibri"/>
              </w:rPr>
              <w:t>Cambrian Rise – 30</w:t>
            </w:r>
          </w:p>
          <w:p w14:paraId="1AD08641" w14:textId="77777777" w:rsidR="000D03C4" w:rsidRDefault="000D03C4" w:rsidP="008B66B9">
            <w:pPr>
              <w:spacing w:after="240"/>
              <w:rPr>
                <w:rFonts w:eastAsia="Calibri"/>
              </w:rPr>
            </w:pPr>
          </w:p>
          <w:p w14:paraId="4CBB34D1" w14:textId="77777777" w:rsidR="000D03C4" w:rsidRDefault="000D03C4" w:rsidP="008B66B9">
            <w:pPr>
              <w:spacing w:after="240"/>
              <w:rPr>
                <w:rFonts w:eastAsia="Calibri"/>
              </w:rPr>
            </w:pPr>
          </w:p>
          <w:p w14:paraId="4DE66C3D" w14:textId="4FD9A004" w:rsidR="000D03C4" w:rsidRDefault="000D03C4" w:rsidP="008B66B9">
            <w:pPr>
              <w:spacing w:after="240"/>
              <w:rPr>
                <w:rFonts w:eastAsia="Calibri"/>
              </w:rPr>
            </w:pPr>
            <w:proofErr w:type="spellStart"/>
            <w:r>
              <w:rPr>
                <w:rFonts w:eastAsia="Calibri"/>
              </w:rPr>
              <w:t>Homeshare</w:t>
            </w:r>
            <w:proofErr w:type="spellEnd"/>
            <w:r>
              <w:rPr>
                <w:rFonts w:eastAsia="Calibri"/>
              </w:rPr>
              <w:t xml:space="preserve"> Vermont – 100 per year</w:t>
            </w:r>
          </w:p>
          <w:p w14:paraId="63DC796B" w14:textId="240DB36E" w:rsidR="000D03C4" w:rsidRDefault="000D03C4" w:rsidP="008B66B9">
            <w:pPr>
              <w:spacing w:after="240"/>
              <w:rPr>
                <w:rFonts w:eastAsia="Calibri"/>
              </w:rPr>
            </w:pPr>
            <w:r>
              <w:rPr>
                <w:rFonts w:eastAsia="Calibri"/>
              </w:rPr>
              <w:t>Age Well</w:t>
            </w:r>
            <w:r w:rsidR="007115C4">
              <w:rPr>
                <w:rFonts w:eastAsia="Calibri"/>
              </w:rPr>
              <w:t xml:space="preserve"> </w:t>
            </w:r>
            <w:r w:rsidR="00191F45">
              <w:rPr>
                <w:rFonts w:eastAsia="Calibri"/>
              </w:rPr>
              <w:t>– 40 persons per year</w:t>
            </w:r>
          </w:p>
          <w:p w14:paraId="555B1967" w14:textId="08BA83D2" w:rsidR="00644805" w:rsidRDefault="00644805" w:rsidP="008B66B9">
            <w:pPr>
              <w:spacing w:after="240"/>
              <w:rPr>
                <w:rFonts w:eastAsia="Calibri"/>
              </w:rPr>
            </w:pPr>
            <w:r>
              <w:rPr>
                <w:rFonts w:eastAsia="Calibri"/>
              </w:rPr>
              <w:t>Evaluate the impact of accessory dwelling units and possibility of micro-housing  First draf</w:t>
            </w:r>
            <w:r w:rsidR="00E21035">
              <w:rPr>
                <w:rFonts w:eastAsia="Calibri"/>
              </w:rPr>
              <w:t>t 12</w:t>
            </w:r>
            <w:r>
              <w:rPr>
                <w:rFonts w:eastAsia="Calibri"/>
              </w:rPr>
              <w:t>.17</w:t>
            </w:r>
          </w:p>
          <w:p w14:paraId="1C2AE187" w14:textId="50BA4227" w:rsidR="005C5A73" w:rsidRDefault="00E21035" w:rsidP="008B66B9">
            <w:pPr>
              <w:spacing w:after="240"/>
              <w:rPr>
                <w:rFonts w:eastAsia="Calibri"/>
              </w:rPr>
            </w:pPr>
            <w:r>
              <w:rPr>
                <w:rFonts w:eastAsia="Calibri"/>
              </w:rPr>
              <w:t>CDNR presentation 02.18</w:t>
            </w:r>
          </w:p>
          <w:p w14:paraId="341AC1D9" w14:textId="77777777" w:rsidR="005C5A73" w:rsidRDefault="005C5A73" w:rsidP="008B66B9">
            <w:pPr>
              <w:spacing w:after="240"/>
              <w:rPr>
                <w:rFonts w:eastAsia="Calibri"/>
              </w:rPr>
            </w:pPr>
          </w:p>
          <w:p w14:paraId="018B7874" w14:textId="77777777" w:rsidR="005C5A73" w:rsidRDefault="005C5A73" w:rsidP="008B66B9">
            <w:pPr>
              <w:spacing w:after="240"/>
              <w:rPr>
                <w:rFonts w:eastAsia="Calibri"/>
              </w:rPr>
            </w:pPr>
          </w:p>
          <w:p w14:paraId="596BB52C" w14:textId="522A1977" w:rsidR="005C5A73" w:rsidRPr="000D03C4" w:rsidRDefault="005C5A73" w:rsidP="008B66B9">
            <w:pPr>
              <w:spacing w:after="240"/>
              <w:rPr>
                <w:rFonts w:eastAsia="Calibri"/>
              </w:rPr>
            </w:pPr>
            <w:r>
              <w:rPr>
                <w:rFonts w:eastAsia="Calibri"/>
              </w:rPr>
              <w:t>Encourage self-sufficiency and homeownership with public housing residents – 3 annually</w:t>
            </w:r>
          </w:p>
        </w:tc>
        <w:tc>
          <w:tcPr>
            <w:tcW w:w="1851" w:type="dxa"/>
            <w:gridSpan w:val="4"/>
            <w:shd w:val="clear" w:color="auto" w:fill="auto"/>
          </w:tcPr>
          <w:p w14:paraId="1B897590" w14:textId="77777777" w:rsidR="000D03C4" w:rsidRDefault="000D03C4" w:rsidP="008B66B9">
            <w:pPr>
              <w:spacing w:after="240"/>
              <w:rPr>
                <w:rFonts w:eastAsia="Calibri"/>
                <w:b/>
              </w:rPr>
            </w:pPr>
          </w:p>
          <w:p w14:paraId="036FDB60" w14:textId="77777777" w:rsidR="000D03C4" w:rsidRDefault="000D03C4" w:rsidP="008B66B9">
            <w:pPr>
              <w:spacing w:after="240"/>
              <w:rPr>
                <w:rFonts w:eastAsia="Calibri"/>
                <w:b/>
              </w:rPr>
            </w:pPr>
          </w:p>
          <w:p w14:paraId="753F9EFB" w14:textId="77777777" w:rsidR="000D03C4" w:rsidRDefault="000D03C4" w:rsidP="008B66B9">
            <w:pPr>
              <w:spacing w:after="240"/>
              <w:rPr>
                <w:rFonts w:eastAsia="Calibri"/>
                <w:b/>
              </w:rPr>
            </w:pPr>
          </w:p>
          <w:p w14:paraId="24C2EA5D" w14:textId="77777777" w:rsidR="000D03C4" w:rsidRDefault="000D03C4" w:rsidP="008B66B9">
            <w:pPr>
              <w:spacing w:after="240"/>
              <w:rPr>
                <w:rFonts w:eastAsia="Calibri"/>
                <w:b/>
              </w:rPr>
            </w:pPr>
          </w:p>
          <w:p w14:paraId="64A5A9E8" w14:textId="77777777" w:rsidR="000D03C4" w:rsidRDefault="000D03C4" w:rsidP="008B66B9">
            <w:pPr>
              <w:spacing w:after="240"/>
              <w:rPr>
                <w:rFonts w:eastAsia="Calibri"/>
                <w:b/>
              </w:rPr>
            </w:pPr>
          </w:p>
          <w:p w14:paraId="427404FE" w14:textId="77777777" w:rsidR="000D03C4" w:rsidRDefault="000D03C4" w:rsidP="008B66B9">
            <w:pPr>
              <w:spacing w:after="240"/>
              <w:rPr>
                <w:rFonts w:eastAsia="Calibri"/>
                <w:b/>
              </w:rPr>
            </w:pPr>
          </w:p>
          <w:p w14:paraId="277AB3C0" w14:textId="77777777" w:rsidR="000D03C4" w:rsidRDefault="00A17323" w:rsidP="008B66B9">
            <w:pPr>
              <w:spacing w:after="240"/>
              <w:rPr>
                <w:rFonts w:eastAsia="Calibri"/>
                <w:b/>
              </w:rPr>
            </w:pPr>
            <w:r>
              <w:rPr>
                <w:rFonts w:eastAsia="Calibri"/>
                <w:b/>
              </w:rPr>
              <w:t>CEDO</w:t>
            </w:r>
          </w:p>
          <w:p w14:paraId="46576330" w14:textId="77777777" w:rsidR="000D03C4" w:rsidRDefault="000D03C4" w:rsidP="008B66B9">
            <w:pPr>
              <w:spacing w:after="240"/>
              <w:rPr>
                <w:rFonts w:eastAsia="Calibri"/>
                <w:b/>
              </w:rPr>
            </w:pPr>
          </w:p>
          <w:p w14:paraId="2184F9BD" w14:textId="77777777" w:rsidR="000D03C4" w:rsidRDefault="000D03C4" w:rsidP="008B66B9">
            <w:pPr>
              <w:spacing w:after="240"/>
              <w:rPr>
                <w:rFonts w:eastAsia="Calibri"/>
                <w:b/>
              </w:rPr>
            </w:pPr>
          </w:p>
          <w:p w14:paraId="056D7E36" w14:textId="77777777" w:rsidR="00912A12" w:rsidRDefault="000D03C4" w:rsidP="008B66B9">
            <w:pPr>
              <w:spacing w:after="240"/>
              <w:rPr>
                <w:rFonts w:eastAsia="Calibri"/>
                <w:b/>
              </w:rPr>
            </w:pPr>
            <w:r>
              <w:rPr>
                <w:rFonts w:eastAsia="Calibri"/>
                <w:b/>
              </w:rPr>
              <w:t>CEDO</w:t>
            </w:r>
          </w:p>
          <w:p w14:paraId="548F9A15" w14:textId="77777777" w:rsidR="000D03C4" w:rsidRDefault="000D03C4" w:rsidP="008B66B9">
            <w:pPr>
              <w:spacing w:after="240"/>
              <w:rPr>
                <w:rFonts w:eastAsia="Calibri"/>
                <w:b/>
              </w:rPr>
            </w:pPr>
          </w:p>
          <w:p w14:paraId="241707E0" w14:textId="77777777" w:rsidR="000D03C4" w:rsidRDefault="000D03C4" w:rsidP="008B66B9">
            <w:pPr>
              <w:spacing w:after="240"/>
              <w:rPr>
                <w:rFonts w:eastAsia="Calibri"/>
                <w:b/>
              </w:rPr>
            </w:pPr>
          </w:p>
          <w:p w14:paraId="77297BE2" w14:textId="7FB585E6" w:rsidR="000D03C4" w:rsidRDefault="000D03C4" w:rsidP="008B66B9">
            <w:pPr>
              <w:spacing w:after="240"/>
              <w:rPr>
                <w:rFonts w:eastAsia="Calibri"/>
                <w:b/>
              </w:rPr>
            </w:pPr>
            <w:r>
              <w:rPr>
                <w:rFonts w:eastAsia="Calibri"/>
                <w:b/>
              </w:rPr>
              <w:t>CDNR/Council/</w:t>
            </w:r>
            <w:r w:rsidR="00E21035">
              <w:rPr>
                <w:rFonts w:eastAsia="Calibri"/>
                <w:b/>
              </w:rPr>
              <w:t xml:space="preserve"> </w:t>
            </w:r>
            <w:r>
              <w:rPr>
                <w:rFonts w:eastAsia="Calibri"/>
                <w:b/>
              </w:rPr>
              <w:t>Mayor</w:t>
            </w:r>
          </w:p>
          <w:p w14:paraId="64E6B5E8" w14:textId="77777777" w:rsidR="000D03C4" w:rsidRDefault="000D03C4" w:rsidP="008B66B9">
            <w:pPr>
              <w:spacing w:after="240"/>
              <w:rPr>
                <w:rFonts w:eastAsia="Calibri"/>
                <w:b/>
              </w:rPr>
            </w:pPr>
          </w:p>
          <w:p w14:paraId="01DD809E" w14:textId="77777777" w:rsidR="000D03C4" w:rsidRDefault="000D03C4" w:rsidP="008B66B9">
            <w:pPr>
              <w:spacing w:after="240"/>
              <w:rPr>
                <w:rFonts w:eastAsia="Calibri"/>
                <w:b/>
              </w:rPr>
            </w:pPr>
          </w:p>
          <w:p w14:paraId="299BE020" w14:textId="77777777" w:rsidR="000D03C4" w:rsidRDefault="000D03C4" w:rsidP="008B66B9">
            <w:pPr>
              <w:spacing w:after="240"/>
              <w:rPr>
                <w:rFonts w:eastAsia="Calibri"/>
                <w:b/>
              </w:rPr>
            </w:pPr>
          </w:p>
          <w:p w14:paraId="5BF20457" w14:textId="77777777" w:rsidR="000D03C4" w:rsidRDefault="000D03C4" w:rsidP="008B66B9">
            <w:pPr>
              <w:spacing w:after="240"/>
              <w:rPr>
                <w:rFonts w:eastAsia="Calibri"/>
                <w:b/>
              </w:rPr>
            </w:pPr>
          </w:p>
          <w:p w14:paraId="6E9D70D8" w14:textId="77777777" w:rsidR="000D03C4" w:rsidRDefault="000D03C4" w:rsidP="008B66B9">
            <w:pPr>
              <w:spacing w:after="240"/>
              <w:rPr>
                <w:rFonts w:eastAsia="Calibri"/>
                <w:b/>
              </w:rPr>
            </w:pPr>
          </w:p>
          <w:p w14:paraId="21367A10" w14:textId="2BCF3706" w:rsidR="000D03C4" w:rsidRDefault="00644805" w:rsidP="008B66B9">
            <w:pPr>
              <w:spacing w:after="240"/>
              <w:rPr>
                <w:rFonts w:eastAsia="Calibri"/>
                <w:b/>
              </w:rPr>
            </w:pPr>
            <w:r>
              <w:rPr>
                <w:rFonts w:eastAsia="Calibri"/>
                <w:b/>
              </w:rPr>
              <w:t>CEDO</w:t>
            </w:r>
          </w:p>
          <w:p w14:paraId="6ADC9B62" w14:textId="77777777" w:rsidR="000D03C4" w:rsidRDefault="000D03C4" w:rsidP="008B66B9">
            <w:pPr>
              <w:spacing w:after="240"/>
              <w:rPr>
                <w:rFonts w:eastAsia="Calibri"/>
                <w:b/>
              </w:rPr>
            </w:pPr>
            <w:r>
              <w:rPr>
                <w:rFonts w:eastAsia="Calibri"/>
                <w:b/>
              </w:rPr>
              <w:t>Champlain Housing Trust/CEDO</w:t>
            </w:r>
          </w:p>
          <w:p w14:paraId="2C41E7F4" w14:textId="77777777" w:rsidR="007115C4" w:rsidRDefault="007115C4" w:rsidP="008B66B9">
            <w:pPr>
              <w:spacing w:after="240"/>
              <w:rPr>
                <w:rFonts w:eastAsia="Calibri"/>
                <w:b/>
              </w:rPr>
            </w:pPr>
          </w:p>
          <w:p w14:paraId="341FCF89" w14:textId="77777777" w:rsidR="007115C4" w:rsidRDefault="007115C4" w:rsidP="008B66B9">
            <w:pPr>
              <w:spacing w:after="240"/>
              <w:rPr>
                <w:rFonts w:eastAsia="Calibri"/>
                <w:b/>
              </w:rPr>
            </w:pPr>
            <w:proofErr w:type="spellStart"/>
            <w:r>
              <w:rPr>
                <w:rFonts w:eastAsia="Calibri"/>
                <w:b/>
              </w:rPr>
              <w:t>Homeshare</w:t>
            </w:r>
            <w:proofErr w:type="spellEnd"/>
            <w:r>
              <w:rPr>
                <w:rFonts w:eastAsia="Calibri"/>
                <w:b/>
              </w:rPr>
              <w:t xml:space="preserve"> Vermont/Age Well/CEDO</w:t>
            </w:r>
          </w:p>
          <w:p w14:paraId="4369846D" w14:textId="77777777" w:rsidR="005C5A73" w:rsidRDefault="005C5A73" w:rsidP="008B66B9">
            <w:pPr>
              <w:spacing w:after="240"/>
              <w:rPr>
                <w:rFonts w:eastAsia="Calibri"/>
                <w:b/>
              </w:rPr>
            </w:pPr>
          </w:p>
          <w:p w14:paraId="420A1247" w14:textId="77777777" w:rsidR="005C5A73" w:rsidRDefault="005C5A73" w:rsidP="008B66B9">
            <w:pPr>
              <w:spacing w:after="240"/>
              <w:rPr>
                <w:rFonts w:eastAsia="Calibri"/>
                <w:b/>
              </w:rPr>
            </w:pPr>
          </w:p>
          <w:p w14:paraId="176C0EFA" w14:textId="5C07AA8A" w:rsidR="005C5A73" w:rsidRDefault="00644805" w:rsidP="008B66B9">
            <w:pPr>
              <w:spacing w:after="240"/>
              <w:rPr>
                <w:rFonts w:eastAsia="Calibri"/>
                <w:b/>
              </w:rPr>
            </w:pPr>
            <w:r>
              <w:rPr>
                <w:rFonts w:eastAsia="Calibri"/>
                <w:b/>
              </w:rPr>
              <w:t>CEDO/Planning &amp; Zoning</w:t>
            </w:r>
          </w:p>
          <w:p w14:paraId="278756DA" w14:textId="77777777" w:rsidR="005C5A73" w:rsidRDefault="005C5A73" w:rsidP="008B66B9">
            <w:pPr>
              <w:spacing w:after="240"/>
              <w:rPr>
                <w:rFonts w:eastAsia="Calibri"/>
                <w:b/>
              </w:rPr>
            </w:pPr>
          </w:p>
          <w:p w14:paraId="477EA9B6" w14:textId="77777777" w:rsidR="00644805" w:rsidRDefault="00644805" w:rsidP="008B66B9">
            <w:pPr>
              <w:spacing w:after="240"/>
              <w:rPr>
                <w:rFonts w:eastAsia="Calibri"/>
                <w:b/>
              </w:rPr>
            </w:pPr>
          </w:p>
          <w:p w14:paraId="61417E5C" w14:textId="77777777" w:rsidR="00644805" w:rsidRDefault="00644805" w:rsidP="008B66B9">
            <w:pPr>
              <w:spacing w:after="240"/>
              <w:rPr>
                <w:rFonts w:eastAsia="Calibri"/>
                <w:b/>
              </w:rPr>
            </w:pPr>
          </w:p>
          <w:p w14:paraId="2899880F" w14:textId="77777777" w:rsidR="00644805" w:rsidRDefault="00644805" w:rsidP="008B66B9">
            <w:pPr>
              <w:spacing w:after="240"/>
              <w:rPr>
                <w:rFonts w:eastAsia="Calibri"/>
                <w:b/>
              </w:rPr>
            </w:pPr>
          </w:p>
          <w:p w14:paraId="25056BDC" w14:textId="77777777" w:rsidR="00644805" w:rsidRDefault="00644805" w:rsidP="008B66B9">
            <w:pPr>
              <w:spacing w:after="240"/>
              <w:rPr>
                <w:rFonts w:eastAsia="Calibri"/>
                <w:b/>
              </w:rPr>
            </w:pPr>
          </w:p>
          <w:p w14:paraId="14124555" w14:textId="0E1BAE5C" w:rsidR="005C5A73" w:rsidRPr="004971C1" w:rsidRDefault="005C5A73" w:rsidP="008B66B9">
            <w:pPr>
              <w:spacing w:after="240"/>
              <w:rPr>
                <w:rFonts w:eastAsia="Calibri"/>
                <w:b/>
              </w:rPr>
            </w:pPr>
            <w:r>
              <w:rPr>
                <w:rFonts w:eastAsia="Calibri"/>
                <w:b/>
              </w:rPr>
              <w:t>Burlington Housing Authority/Winooski Housing Authority</w:t>
            </w:r>
          </w:p>
        </w:tc>
      </w:tr>
      <w:tr w:rsidR="00912A12" w:rsidRPr="00140134" w14:paraId="25D03EE5" w14:textId="77777777" w:rsidTr="001B39A6">
        <w:tc>
          <w:tcPr>
            <w:tcW w:w="9586" w:type="dxa"/>
            <w:gridSpan w:val="14"/>
            <w:shd w:val="clear" w:color="auto" w:fill="auto"/>
          </w:tcPr>
          <w:p w14:paraId="6851195D" w14:textId="5F456EC1" w:rsidR="00912A12" w:rsidRPr="00644805" w:rsidRDefault="00912A12" w:rsidP="003A68AE">
            <w:pPr>
              <w:spacing w:after="240"/>
              <w:rPr>
                <w:rFonts w:ascii="Calibri" w:eastAsia="Times New Roman" w:hAnsi="Calibri" w:cs="Times New Roman"/>
                <w:color w:val="000000"/>
                <w:sz w:val="20"/>
                <w:szCs w:val="20"/>
                <w:lang w:eastAsia="en-US"/>
              </w:rPr>
            </w:pPr>
            <w:r w:rsidRPr="5F884969">
              <w:rPr>
                <w:rFonts w:eastAsia="Calibri"/>
                <w:b/>
                <w:bCs/>
              </w:rPr>
              <w:lastRenderedPageBreak/>
              <w:t xml:space="preserve">Discussion: </w:t>
            </w:r>
            <w:r w:rsidR="00644805">
              <w:rPr>
                <w:rFonts w:eastAsia="Calibri"/>
                <w:bCs/>
              </w:rPr>
              <w:t xml:space="preserve">While the City invests resources in building new housing units and preserving affordable housing, resources also are used to assist low-income/protected class renters to remain in safe, affordable housing. With specific census tracts low in homeownership opportunities, the City will identify homeownership trends and partnerships/programs that can encourage and expand owner-occupied housing for underrepresented minorities. Additionally, the City will continue to assist seniors/disabled with accessory modifications and age in place housing options. Overall, the City will explore other housing options such as ADU’s and </w:t>
            </w:r>
            <w:proofErr w:type="spellStart"/>
            <w:r w:rsidR="00644805">
              <w:rPr>
                <w:rFonts w:eastAsia="Calibri"/>
                <w:bCs/>
              </w:rPr>
              <w:t>homesharing</w:t>
            </w:r>
            <w:proofErr w:type="spellEnd"/>
            <w:r w:rsidR="00644805">
              <w:rPr>
                <w:rFonts w:eastAsia="Calibri"/>
                <w:bCs/>
              </w:rPr>
              <w:t>.</w:t>
            </w:r>
          </w:p>
          <w:p w14:paraId="489F641B" w14:textId="1B27FE3D" w:rsidR="00C45DD8" w:rsidRPr="00140134" w:rsidRDefault="00C45DD8" w:rsidP="003A68AE">
            <w:pPr>
              <w:spacing w:after="240"/>
              <w:rPr>
                <w:rFonts w:ascii="Calibri" w:hAnsi="Calibri"/>
                <w:color w:val="000000"/>
                <w:sz w:val="20"/>
                <w:szCs w:val="20"/>
              </w:rPr>
            </w:pPr>
          </w:p>
        </w:tc>
      </w:tr>
      <w:tr w:rsidR="000D03C4" w:rsidRPr="004971C1" w14:paraId="3E0B9382" w14:textId="77777777" w:rsidTr="001B39A6">
        <w:tc>
          <w:tcPr>
            <w:tcW w:w="1836" w:type="dxa"/>
            <w:gridSpan w:val="2"/>
            <w:shd w:val="clear" w:color="auto" w:fill="auto"/>
            <w:vAlign w:val="center"/>
          </w:tcPr>
          <w:p w14:paraId="0B272415" w14:textId="77777777" w:rsidR="007508F1" w:rsidRPr="004971C1" w:rsidRDefault="007508F1" w:rsidP="008B66B9">
            <w:pPr>
              <w:spacing w:after="240"/>
              <w:jc w:val="center"/>
              <w:rPr>
                <w:rFonts w:eastAsia="Calibri"/>
                <w:b/>
                <w:bCs/>
                <w:u w:val="single"/>
              </w:rPr>
            </w:pPr>
            <w:r w:rsidRPr="5F884969">
              <w:rPr>
                <w:rFonts w:eastAsia="Calibri"/>
                <w:b/>
                <w:bCs/>
                <w:u w:val="single"/>
              </w:rPr>
              <w:t>Goal</w:t>
            </w:r>
          </w:p>
        </w:tc>
        <w:tc>
          <w:tcPr>
            <w:tcW w:w="1399" w:type="dxa"/>
            <w:gridSpan w:val="3"/>
            <w:shd w:val="clear" w:color="auto" w:fill="auto"/>
            <w:vAlign w:val="center"/>
          </w:tcPr>
          <w:p w14:paraId="779FFFFC" w14:textId="77777777" w:rsidR="007508F1" w:rsidRPr="004971C1" w:rsidRDefault="007508F1" w:rsidP="008B66B9">
            <w:pPr>
              <w:spacing w:after="240"/>
              <w:jc w:val="center"/>
              <w:rPr>
                <w:rFonts w:eastAsia="Calibri"/>
                <w:b/>
                <w:bCs/>
                <w:u w:val="single"/>
              </w:rPr>
            </w:pPr>
            <w:r w:rsidRPr="5F884969">
              <w:rPr>
                <w:rFonts w:eastAsia="Calibri"/>
                <w:b/>
                <w:bCs/>
                <w:u w:val="single"/>
              </w:rPr>
              <w:t>Contributing Factors</w:t>
            </w:r>
          </w:p>
        </w:tc>
        <w:tc>
          <w:tcPr>
            <w:tcW w:w="1971" w:type="dxa"/>
            <w:gridSpan w:val="2"/>
            <w:shd w:val="clear" w:color="auto" w:fill="auto"/>
            <w:vAlign w:val="center"/>
          </w:tcPr>
          <w:p w14:paraId="502C55E4" w14:textId="77777777" w:rsidR="007508F1" w:rsidRPr="004971C1" w:rsidRDefault="007508F1" w:rsidP="008B66B9">
            <w:pPr>
              <w:spacing w:after="240"/>
              <w:jc w:val="center"/>
              <w:rPr>
                <w:rFonts w:eastAsia="Calibri"/>
                <w:b/>
                <w:bCs/>
                <w:u w:val="single"/>
              </w:rPr>
            </w:pPr>
            <w:r w:rsidRPr="5F884969">
              <w:rPr>
                <w:rFonts w:eastAsia="Calibri"/>
                <w:b/>
                <w:bCs/>
                <w:u w:val="single"/>
              </w:rPr>
              <w:t>Fair Housing Issues</w:t>
            </w:r>
          </w:p>
        </w:tc>
        <w:tc>
          <w:tcPr>
            <w:tcW w:w="2537" w:type="dxa"/>
            <w:gridSpan w:val="4"/>
            <w:shd w:val="clear" w:color="auto" w:fill="auto"/>
          </w:tcPr>
          <w:p w14:paraId="4FE7E2AB" w14:textId="77777777" w:rsidR="007508F1" w:rsidRPr="004971C1" w:rsidRDefault="007508F1" w:rsidP="008B66B9">
            <w:pPr>
              <w:spacing w:after="240"/>
              <w:jc w:val="center"/>
              <w:rPr>
                <w:rFonts w:eastAsia="Calibri"/>
                <w:b/>
                <w:bCs/>
                <w:u w:val="single"/>
              </w:rPr>
            </w:pPr>
            <w:r w:rsidRPr="5F884969">
              <w:rPr>
                <w:rFonts w:eastAsia="Calibri"/>
                <w:b/>
                <w:bCs/>
                <w:u w:val="single"/>
              </w:rPr>
              <w:t>Metrics, Milestones, and Timeframe for Achievement</w:t>
            </w:r>
          </w:p>
        </w:tc>
        <w:tc>
          <w:tcPr>
            <w:tcW w:w="1843" w:type="dxa"/>
            <w:gridSpan w:val="3"/>
            <w:shd w:val="clear" w:color="auto" w:fill="auto"/>
            <w:vAlign w:val="center"/>
          </w:tcPr>
          <w:p w14:paraId="0DEFA7F8" w14:textId="77777777" w:rsidR="007508F1" w:rsidRPr="004971C1" w:rsidRDefault="007508F1" w:rsidP="008B66B9">
            <w:pPr>
              <w:spacing w:after="240"/>
              <w:jc w:val="center"/>
              <w:rPr>
                <w:rFonts w:eastAsia="Calibri"/>
                <w:b/>
                <w:bCs/>
                <w:u w:val="single"/>
              </w:rPr>
            </w:pPr>
            <w:r w:rsidRPr="5F884969">
              <w:rPr>
                <w:rFonts w:eastAsia="Calibri"/>
                <w:b/>
                <w:bCs/>
                <w:u w:val="single"/>
              </w:rPr>
              <w:t>Responsible Program Participant(s)</w:t>
            </w:r>
          </w:p>
        </w:tc>
      </w:tr>
      <w:tr w:rsidR="000D03C4" w:rsidRPr="004971C1" w14:paraId="3C46C699" w14:textId="77777777" w:rsidTr="001B39A6">
        <w:tc>
          <w:tcPr>
            <w:tcW w:w="1836" w:type="dxa"/>
            <w:gridSpan w:val="2"/>
            <w:shd w:val="clear" w:color="auto" w:fill="auto"/>
          </w:tcPr>
          <w:p w14:paraId="16A30E2C" w14:textId="4A34FD74" w:rsidR="007508F1" w:rsidRDefault="00454189" w:rsidP="00454189">
            <w:pPr>
              <w:spacing w:after="240"/>
              <w:rPr>
                <w:rFonts w:eastAsia="Calibri"/>
                <w:b/>
              </w:rPr>
            </w:pPr>
            <w:r>
              <w:rPr>
                <w:rFonts w:eastAsia="Calibri"/>
                <w:b/>
              </w:rPr>
              <w:t>Increase employment opportunities for protected classes</w:t>
            </w:r>
          </w:p>
          <w:p w14:paraId="08635A58" w14:textId="77777777" w:rsidR="00454189" w:rsidRDefault="00454189" w:rsidP="00454189">
            <w:pPr>
              <w:spacing w:after="240"/>
              <w:rPr>
                <w:rFonts w:eastAsia="Calibri"/>
              </w:rPr>
            </w:pPr>
            <w:proofErr w:type="spellStart"/>
            <w:r>
              <w:rPr>
                <w:rFonts w:eastAsia="Calibri"/>
              </w:rPr>
              <w:t>MicroEnterprise</w:t>
            </w:r>
            <w:proofErr w:type="spellEnd"/>
            <w:r>
              <w:rPr>
                <w:rFonts w:eastAsia="Calibri"/>
              </w:rPr>
              <w:t xml:space="preserve"> Assistance</w:t>
            </w:r>
          </w:p>
          <w:p w14:paraId="1323C5D0" w14:textId="77777777" w:rsidR="0055757D" w:rsidRDefault="0055757D" w:rsidP="00454189">
            <w:pPr>
              <w:spacing w:after="240"/>
              <w:rPr>
                <w:rFonts w:eastAsia="Calibri"/>
              </w:rPr>
            </w:pPr>
          </w:p>
          <w:p w14:paraId="5E686758" w14:textId="77777777" w:rsidR="0055757D" w:rsidRDefault="0055757D" w:rsidP="00454189">
            <w:pPr>
              <w:spacing w:after="240"/>
              <w:rPr>
                <w:rFonts w:eastAsia="Calibri"/>
              </w:rPr>
            </w:pPr>
          </w:p>
          <w:p w14:paraId="5D4A0806" w14:textId="77777777" w:rsidR="0055757D" w:rsidRDefault="0055757D" w:rsidP="00454189">
            <w:pPr>
              <w:spacing w:after="240"/>
              <w:rPr>
                <w:rFonts w:eastAsia="Calibri"/>
              </w:rPr>
            </w:pPr>
          </w:p>
          <w:p w14:paraId="7C22AD43" w14:textId="77777777" w:rsidR="0055757D" w:rsidRDefault="0055757D" w:rsidP="00454189">
            <w:pPr>
              <w:spacing w:after="240"/>
              <w:rPr>
                <w:rFonts w:eastAsia="Calibri"/>
              </w:rPr>
            </w:pPr>
          </w:p>
          <w:p w14:paraId="595DD06F" w14:textId="77777777" w:rsidR="0055757D" w:rsidRDefault="0055757D" w:rsidP="00454189">
            <w:pPr>
              <w:spacing w:after="240"/>
              <w:rPr>
                <w:rFonts w:eastAsia="Calibri"/>
              </w:rPr>
            </w:pPr>
          </w:p>
          <w:p w14:paraId="0D93C784" w14:textId="77777777" w:rsidR="0055757D" w:rsidRDefault="0055757D" w:rsidP="00454189">
            <w:pPr>
              <w:spacing w:after="240"/>
              <w:rPr>
                <w:rFonts w:eastAsia="Calibri"/>
              </w:rPr>
            </w:pPr>
          </w:p>
          <w:p w14:paraId="63B8E4E8" w14:textId="77777777" w:rsidR="00454189" w:rsidRDefault="00454189" w:rsidP="00454189">
            <w:pPr>
              <w:spacing w:after="240"/>
              <w:rPr>
                <w:rFonts w:eastAsia="Calibri"/>
              </w:rPr>
            </w:pPr>
            <w:r>
              <w:rPr>
                <w:rFonts w:eastAsia="Calibri"/>
              </w:rPr>
              <w:t>Start up in a Day</w:t>
            </w:r>
          </w:p>
          <w:p w14:paraId="60FE56CD" w14:textId="77777777" w:rsidR="0055757D" w:rsidRDefault="0055757D" w:rsidP="00454189">
            <w:pPr>
              <w:spacing w:after="240"/>
              <w:rPr>
                <w:rFonts w:eastAsia="Calibri"/>
              </w:rPr>
            </w:pPr>
          </w:p>
          <w:p w14:paraId="1854F04F" w14:textId="77777777" w:rsidR="0055757D" w:rsidRDefault="0055757D" w:rsidP="00454189">
            <w:pPr>
              <w:spacing w:after="240"/>
              <w:rPr>
                <w:rFonts w:eastAsia="Calibri"/>
              </w:rPr>
            </w:pPr>
          </w:p>
          <w:p w14:paraId="04CD93BF" w14:textId="77777777" w:rsidR="0055757D" w:rsidRDefault="0055757D" w:rsidP="00454189">
            <w:pPr>
              <w:spacing w:after="240"/>
              <w:rPr>
                <w:rFonts w:eastAsia="Calibri"/>
              </w:rPr>
            </w:pPr>
          </w:p>
          <w:p w14:paraId="5DA9CAA5" w14:textId="77777777" w:rsidR="0055757D" w:rsidRDefault="0055757D" w:rsidP="00454189">
            <w:pPr>
              <w:spacing w:after="240"/>
              <w:rPr>
                <w:rFonts w:eastAsia="Calibri"/>
              </w:rPr>
            </w:pPr>
          </w:p>
          <w:p w14:paraId="79BD6DFA" w14:textId="77777777" w:rsidR="00454189" w:rsidRDefault="00454189" w:rsidP="00454189">
            <w:pPr>
              <w:spacing w:after="240"/>
              <w:rPr>
                <w:rFonts w:eastAsia="Calibri"/>
              </w:rPr>
            </w:pPr>
            <w:r>
              <w:rPr>
                <w:rFonts w:eastAsia="Calibri"/>
              </w:rPr>
              <w:t>CDBG Revolving Loan Program</w:t>
            </w:r>
          </w:p>
          <w:p w14:paraId="2758D32F" w14:textId="77777777" w:rsidR="0055757D" w:rsidRDefault="0055757D" w:rsidP="00454189">
            <w:pPr>
              <w:spacing w:after="240"/>
              <w:rPr>
                <w:rFonts w:eastAsia="Calibri"/>
              </w:rPr>
            </w:pPr>
          </w:p>
          <w:p w14:paraId="15AA7BE2" w14:textId="77777777" w:rsidR="0055757D" w:rsidRDefault="0055757D" w:rsidP="00454189">
            <w:pPr>
              <w:spacing w:after="240"/>
              <w:rPr>
                <w:rFonts w:eastAsia="Calibri"/>
              </w:rPr>
            </w:pPr>
          </w:p>
          <w:p w14:paraId="485F3D5B" w14:textId="77777777" w:rsidR="0055757D" w:rsidRDefault="0055757D" w:rsidP="00454189">
            <w:pPr>
              <w:spacing w:after="240"/>
              <w:rPr>
                <w:rFonts w:eastAsia="Calibri"/>
              </w:rPr>
            </w:pPr>
          </w:p>
          <w:p w14:paraId="08C1A501" w14:textId="77777777" w:rsidR="0055757D" w:rsidRDefault="0055757D" w:rsidP="00454189">
            <w:pPr>
              <w:spacing w:after="240"/>
              <w:rPr>
                <w:rFonts w:eastAsia="Calibri"/>
              </w:rPr>
            </w:pPr>
          </w:p>
          <w:p w14:paraId="7A16D45E" w14:textId="77777777" w:rsidR="00454189" w:rsidRDefault="00454189" w:rsidP="00454189">
            <w:pPr>
              <w:spacing w:after="240"/>
              <w:rPr>
                <w:rFonts w:eastAsia="Calibri"/>
              </w:rPr>
            </w:pPr>
            <w:r>
              <w:rPr>
                <w:rFonts w:eastAsia="Calibri"/>
              </w:rPr>
              <w:t>Burlington’s Livable Wage Ordinance</w:t>
            </w:r>
          </w:p>
          <w:p w14:paraId="07E3BBC8" w14:textId="77777777" w:rsidR="0055757D" w:rsidRDefault="0055757D" w:rsidP="00454189">
            <w:pPr>
              <w:spacing w:after="240"/>
              <w:rPr>
                <w:rFonts w:eastAsia="Calibri"/>
              </w:rPr>
            </w:pPr>
          </w:p>
          <w:p w14:paraId="46A7A5C6" w14:textId="77777777" w:rsidR="0055757D" w:rsidRDefault="0055757D" w:rsidP="00454189">
            <w:pPr>
              <w:spacing w:after="240"/>
              <w:rPr>
                <w:rFonts w:eastAsia="Calibri"/>
              </w:rPr>
            </w:pPr>
          </w:p>
          <w:p w14:paraId="0D49897B" w14:textId="77777777" w:rsidR="00A65C2D" w:rsidRDefault="00A65C2D" w:rsidP="00454189">
            <w:pPr>
              <w:spacing w:after="240"/>
              <w:rPr>
                <w:rFonts w:eastAsia="Calibri"/>
              </w:rPr>
            </w:pPr>
          </w:p>
          <w:p w14:paraId="592BF94A" w14:textId="77777777" w:rsidR="00A65C2D" w:rsidRDefault="00A65C2D" w:rsidP="00454189">
            <w:pPr>
              <w:spacing w:after="240"/>
              <w:rPr>
                <w:rFonts w:eastAsia="Calibri"/>
              </w:rPr>
            </w:pPr>
          </w:p>
          <w:p w14:paraId="0BE42D6E" w14:textId="257825A9" w:rsidR="00454189" w:rsidRDefault="00454189" w:rsidP="00454189">
            <w:pPr>
              <w:spacing w:after="240"/>
              <w:rPr>
                <w:rFonts w:eastAsia="Calibri"/>
              </w:rPr>
            </w:pPr>
            <w:r>
              <w:rPr>
                <w:rFonts w:eastAsia="Calibri"/>
              </w:rPr>
              <w:t>Kaufman</w:t>
            </w:r>
            <w:r w:rsidR="00A65C2D">
              <w:rPr>
                <w:rFonts w:eastAsia="Calibri"/>
              </w:rPr>
              <w:t xml:space="preserve"> – Mayor’s Prize</w:t>
            </w:r>
          </w:p>
          <w:p w14:paraId="144AC569" w14:textId="77777777" w:rsidR="00A65C2D" w:rsidRDefault="00A65C2D" w:rsidP="00454189">
            <w:pPr>
              <w:spacing w:after="240"/>
              <w:rPr>
                <w:rFonts w:eastAsia="Calibri"/>
              </w:rPr>
            </w:pPr>
          </w:p>
          <w:p w14:paraId="13840F16" w14:textId="77777777" w:rsidR="00A65C2D" w:rsidRDefault="00A65C2D" w:rsidP="00454189">
            <w:pPr>
              <w:spacing w:after="240"/>
              <w:rPr>
                <w:rFonts w:eastAsia="Calibri"/>
              </w:rPr>
            </w:pPr>
          </w:p>
          <w:p w14:paraId="288F66A9" w14:textId="77777777" w:rsidR="0055757D" w:rsidRDefault="0055757D" w:rsidP="00454189">
            <w:pPr>
              <w:spacing w:after="240"/>
              <w:rPr>
                <w:rFonts w:eastAsia="Calibri"/>
              </w:rPr>
            </w:pPr>
          </w:p>
          <w:p w14:paraId="2062310C" w14:textId="77777777" w:rsidR="0055757D" w:rsidRDefault="0055757D" w:rsidP="00454189">
            <w:pPr>
              <w:spacing w:after="240"/>
              <w:rPr>
                <w:rFonts w:eastAsia="Calibri"/>
              </w:rPr>
            </w:pPr>
          </w:p>
          <w:p w14:paraId="5EB16D8C" w14:textId="77777777" w:rsidR="006D3372" w:rsidRDefault="006D3372" w:rsidP="00454189">
            <w:pPr>
              <w:spacing w:after="240"/>
              <w:rPr>
                <w:rFonts w:eastAsia="Calibri"/>
              </w:rPr>
            </w:pPr>
          </w:p>
          <w:p w14:paraId="57C46DEC" w14:textId="77777777" w:rsidR="006D3372" w:rsidRDefault="006D3372" w:rsidP="00454189">
            <w:pPr>
              <w:spacing w:after="240"/>
              <w:rPr>
                <w:rFonts w:eastAsia="Calibri"/>
              </w:rPr>
            </w:pPr>
          </w:p>
          <w:p w14:paraId="4810DF13" w14:textId="77777777" w:rsidR="00453AEA" w:rsidRDefault="00453AEA" w:rsidP="00454189">
            <w:pPr>
              <w:spacing w:after="240"/>
              <w:rPr>
                <w:rFonts w:eastAsia="Calibri"/>
              </w:rPr>
            </w:pPr>
          </w:p>
          <w:p w14:paraId="4A4AA46F" w14:textId="77777777" w:rsidR="00453AEA" w:rsidRDefault="00453AEA" w:rsidP="00454189">
            <w:pPr>
              <w:spacing w:after="240"/>
              <w:rPr>
                <w:rFonts w:eastAsia="Calibri"/>
              </w:rPr>
            </w:pPr>
          </w:p>
          <w:p w14:paraId="2C930992" w14:textId="77777777" w:rsidR="00453AEA" w:rsidRDefault="00453AEA" w:rsidP="00454189">
            <w:pPr>
              <w:spacing w:after="240"/>
              <w:rPr>
                <w:rFonts w:eastAsia="Calibri"/>
              </w:rPr>
            </w:pPr>
          </w:p>
          <w:p w14:paraId="659FC55C" w14:textId="77777777" w:rsidR="00453AEA" w:rsidRDefault="00453AEA" w:rsidP="00454189">
            <w:pPr>
              <w:spacing w:after="240"/>
              <w:rPr>
                <w:rFonts w:eastAsia="Calibri"/>
              </w:rPr>
            </w:pPr>
          </w:p>
          <w:p w14:paraId="3D633469" w14:textId="77777777" w:rsidR="00453AEA" w:rsidRDefault="00453AEA" w:rsidP="00454189">
            <w:pPr>
              <w:spacing w:after="240"/>
              <w:rPr>
                <w:rFonts w:eastAsia="Calibri"/>
              </w:rPr>
            </w:pPr>
          </w:p>
          <w:p w14:paraId="4BAF8C1C" w14:textId="2A565788" w:rsidR="00454189" w:rsidRDefault="00454189" w:rsidP="00454189">
            <w:pPr>
              <w:spacing w:after="240"/>
              <w:rPr>
                <w:rFonts w:eastAsia="Calibri"/>
              </w:rPr>
            </w:pPr>
            <w:r>
              <w:rPr>
                <w:rFonts w:eastAsia="Calibri"/>
              </w:rPr>
              <w:t>B</w:t>
            </w:r>
            <w:r w:rsidR="009B6CDD">
              <w:rPr>
                <w:rFonts w:eastAsia="Calibri"/>
              </w:rPr>
              <w:t xml:space="preserve">urlington City Center </w:t>
            </w:r>
          </w:p>
          <w:p w14:paraId="7200500E" w14:textId="77777777" w:rsidR="0055757D" w:rsidRDefault="0055757D" w:rsidP="00454189">
            <w:pPr>
              <w:spacing w:after="240"/>
              <w:rPr>
                <w:rFonts w:eastAsia="Calibri"/>
              </w:rPr>
            </w:pPr>
          </w:p>
          <w:p w14:paraId="110C19DB" w14:textId="77777777" w:rsidR="0055757D" w:rsidRDefault="0055757D" w:rsidP="00454189">
            <w:pPr>
              <w:spacing w:after="240"/>
              <w:rPr>
                <w:rFonts w:eastAsia="Calibri"/>
              </w:rPr>
            </w:pPr>
          </w:p>
          <w:p w14:paraId="2B395B1F" w14:textId="77777777" w:rsidR="006D3372" w:rsidRDefault="006D3372" w:rsidP="00454189">
            <w:pPr>
              <w:spacing w:after="240"/>
              <w:rPr>
                <w:rFonts w:eastAsia="Calibri"/>
              </w:rPr>
            </w:pPr>
          </w:p>
          <w:p w14:paraId="4D68D80B" w14:textId="27EC75B3" w:rsidR="009B6CDD" w:rsidRDefault="009B6CDD" w:rsidP="00454189">
            <w:pPr>
              <w:spacing w:after="240"/>
              <w:rPr>
                <w:rFonts w:eastAsia="Calibri"/>
              </w:rPr>
            </w:pPr>
            <w:r>
              <w:rPr>
                <w:rFonts w:eastAsia="Calibri"/>
              </w:rPr>
              <w:t>New Housing Developments</w:t>
            </w:r>
          </w:p>
          <w:p w14:paraId="5D26C7D4" w14:textId="1E9CA29B" w:rsidR="00454189" w:rsidRPr="00454189" w:rsidRDefault="00454189" w:rsidP="00454189">
            <w:pPr>
              <w:spacing w:after="240"/>
              <w:rPr>
                <w:rFonts w:eastAsia="Calibri"/>
              </w:rPr>
            </w:pPr>
          </w:p>
        </w:tc>
        <w:tc>
          <w:tcPr>
            <w:tcW w:w="1399" w:type="dxa"/>
            <w:gridSpan w:val="3"/>
            <w:shd w:val="clear" w:color="auto" w:fill="auto"/>
          </w:tcPr>
          <w:p w14:paraId="64DC1A50" w14:textId="77777777" w:rsidR="0055757D" w:rsidRDefault="0055757D" w:rsidP="008B66B9">
            <w:pPr>
              <w:spacing w:after="240"/>
              <w:rPr>
                <w:rFonts w:eastAsia="Calibri"/>
                <w:sz w:val="20"/>
                <w:szCs w:val="20"/>
              </w:rPr>
            </w:pPr>
          </w:p>
          <w:p w14:paraId="33CCF58B" w14:textId="77777777" w:rsidR="007508F1" w:rsidRPr="0024352D" w:rsidRDefault="007508F1" w:rsidP="008B66B9">
            <w:pPr>
              <w:spacing w:after="240"/>
              <w:rPr>
                <w:rFonts w:eastAsia="Calibri"/>
                <w:sz w:val="20"/>
                <w:szCs w:val="20"/>
              </w:rPr>
            </w:pPr>
            <w:r w:rsidRPr="0024352D">
              <w:rPr>
                <w:rFonts w:eastAsia="Calibri"/>
                <w:sz w:val="20"/>
                <w:szCs w:val="20"/>
              </w:rPr>
              <w:t>Lack of affordable units</w:t>
            </w:r>
          </w:p>
          <w:p w14:paraId="762E9443" w14:textId="77777777" w:rsidR="007508F1" w:rsidRPr="0024352D" w:rsidRDefault="007508F1" w:rsidP="008B66B9">
            <w:pPr>
              <w:spacing w:after="240"/>
              <w:rPr>
                <w:rFonts w:eastAsia="Calibri"/>
                <w:sz w:val="20"/>
                <w:szCs w:val="20"/>
              </w:rPr>
            </w:pPr>
            <w:r w:rsidRPr="0024352D">
              <w:rPr>
                <w:rFonts w:eastAsia="Calibri"/>
                <w:sz w:val="20"/>
                <w:szCs w:val="20"/>
              </w:rPr>
              <w:t>Location and type of units</w:t>
            </w:r>
          </w:p>
          <w:p w14:paraId="73FAB7C3" w14:textId="77777777" w:rsidR="0024352D" w:rsidRPr="0024352D" w:rsidRDefault="0024352D" w:rsidP="008B66B9">
            <w:pPr>
              <w:spacing w:after="240"/>
              <w:rPr>
                <w:rFonts w:eastAsia="Calibri"/>
                <w:sz w:val="20"/>
                <w:szCs w:val="20"/>
              </w:rPr>
            </w:pPr>
            <w:r w:rsidRPr="0024352D">
              <w:rPr>
                <w:rFonts w:eastAsia="Calibri"/>
                <w:sz w:val="20"/>
                <w:szCs w:val="20"/>
              </w:rPr>
              <w:t>Impediments to mobility</w:t>
            </w:r>
          </w:p>
          <w:p w14:paraId="58F4B40E" w14:textId="6D577831" w:rsidR="0024352D" w:rsidRPr="004971C1" w:rsidRDefault="0024352D" w:rsidP="008B66B9">
            <w:pPr>
              <w:spacing w:after="240"/>
              <w:rPr>
                <w:rFonts w:eastAsia="Calibri"/>
                <w:b/>
              </w:rPr>
            </w:pPr>
            <w:r w:rsidRPr="0024352D">
              <w:rPr>
                <w:rFonts w:eastAsia="Calibri"/>
                <w:sz w:val="20"/>
                <w:szCs w:val="20"/>
              </w:rPr>
              <w:t>Availability, type, frequents, and reliability of public transportation</w:t>
            </w:r>
          </w:p>
        </w:tc>
        <w:tc>
          <w:tcPr>
            <w:tcW w:w="1971" w:type="dxa"/>
            <w:gridSpan w:val="2"/>
            <w:shd w:val="clear" w:color="auto" w:fill="auto"/>
          </w:tcPr>
          <w:p w14:paraId="6AEA5E8E" w14:textId="77777777" w:rsidR="0055757D" w:rsidRDefault="0055757D" w:rsidP="0024352D">
            <w:pPr>
              <w:spacing w:after="240"/>
              <w:rPr>
                <w:rFonts w:eastAsia="Calibri"/>
              </w:rPr>
            </w:pPr>
          </w:p>
          <w:p w14:paraId="3C3A5237" w14:textId="77777777" w:rsidR="0055757D" w:rsidRDefault="0055757D" w:rsidP="0024352D">
            <w:pPr>
              <w:spacing w:after="240"/>
              <w:rPr>
                <w:rFonts w:eastAsia="Calibri"/>
              </w:rPr>
            </w:pPr>
          </w:p>
          <w:p w14:paraId="1EBF90E6" w14:textId="77777777" w:rsidR="0024352D" w:rsidRPr="0024352D" w:rsidRDefault="0024352D" w:rsidP="0024352D">
            <w:pPr>
              <w:spacing w:after="240"/>
              <w:rPr>
                <w:rFonts w:eastAsia="Calibri"/>
              </w:rPr>
            </w:pPr>
            <w:r w:rsidRPr="0024352D">
              <w:rPr>
                <w:rFonts w:eastAsia="Calibri"/>
              </w:rPr>
              <w:t>Disparities to Access to Opportunities</w:t>
            </w:r>
          </w:p>
          <w:p w14:paraId="36267F27" w14:textId="77777777" w:rsidR="0024352D" w:rsidRPr="0024352D" w:rsidRDefault="0024352D" w:rsidP="0024352D">
            <w:pPr>
              <w:spacing w:after="240"/>
              <w:rPr>
                <w:rFonts w:eastAsia="Calibri"/>
              </w:rPr>
            </w:pPr>
            <w:r w:rsidRPr="0024352D">
              <w:rPr>
                <w:rFonts w:eastAsia="Calibri"/>
              </w:rPr>
              <w:t>Disproportionate Housing Needs</w:t>
            </w:r>
          </w:p>
          <w:p w14:paraId="7DE8CC76" w14:textId="77777777" w:rsidR="0024352D" w:rsidRPr="0024352D" w:rsidRDefault="0024352D" w:rsidP="0024352D">
            <w:pPr>
              <w:spacing w:after="240"/>
              <w:rPr>
                <w:rFonts w:eastAsia="Calibri"/>
              </w:rPr>
            </w:pPr>
            <w:r w:rsidRPr="0024352D">
              <w:rPr>
                <w:rFonts w:eastAsia="Calibri"/>
              </w:rPr>
              <w:t>Publicly Supported Housing</w:t>
            </w:r>
          </w:p>
          <w:p w14:paraId="3EAC5FC4" w14:textId="66F8CE24" w:rsidR="007508F1" w:rsidRDefault="0024352D" w:rsidP="0024352D">
            <w:pPr>
              <w:spacing w:after="240"/>
              <w:rPr>
                <w:rFonts w:eastAsia="Calibri"/>
              </w:rPr>
            </w:pPr>
            <w:r w:rsidRPr="0024352D">
              <w:rPr>
                <w:rFonts w:eastAsia="Calibri"/>
              </w:rPr>
              <w:t>Disability and Access</w:t>
            </w:r>
          </w:p>
          <w:p w14:paraId="76BE1B69" w14:textId="77777777" w:rsidR="0024352D" w:rsidRPr="00C45DD8" w:rsidRDefault="0024352D" w:rsidP="0024352D">
            <w:pPr>
              <w:spacing w:after="240"/>
              <w:rPr>
                <w:rFonts w:eastAsia="Calibri"/>
              </w:rPr>
            </w:pPr>
          </w:p>
          <w:p w14:paraId="75E2C482" w14:textId="77777777" w:rsidR="007508F1" w:rsidRPr="004971C1" w:rsidRDefault="007508F1" w:rsidP="008B66B9">
            <w:pPr>
              <w:spacing w:after="240"/>
              <w:rPr>
                <w:rFonts w:eastAsia="Calibri"/>
                <w:b/>
              </w:rPr>
            </w:pPr>
          </w:p>
        </w:tc>
        <w:tc>
          <w:tcPr>
            <w:tcW w:w="2537" w:type="dxa"/>
            <w:gridSpan w:val="4"/>
            <w:shd w:val="clear" w:color="auto" w:fill="auto"/>
          </w:tcPr>
          <w:p w14:paraId="0E7755D0" w14:textId="77777777" w:rsidR="0055757D" w:rsidRDefault="0055757D" w:rsidP="00454189">
            <w:pPr>
              <w:spacing w:after="240"/>
              <w:rPr>
                <w:rFonts w:eastAsia="Calibri"/>
              </w:rPr>
            </w:pPr>
          </w:p>
          <w:p w14:paraId="6651904E" w14:textId="77777777" w:rsidR="007508F1" w:rsidRDefault="0055757D" w:rsidP="00454189">
            <w:pPr>
              <w:spacing w:after="240"/>
              <w:rPr>
                <w:rFonts w:eastAsia="Calibri"/>
              </w:rPr>
            </w:pPr>
            <w:r>
              <w:rPr>
                <w:rFonts w:eastAsia="Calibri"/>
              </w:rPr>
              <w:t>Staff at CEDO to provide on-going assistance for new and expanding microenterprises with focus on refugee/minority populations – CDBG funded</w:t>
            </w:r>
          </w:p>
          <w:p w14:paraId="7F121E24" w14:textId="77777777" w:rsidR="0055757D" w:rsidRDefault="0055757D" w:rsidP="00454189">
            <w:pPr>
              <w:spacing w:after="240"/>
              <w:rPr>
                <w:rFonts w:eastAsia="Calibri"/>
              </w:rPr>
            </w:pPr>
            <w:r>
              <w:rPr>
                <w:rFonts w:eastAsia="Calibri"/>
              </w:rPr>
              <w:t>CDBG to support Women’s Small Business Program – 25 women annually</w:t>
            </w:r>
          </w:p>
          <w:p w14:paraId="751B59E3" w14:textId="77777777" w:rsidR="0055757D" w:rsidRDefault="0055757D" w:rsidP="00454189">
            <w:pPr>
              <w:spacing w:after="240"/>
              <w:rPr>
                <w:rFonts w:eastAsia="Calibri"/>
              </w:rPr>
            </w:pPr>
          </w:p>
          <w:p w14:paraId="55D007FD" w14:textId="339FB256" w:rsidR="0055757D" w:rsidRDefault="0055757D" w:rsidP="00454189">
            <w:pPr>
              <w:spacing w:after="240"/>
              <w:rPr>
                <w:rFonts w:eastAsia="Calibri"/>
              </w:rPr>
            </w:pPr>
            <w:r>
              <w:rPr>
                <w:rFonts w:eastAsia="Calibri"/>
              </w:rPr>
              <w:t xml:space="preserve">CEDO to provide specific outreach and track new online support for business </w:t>
            </w:r>
            <w:proofErr w:type="spellStart"/>
            <w:r>
              <w:rPr>
                <w:rFonts w:eastAsia="Calibri"/>
              </w:rPr>
              <w:t>start ups</w:t>
            </w:r>
            <w:proofErr w:type="spellEnd"/>
            <w:r>
              <w:rPr>
                <w:rFonts w:eastAsia="Calibri"/>
              </w:rPr>
              <w:t xml:space="preserve"> for </w:t>
            </w:r>
            <w:r>
              <w:rPr>
                <w:rFonts w:eastAsia="Calibri"/>
              </w:rPr>
              <w:lastRenderedPageBreak/>
              <w:t>focus on protected classes, use of languages other than English – ongoing</w:t>
            </w:r>
          </w:p>
          <w:p w14:paraId="16E24D34" w14:textId="02B8866E" w:rsidR="007A750B" w:rsidRDefault="007A750B" w:rsidP="00454189">
            <w:pPr>
              <w:spacing w:after="240"/>
              <w:rPr>
                <w:rFonts w:eastAsia="Calibri"/>
              </w:rPr>
            </w:pPr>
            <w:r>
              <w:rPr>
                <w:rFonts w:eastAsia="Calibri"/>
              </w:rPr>
              <w:t>Evaluate program 10.18</w:t>
            </w:r>
          </w:p>
          <w:p w14:paraId="108969C8" w14:textId="77777777" w:rsidR="0055757D" w:rsidRDefault="0055757D" w:rsidP="00454189">
            <w:pPr>
              <w:spacing w:after="240"/>
              <w:rPr>
                <w:rFonts w:eastAsia="Calibri"/>
              </w:rPr>
            </w:pPr>
          </w:p>
          <w:p w14:paraId="3293874E" w14:textId="77777777" w:rsidR="0055757D" w:rsidRDefault="0055757D" w:rsidP="00454189">
            <w:pPr>
              <w:spacing w:after="240"/>
              <w:rPr>
                <w:rFonts w:eastAsia="Calibri"/>
              </w:rPr>
            </w:pPr>
            <w:r>
              <w:rPr>
                <w:rFonts w:eastAsia="Calibri"/>
              </w:rPr>
              <w:t>CEDO to provide CDBG revolving loan fund assistance with preference to minority and women owned ventures, January 2018 and then on-going while funds are available</w:t>
            </w:r>
          </w:p>
          <w:p w14:paraId="60BA934D" w14:textId="77777777" w:rsidR="00865BFD" w:rsidRDefault="00865BFD" w:rsidP="00454189">
            <w:pPr>
              <w:spacing w:after="240"/>
              <w:rPr>
                <w:rFonts w:eastAsia="Calibri"/>
              </w:rPr>
            </w:pPr>
          </w:p>
          <w:p w14:paraId="70B1D440" w14:textId="77777777" w:rsidR="00865BFD" w:rsidRDefault="00865BFD" w:rsidP="00454189">
            <w:pPr>
              <w:spacing w:after="240"/>
              <w:rPr>
                <w:rFonts w:eastAsia="Calibri"/>
              </w:rPr>
            </w:pPr>
          </w:p>
          <w:p w14:paraId="50107957" w14:textId="190DF87E" w:rsidR="00865BFD" w:rsidRDefault="00865BFD" w:rsidP="00454189">
            <w:pPr>
              <w:spacing w:after="240"/>
              <w:rPr>
                <w:rFonts w:eastAsia="Calibri"/>
              </w:rPr>
            </w:pPr>
            <w:r>
              <w:rPr>
                <w:rFonts w:eastAsia="Calibri"/>
              </w:rPr>
              <w:t xml:space="preserve">CEDO </w:t>
            </w:r>
            <w:r w:rsidR="00A65C2D">
              <w:rPr>
                <w:rFonts w:eastAsia="Calibri"/>
              </w:rPr>
              <w:t>to ensure all contracts originating from the department over $15,000 are certified for the  livable wage ordinance and supply information for compliance monitoring – on-going</w:t>
            </w:r>
          </w:p>
          <w:p w14:paraId="07078246" w14:textId="77777777" w:rsidR="00A65C2D" w:rsidRDefault="00A65C2D" w:rsidP="00454189">
            <w:pPr>
              <w:spacing w:after="240"/>
              <w:rPr>
                <w:rFonts w:eastAsia="Calibri"/>
              </w:rPr>
            </w:pPr>
          </w:p>
          <w:p w14:paraId="05626828" w14:textId="5AE9DF00" w:rsidR="00716638" w:rsidRPr="00890D56" w:rsidRDefault="00716638" w:rsidP="00716638">
            <w:r w:rsidRPr="00890D56">
              <w:t>CEDO to administer more than $300,000 over a two-year period, with priority given to women-and/or minority-and/or immigrant-owned businesses, among others</w:t>
            </w:r>
          </w:p>
          <w:p w14:paraId="2FEAD4ED" w14:textId="591CFC88" w:rsidR="00716638" w:rsidRPr="00890D56" w:rsidRDefault="00716638" w:rsidP="00716638">
            <w:r w:rsidRPr="00890D56">
              <w:t xml:space="preserve">10.17 – Call for proposals issued to innovative entrepreneur support organizations (to foster </w:t>
            </w:r>
            <w:r w:rsidRPr="00890D56">
              <w:lastRenderedPageBreak/>
              <w:t>growth and development of entrepreneurship in the city)</w:t>
            </w:r>
          </w:p>
          <w:p w14:paraId="5EF75845" w14:textId="77777777" w:rsidR="00716638" w:rsidRPr="00890D56" w:rsidRDefault="00716638" w:rsidP="00716638">
            <w:r w:rsidRPr="00890D56">
              <w:t>1.20 -  Grant program complete</w:t>
            </w:r>
          </w:p>
          <w:p w14:paraId="24B9AE1E" w14:textId="77777777" w:rsidR="00A65C2D" w:rsidRDefault="00A65C2D" w:rsidP="00454189">
            <w:pPr>
              <w:spacing w:after="240"/>
              <w:rPr>
                <w:rFonts w:eastAsia="Calibri"/>
              </w:rPr>
            </w:pPr>
          </w:p>
          <w:p w14:paraId="52697B4B" w14:textId="77777777" w:rsidR="00A65C2D" w:rsidRDefault="006D3372" w:rsidP="00454189">
            <w:pPr>
              <w:spacing w:after="240"/>
              <w:rPr>
                <w:rFonts w:eastAsia="Calibri"/>
              </w:rPr>
            </w:pPr>
            <w:r>
              <w:rPr>
                <w:rFonts w:eastAsia="Calibri"/>
              </w:rPr>
              <w:t>The City works with for profit developer, utilizes TIF funding for renovation of mall, streets and affordable housing to bring additional jobs to the City. Construction begins 2018 and complete 2019.</w:t>
            </w:r>
          </w:p>
          <w:p w14:paraId="1799950F" w14:textId="213A9E4F" w:rsidR="006D3372" w:rsidRPr="00890D56" w:rsidRDefault="006D3372" w:rsidP="00454189">
            <w:pPr>
              <w:spacing w:after="240"/>
              <w:rPr>
                <w:rFonts w:eastAsia="Calibri"/>
              </w:rPr>
            </w:pPr>
            <w:r>
              <w:rPr>
                <w:rFonts w:eastAsia="Calibri"/>
              </w:rPr>
              <w:t>New developments bring new/additional opportunities for construction work.2018-2020</w:t>
            </w:r>
          </w:p>
        </w:tc>
        <w:tc>
          <w:tcPr>
            <w:tcW w:w="1843" w:type="dxa"/>
            <w:gridSpan w:val="3"/>
            <w:shd w:val="clear" w:color="auto" w:fill="auto"/>
          </w:tcPr>
          <w:p w14:paraId="147CC5E9" w14:textId="77777777" w:rsidR="0055757D" w:rsidRDefault="0055757D" w:rsidP="008B66B9">
            <w:pPr>
              <w:spacing w:after="240"/>
              <w:rPr>
                <w:rFonts w:eastAsia="Calibri"/>
                <w:b/>
              </w:rPr>
            </w:pPr>
          </w:p>
          <w:p w14:paraId="11C14933" w14:textId="77777777" w:rsidR="007508F1" w:rsidRDefault="007508F1" w:rsidP="008B66B9">
            <w:pPr>
              <w:spacing w:after="240"/>
              <w:rPr>
                <w:rFonts w:eastAsia="Calibri"/>
                <w:b/>
              </w:rPr>
            </w:pPr>
            <w:r>
              <w:rPr>
                <w:rFonts w:eastAsia="Calibri"/>
                <w:b/>
              </w:rPr>
              <w:t>CEDO</w:t>
            </w:r>
          </w:p>
          <w:p w14:paraId="3F21DCEE" w14:textId="77777777" w:rsidR="0055757D" w:rsidRDefault="0055757D" w:rsidP="008B66B9">
            <w:pPr>
              <w:spacing w:after="240"/>
              <w:rPr>
                <w:rFonts w:eastAsia="Calibri"/>
                <w:b/>
              </w:rPr>
            </w:pPr>
          </w:p>
          <w:p w14:paraId="1125612B" w14:textId="77777777" w:rsidR="0055757D" w:rsidRDefault="0055757D" w:rsidP="008B66B9">
            <w:pPr>
              <w:spacing w:after="240"/>
              <w:rPr>
                <w:rFonts w:eastAsia="Calibri"/>
                <w:b/>
              </w:rPr>
            </w:pPr>
          </w:p>
          <w:p w14:paraId="620D65C4" w14:textId="77777777" w:rsidR="0055757D" w:rsidRDefault="0055757D" w:rsidP="008B66B9">
            <w:pPr>
              <w:spacing w:after="240"/>
              <w:rPr>
                <w:rFonts w:eastAsia="Calibri"/>
                <w:b/>
              </w:rPr>
            </w:pPr>
          </w:p>
          <w:p w14:paraId="3706046B" w14:textId="77777777" w:rsidR="0055757D" w:rsidRDefault="0055757D" w:rsidP="008B66B9">
            <w:pPr>
              <w:spacing w:after="240"/>
              <w:rPr>
                <w:rFonts w:eastAsia="Calibri"/>
                <w:b/>
              </w:rPr>
            </w:pPr>
          </w:p>
          <w:p w14:paraId="013738E8" w14:textId="77777777" w:rsidR="0055757D" w:rsidRDefault="0055757D" w:rsidP="008B66B9">
            <w:pPr>
              <w:spacing w:after="240"/>
              <w:rPr>
                <w:rFonts w:eastAsia="Calibri"/>
                <w:b/>
              </w:rPr>
            </w:pPr>
            <w:r>
              <w:rPr>
                <w:rFonts w:eastAsia="Calibri"/>
                <w:b/>
              </w:rPr>
              <w:t>Mercy Connections</w:t>
            </w:r>
          </w:p>
          <w:p w14:paraId="3E8EBF33" w14:textId="77777777" w:rsidR="0055757D" w:rsidRDefault="0055757D" w:rsidP="008B66B9">
            <w:pPr>
              <w:spacing w:after="240"/>
              <w:rPr>
                <w:rFonts w:eastAsia="Calibri"/>
                <w:b/>
              </w:rPr>
            </w:pPr>
          </w:p>
          <w:p w14:paraId="0549D3BC" w14:textId="77777777" w:rsidR="0055757D" w:rsidRDefault="0055757D" w:rsidP="008B66B9">
            <w:pPr>
              <w:spacing w:after="240"/>
              <w:rPr>
                <w:rFonts w:eastAsia="Calibri"/>
                <w:b/>
              </w:rPr>
            </w:pPr>
          </w:p>
          <w:p w14:paraId="2B5DB060" w14:textId="77777777" w:rsidR="0055757D" w:rsidRDefault="0055757D" w:rsidP="008B66B9">
            <w:pPr>
              <w:spacing w:after="240"/>
              <w:rPr>
                <w:rFonts w:eastAsia="Calibri"/>
                <w:b/>
              </w:rPr>
            </w:pPr>
            <w:r>
              <w:rPr>
                <w:rFonts w:eastAsia="Calibri"/>
                <w:b/>
              </w:rPr>
              <w:t>CEDO</w:t>
            </w:r>
          </w:p>
          <w:p w14:paraId="44442B4A" w14:textId="77777777" w:rsidR="0055757D" w:rsidRDefault="0055757D" w:rsidP="008B66B9">
            <w:pPr>
              <w:spacing w:after="240"/>
              <w:rPr>
                <w:rFonts w:eastAsia="Calibri"/>
                <w:b/>
              </w:rPr>
            </w:pPr>
          </w:p>
          <w:p w14:paraId="063D9C9D" w14:textId="77777777" w:rsidR="0055757D" w:rsidRDefault="0055757D" w:rsidP="008B66B9">
            <w:pPr>
              <w:spacing w:after="240"/>
              <w:rPr>
                <w:rFonts w:eastAsia="Calibri"/>
                <w:b/>
              </w:rPr>
            </w:pPr>
          </w:p>
          <w:p w14:paraId="04ADE7A4" w14:textId="77777777" w:rsidR="0055757D" w:rsidRDefault="0055757D" w:rsidP="008B66B9">
            <w:pPr>
              <w:spacing w:after="240"/>
              <w:rPr>
                <w:rFonts w:eastAsia="Calibri"/>
                <w:b/>
              </w:rPr>
            </w:pPr>
          </w:p>
          <w:p w14:paraId="1E9C1F53" w14:textId="77777777" w:rsidR="0055757D" w:rsidRDefault="0055757D" w:rsidP="008B66B9">
            <w:pPr>
              <w:spacing w:after="240"/>
              <w:rPr>
                <w:rFonts w:eastAsia="Calibri"/>
                <w:b/>
              </w:rPr>
            </w:pPr>
          </w:p>
          <w:p w14:paraId="666A7516" w14:textId="77777777" w:rsidR="0055757D" w:rsidRDefault="0055757D" w:rsidP="008B66B9">
            <w:pPr>
              <w:spacing w:after="240"/>
              <w:rPr>
                <w:rFonts w:eastAsia="Calibri"/>
                <w:b/>
              </w:rPr>
            </w:pPr>
          </w:p>
          <w:p w14:paraId="4802C0CE" w14:textId="77777777" w:rsidR="0055757D" w:rsidRDefault="0055757D" w:rsidP="008B66B9">
            <w:pPr>
              <w:spacing w:after="240"/>
              <w:rPr>
                <w:rFonts w:eastAsia="Calibri"/>
                <w:b/>
              </w:rPr>
            </w:pPr>
            <w:r>
              <w:rPr>
                <w:rFonts w:eastAsia="Calibri"/>
                <w:b/>
              </w:rPr>
              <w:t>CEDO</w:t>
            </w:r>
          </w:p>
          <w:p w14:paraId="2CAB802B" w14:textId="77777777" w:rsidR="00A65C2D" w:rsidRDefault="00A65C2D" w:rsidP="008B66B9">
            <w:pPr>
              <w:spacing w:after="240"/>
              <w:rPr>
                <w:rFonts w:eastAsia="Calibri"/>
                <w:b/>
              </w:rPr>
            </w:pPr>
          </w:p>
          <w:p w14:paraId="4A60C996" w14:textId="77777777" w:rsidR="00A65C2D" w:rsidRDefault="00A65C2D" w:rsidP="008B66B9">
            <w:pPr>
              <w:spacing w:after="240"/>
              <w:rPr>
                <w:rFonts w:eastAsia="Calibri"/>
                <w:b/>
              </w:rPr>
            </w:pPr>
          </w:p>
          <w:p w14:paraId="7E2262C5" w14:textId="77777777" w:rsidR="00A65C2D" w:rsidRDefault="00A65C2D" w:rsidP="008B66B9">
            <w:pPr>
              <w:spacing w:after="240"/>
              <w:rPr>
                <w:rFonts w:eastAsia="Calibri"/>
                <w:b/>
              </w:rPr>
            </w:pPr>
          </w:p>
          <w:p w14:paraId="08341342" w14:textId="77777777" w:rsidR="00A65C2D" w:rsidRDefault="00A65C2D" w:rsidP="008B66B9">
            <w:pPr>
              <w:spacing w:after="240"/>
              <w:rPr>
                <w:rFonts w:eastAsia="Calibri"/>
                <w:b/>
              </w:rPr>
            </w:pPr>
          </w:p>
          <w:p w14:paraId="50D38FD6" w14:textId="77777777" w:rsidR="00A65C2D" w:rsidRDefault="00A65C2D" w:rsidP="008B66B9">
            <w:pPr>
              <w:spacing w:after="240"/>
              <w:rPr>
                <w:rFonts w:eastAsia="Calibri"/>
                <w:b/>
              </w:rPr>
            </w:pPr>
          </w:p>
          <w:p w14:paraId="4BDE02E8" w14:textId="77777777" w:rsidR="00A65C2D" w:rsidRDefault="00A65C2D" w:rsidP="008B66B9">
            <w:pPr>
              <w:spacing w:after="240"/>
              <w:rPr>
                <w:rFonts w:eastAsia="Calibri"/>
                <w:b/>
              </w:rPr>
            </w:pPr>
            <w:r>
              <w:rPr>
                <w:rFonts w:eastAsia="Calibri"/>
                <w:b/>
              </w:rPr>
              <w:t>CEDO</w:t>
            </w:r>
          </w:p>
          <w:p w14:paraId="3B95B615" w14:textId="77777777" w:rsidR="00A65C2D" w:rsidRDefault="00A65C2D" w:rsidP="008B66B9">
            <w:pPr>
              <w:spacing w:after="240"/>
              <w:rPr>
                <w:rFonts w:eastAsia="Calibri"/>
                <w:b/>
              </w:rPr>
            </w:pPr>
            <w:r>
              <w:rPr>
                <w:rFonts w:eastAsia="Calibri"/>
                <w:b/>
              </w:rPr>
              <w:t>City Attorney</w:t>
            </w:r>
          </w:p>
          <w:p w14:paraId="79770EC8" w14:textId="77777777" w:rsidR="00A65C2D" w:rsidRDefault="00A65C2D" w:rsidP="008B66B9">
            <w:pPr>
              <w:spacing w:after="240"/>
              <w:rPr>
                <w:rFonts w:eastAsia="Calibri"/>
                <w:b/>
              </w:rPr>
            </w:pPr>
          </w:p>
          <w:p w14:paraId="677F069D" w14:textId="77777777" w:rsidR="00A65C2D" w:rsidRDefault="00A65C2D" w:rsidP="008B66B9">
            <w:pPr>
              <w:spacing w:after="240"/>
              <w:rPr>
                <w:rFonts w:eastAsia="Calibri"/>
                <w:b/>
              </w:rPr>
            </w:pPr>
          </w:p>
          <w:p w14:paraId="0F2DADE6" w14:textId="77777777" w:rsidR="00A65C2D" w:rsidRDefault="00A65C2D" w:rsidP="008B66B9">
            <w:pPr>
              <w:spacing w:after="240"/>
              <w:rPr>
                <w:rFonts w:eastAsia="Calibri"/>
                <w:b/>
              </w:rPr>
            </w:pPr>
          </w:p>
          <w:p w14:paraId="66750381" w14:textId="77777777" w:rsidR="00A65C2D" w:rsidRDefault="00A65C2D" w:rsidP="008B66B9">
            <w:pPr>
              <w:spacing w:after="240"/>
              <w:rPr>
                <w:rFonts w:eastAsia="Calibri"/>
                <w:b/>
              </w:rPr>
            </w:pPr>
          </w:p>
          <w:p w14:paraId="3214597C" w14:textId="77777777" w:rsidR="00A65C2D" w:rsidRDefault="00A65C2D" w:rsidP="008B66B9">
            <w:pPr>
              <w:spacing w:after="240"/>
              <w:rPr>
                <w:rFonts w:eastAsia="Calibri"/>
                <w:b/>
              </w:rPr>
            </w:pPr>
          </w:p>
          <w:p w14:paraId="5B2528B4" w14:textId="77777777" w:rsidR="00A65C2D" w:rsidRDefault="00A65C2D" w:rsidP="008B66B9">
            <w:pPr>
              <w:spacing w:after="240"/>
              <w:rPr>
                <w:rFonts w:eastAsia="Calibri"/>
                <w:b/>
              </w:rPr>
            </w:pPr>
            <w:r>
              <w:rPr>
                <w:rFonts w:eastAsia="Calibri"/>
                <w:b/>
              </w:rPr>
              <w:t>CEDO</w:t>
            </w:r>
          </w:p>
          <w:p w14:paraId="3B9768F1" w14:textId="77777777" w:rsidR="006D3372" w:rsidRDefault="006D3372" w:rsidP="008B66B9">
            <w:pPr>
              <w:spacing w:after="240"/>
              <w:rPr>
                <w:rFonts w:eastAsia="Calibri"/>
                <w:b/>
              </w:rPr>
            </w:pPr>
          </w:p>
          <w:p w14:paraId="3AA1C070" w14:textId="77777777" w:rsidR="006D3372" w:rsidRDefault="006D3372" w:rsidP="008B66B9">
            <w:pPr>
              <w:spacing w:after="240"/>
              <w:rPr>
                <w:rFonts w:eastAsia="Calibri"/>
                <w:b/>
              </w:rPr>
            </w:pPr>
          </w:p>
          <w:p w14:paraId="6A606F30" w14:textId="77777777" w:rsidR="006D3372" w:rsidRDefault="006D3372" w:rsidP="008B66B9">
            <w:pPr>
              <w:spacing w:after="240"/>
              <w:rPr>
                <w:rFonts w:eastAsia="Calibri"/>
                <w:b/>
              </w:rPr>
            </w:pPr>
          </w:p>
          <w:p w14:paraId="109670DD" w14:textId="77777777" w:rsidR="006D3372" w:rsidRDefault="006D3372" w:rsidP="008B66B9">
            <w:pPr>
              <w:spacing w:after="240"/>
              <w:rPr>
                <w:rFonts w:eastAsia="Calibri"/>
                <w:b/>
              </w:rPr>
            </w:pPr>
          </w:p>
          <w:p w14:paraId="76747B64" w14:textId="77777777" w:rsidR="006D3372" w:rsidRDefault="006D3372" w:rsidP="008B66B9">
            <w:pPr>
              <w:spacing w:after="240"/>
              <w:rPr>
                <w:rFonts w:eastAsia="Calibri"/>
                <w:b/>
              </w:rPr>
            </w:pPr>
          </w:p>
          <w:p w14:paraId="60D8018F" w14:textId="77777777" w:rsidR="006D3372" w:rsidRDefault="006D3372" w:rsidP="008B66B9">
            <w:pPr>
              <w:spacing w:after="240"/>
              <w:rPr>
                <w:rFonts w:eastAsia="Calibri"/>
                <w:b/>
              </w:rPr>
            </w:pPr>
            <w:r>
              <w:rPr>
                <w:rFonts w:eastAsia="Calibri"/>
                <w:b/>
              </w:rPr>
              <w:t>CEDO</w:t>
            </w:r>
          </w:p>
          <w:p w14:paraId="420FCA94" w14:textId="77777777" w:rsidR="00453AEA" w:rsidRDefault="00453AEA" w:rsidP="008B66B9">
            <w:pPr>
              <w:spacing w:after="240"/>
              <w:rPr>
                <w:rFonts w:eastAsia="Calibri"/>
                <w:b/>
              </w:rPr>
            </w:pPr>
          </w:p>
          <w:p w14:paraId="72DB5E83" w14:textId="77777777" w:rsidR="00453AEA" w:rsidRDefault="00453AEA" w:rsidP="008B66B9">
            <w:pPr>
              <w:spacing w:after="240"/>
              <w:rPr>
                <w:rFonts w:eastAsia="Calibri"/>
                <w:b/>
              </w:rPr>
            </w:pPr>
          </w:p>
          <w:p w14:paraId="64C5C41E" w14:textId="77777777" w:rsidR="00453AEA" w:rsidRDefault="00453AEA" w:rsidP="008B66B9">
            <w:pPr>
              <w:spacing w:after="240"/>
              <w:rPr>
                <w:rFonts w:eastAsia="Calibri"/>
                <w:b/>
              </w:rPr>
            </w:pPr>
          </w:p>
          <w:p w14:paraId="1201AEE8" w14:textId="77777777" w:rsidR="00453AEA" w:rsidRDefault="00453AEA" w:rsidP="008B66B9">
            <w:pPr>
              <w:spacing w:after="240"/>
              <w:rPr>
                <w:rFonts w:eastAsia="Calibri"/>
                <w:b/>
              </w:rPr>
            </w:pPr>
          </w:p>
          <w:p w14:paraId="2EBFE426" w14:textId="77777777" w:rsidR="006D3372" w:rsidRDefault="006D3372" w:rsidP="008B66B9">
            <w:pPr>
              <w:spacing w:after="240"/>
              <w:rPr>
                <w:rFonts w:eastAsia="Calibri"/>
                <w:b/>
              </w:rPr>
            </w:pPr>
            <w:r>
              <w:rPr>
                <w:rFonts w:eastAsia="Calibri"/>
                <w:b/>
              </w:rPr>
              <w:t>For Profit Developer</w:t>
            </w:r>
          </w:p>
          <w:p w14:paraId="12A05A07" w14:textId="77777777" w:rsidR="006D3372" w:rsidRDefault="006D3372" w:rsidP="008B66B9">
            <w:pPr>
              <w:spacing w:after="240"/>
              <w:rPr>
                <w:rFonts w:eastAsia="Calibri"/>
                <w:b/>
              </w:rPr>
            </w:pPr>
          </w:p>
          <w:p w14:paraId="2CAA7850" w14:textId="77777777" w:rsidR="006D3372" w:rsidRDefault="006D3372" w:rsidP="008B66B9">
            <w:pPr>
              <w:spacing w:after="240"/>
              <w:rPr>
                <w:rFonts w:eastAsia="Calibri"/>
                <w:b/>
              </w:rPr>
            </w:pPr>
          </w:p>
          <w:p w14:paraId="22D670A1" w14:textId="77777777" w:rsidR="006D3372" w:rsidRDefault="006D3372" w:rsidP="008B66B9">
            <w:pPr>
              <w:spacing w:after="240"/>
              <w:rPr>
                <w:rFonts w:eastAsia="Calibri"/>
                <w:b/>
              </w:rPr>
            </w:pPr>
          </w:p>
          <w:p w14:paraId="79F80E3A" w14:textId="29BEAEBB" w:rsidR="006D3372" w:rsidRPr="004971C1" w:rsidRDefault="006D3372" w:rsidP="008B66B9">
            <w:pPr>
              <w:spacing w:after="240"/>
              <w:rPr>
                <w:rFonts w:eastAsia="Calibri"/>
                <w:b/>
              </w:rPr>
            </w:pPr>
            <w:r>
              <w:rPr>
                <w:rFonts w:eastAsia="Calibri"/>
                <w:b/>
              </w:rPr>
              <w:t>Non-profit developers</w:t>
            </w:r>
          </w:p>
        </w:tc>
      </w:tr>
      <w:tr w:rsidR="007508F1" w:rsidRPr="004971C1" w14:paraId="36FB4DEF" w14:textId="77777777" w:rsidTr="001B39A6">
        <w:tc>
          <w:tcPr>
            <w:tcW w:w="9586" w:type="dxa"/>
            <w:gridSpan w:val="14"/>
            <w:shd w:val="clear" w:color="auto" w:fill="auto"/>
          </w:tcPr>
          <w:p w14:paraId="41E261F7" w14:textId="1702C0E8" w:rsidR="006D3372" w:rsidRDefault="007508F1" w:rsidP="006D3372">
            <w:pPr>
              <w:spacing w:beforeAutospacing="1" w:afterAutospacing="1"/>
              <w:rPr>
                <w:b/>
                <w:sz w:val="24"/>
                <w:szCs w:val="24"/>
              </w:rPr>
            </w:pPr>
            <w:r w:rsidRPr="5F884969">
              <w:rPr>
                <w:rFonts w:eastAsia="Calibri"/>
                <w:b/>
                <w:bCs/>
              </w:rPr>
              <w:lastRenderedPageBreak/>
              <w:t xml:space="preserve">Discussion: </w:t>
            </w:r>
            <w:r w:rsidR="006D3372">
              <w:rPr>
                <w:rFonts w:cs="Arial"/>
              </w:rPr>
              <w:t xml:space="preserve"> Economic development initiatives combine assistance to large businesses and microenterprises to stimulate job creation and retention, policy and planning efforts t</w:t>
            </w:r>
            <w:r w:rsidR="009A3533">
              <w:rPr>
                <w:rFonts w:cs="Arial"/>
              </w:rPr>
              <w:t xml:space="preserve">o enable development, </w:t>
            </w:r>
            <w:r w:rsidR="006D3372">
              <w:rPr>
                <w:rFonts w:cs="Arial"/>
              </w:rPr>
              <w:t>initiatives to educate the workforce to meet local needs, and facilitate large scale development and infrastructure projects to stimulate economic development.</w:t>
            </w:r>
            <w:r w:rsidR="00AC3265">
              <w:rPr>
                <w:rFonts w:cs="Arial"/>
              </w:rPr>
              <w:t xml:space="preserve"> But providing access to better jobs, livable wages or business creation/expansion, protected classes have more housing options and access to opportunities.</w:t>
            </w:r>
          </w:p>
          <w:p w14:paraId="023DBB6B" w14:textId="02596C20" w:rsidR="007508F1" w:rsidRPr="004971C1" w:rsidRDefault="007508F1" w:rsidP="008B66B9">
            <w:pPr>
              <w:spacing w:after="240"/>
              <w:rPr>
                <w:rFonts w:eastAsia="Calibri"/>
                <w:b/>
                <w:bCs/>
              </w:rPr>
            </w:pPr>
          </w:p>
          <w:p w14:paraId="14CDD1EE" w14:textId="77777777" w:rsidR="007508F1" w:rsidRPr="004971C1" w:rsidRDefault="007508F1" w:rsidP="0055757D">
            <w:pPr>
              <w:spacing w:after="0" w:line="240" w:lineRule="auto"/>
              <w:rPr>
                <w:rFonts w:eastAsia="Calibri"/>
                <w:b/>
              </w:rPr>
            </w:pPr>
          </w:p>
        </w:tc>
      </w:tr>
      <w:tr w:rsidR="00716638" w:rsidRPr="004971C1" w14:paraId="15A076D4" w14:textId="77777777" w:rsidTr="001B39A6">
        <w:tc>
          <w:tcPr>
            <w:tcW w:w="1836" w:type="dxa"/>
            <w:gridSpan w:val="2"/>
            <w:shd w:val="clear" w:color="auto" w:fill="auto"/>
            <w:vAlign w:val="center"/>
          </w:tcPr>
          <w:p w14:paraId="7F352C2E" w14:textId="77777777" w:rsidR="00716638" w:rsidRPr="004971C1" w:rsidRDefault="00716638" w:rsidP="00866EDB">
            <w:pPr>
              <w:spacing w:after="240"/>
              <w:jc w:val="center"/>
              <w:rPr>
                <w:rFonts w:eastAsia="Calibri"/>
                <w:b/>
                <w:bCs/>
                <w:u w:val="single"/>
              </w:rPr>
            </w:pPr>
            <w:r w:rsidRPr="5F884969">
              <w:rPr>
                <w:rFonts w:eastAsia="Calibri"/>
                <w:b/>
                <w:bCs/>
                <w:u w:val="single"/>
              </w:rPr>
              <w:t>Goal</w:t>
            </w:r>
          </w:p>
        </w:tc>
        <w:tc>
          <w:tcPr>
            <w:tcW w:w="1399" w:type="dxa"/>
            <w:gridSpan w:val="3"/>
            <w:shd w:val="clear" w:color="auto" w:fill="auto"/>
            <w:vAlign w:val="center"/>
          </w:tcPr>
          <w:p w14:paraId="35ECD9F2" w14:textId="77777777" w:rsidR="00716638" w:rsidRPr="004971C1" w:rsidRDefault="00716638" w:rsidP="00866EDB">
            <w:pPr>
              <w:spacing w:after="240"/>
              <w:jc w:val="center"/>
              <w:rPr>
                <w:rFonts w:eastAsia="Calibri"/>
                <w:b/>
                <w:bCs/>
                <w:u w:val="single"/>
              </w:rPr>
            </w:pPr>
            <w:r w:rsidRPr="5F884969">
              <w:rPr>
                <w:rFonts w:eastAsia="Calibri"/>
                <w:b/>
                <w:bCs/>
                <w:u w:val="single"/>
              </w:rPr>
              <w:t>Contributing Factors</w:t>
            </w:r>
          </w:p>
        </w:tc>
        <w:tc>
          <w:tcPr>
            <w:tcW w:w="1971" w:type="dxa"/>
            <w:gridSpan w:val="2"/>
            <w:shd w:val="clear" w:color="auto" w:fill="auto"/>
            <w:vAlign w:val="center"/>
          </w:tcPr>
          <w:p w14:paraId="5A71EEDB" w14:textId="77777777" w:rsidR="00716638" w:rsidRPr="004971C1" w:rsidRDefault="00716638" w:rsidP="00866EDB">
            <w:pPr>
              <w:spacing w:after="240"/>
              <w:jc w:val="center"/>
              <w:rPr>
                <w:rFonts w:eastAsia="Calibri"/>
                <w:b/>
                <w:bCs/>
                <w:u w:val="single"/>
              </w:rPr>
            </w:pPr>
            <w:r w:rsidRPr="5F884969">
              <w:rPr>
                <w:rFonts w:eastAsia="Calibri"/>
                <w:b/>
                <w:bCs/>
                <w:u w:val="single"/>
              </w:rPr>
              <w:t>Fair Housing Issues</w:t>
            </w:r>
          </w:p>
        </w:tc>
        <w:tc>
          <w:tcPr>
            <w:tcW w:w="2537" w:type="dxa"/>
            <w:gridSpan w:val="4"/>
            <w:shd w:val="clear" w:color="auto" w:fill="auto"/>
          </w:tcPr>
          <w:p w14:paraId="5FE52E82" w14:textId="77777777" w:rsidR="00716638" w:rsidRPr="004971C1" w:rsidRDefault="00716638" w:rsidP="00866EDB">
            <w:pPr>
              <w:spacing w:after="240"/>
              <w:jc w:val="center"/>
              <w:rPr>
                <w:rFonts w:eastAsia="Calibri"/>
                <w:b/>
                <w:bCs/>
                <w:u w:val="single"/>
              </w:rPr>
            </w:pPr>
            <w:r w:rsidRPr="5F884969">
              <w:rPr>
                <w:rFonts w:eastAsia="Calibri"/>
                <w:b/>
                <w:bCs/>
                <w:u w:val="single"/>
              </w:rPr>
              <w:t>Metrics, Milestones, and Timeframe for Achievement</w:t>
            </w:r>
          </w:p>
        </w:tc>
        <w:tc>
          <w:tcPr>
            <w:tcW w:w="1843" w:type="dxa"/>
            <w:gridSpan w:val="3"/>
            <w:shd w:val="clear" w:color="auto" w:fill="auto"/>
            <w:vAlign w:val="center"/>
          </w:tcPr>
          <w:p w14:paraId="76362117" w14:textId="77777777" w:rsidR="00716638" w:rsidRPr="004971C1" w:rsidRDefault="00716638" w:rsidP="00866EDB">
            <w:pPr>
              <w:spacing w:after="240"/>
              <w:jc w:val="center"/>
              <w:rPr>
                <w:rFonts w:eastAsia="Calibri"/>
                <w:b/>
                <w:bCs/>
                <w:u w:val="single"/>
              </w:rPr>
            </w:pPr>
            <w:r w:rsidRPr="5F884969">
              <w:rPr>
                <w:rFonts w:eastAsia="Calibri"/>
                <w:b/>
                <w:bCs/>
                <w:u w:val="single"/>
              </w:rPr>
              <w:t>Responsible Program Participant(s)</w:t>
            </w:r>
          </w:p>
        </w:tc>
      </w:tr>
      <w:tr w:rsidR="00716638" w:rsidRPr="004971C1" w14:paraId="1C7794DE" w14:textId="77777777" w:rsidTr="001B39A6">
        <w:tc>
          <w:tcPr>
            <w:tcW w:w="1836" w:type="dxa"/>
            <w:gridSpan w:val="2"/>
            <w:shd w:val="clear" w:color="auto" w:fill="auto"/>
          </w:tcPr>
          <w:p w14:paraId="47FB6614" w14:textId="56063827" w:rsidR="00716638" w:rsidRDefault="00716638" w:rsidP="00866EDB">
            <w:pPr>
              <w:spacing w:after="240"/>
              <w:rPr>
                <w:rFonts w:eastAsia="Calibri"/>
                <w:b/>
              </w:rPr>
            </w:pPr>
            <w:r>
              <w:rPr>
                <w:rFonts w:eastAsia="Calibri"/>
                <w:b/>
              </w:rPr>
              <w:t xml:space="preserve">Increase </w:t>
            </w:r>
            <w:r w:rsidR="00C2277A">
              <w:rPr>
                <w:rFonts w:eastAsia="Calibri"/>
                <w:b/>
              </w:rPr>
              <w:t>educational opportunities with a focus on protected classes</w:t>
            </w:r>
          </w:p>
          <w:p w14:paraId="54B5F124" w14:textId="77777777" w:rsidR="00716638" w:rsidRDefault="00716638" w:rsidP="00866EDB">
            <w:pPr>
              <w:spacing w:after="240"/>
              <w:rPr>
                <w:rFonts w:eastAsia="Calibri"/>
              </w:rPr>
            </w:pPr>
          </w:p>
          <w:p w14:paraId="62F0D2CF" w14:textId="77777777" w:rsidR="00716638" w:rsidRDefault="00716638" w:rsidP="00866EDB">
            <w:pPr>
              <w:spacing w:after="240"/>
              <w:rPr>
                <w:rFonts w:eastAsia="Calibri"/>
              </w:rPr>
            </w:pPr>
          </w:p>
          <w:p w14:paraId="3E6ECD37" w14:textId="3BC39CA9" w:rsidR="00627CCB" w:rsidRDefault="00627CCB" w:rsidP="00866EDB">
            <w:pPr>
              <w:spacing w:after="240"/>
              <w:rPr>
                <w:rFonts w:eastAsia="Calibri"/>
              </w:rPr>
            </w:pPr>
            <w:r>
              <w:rPr>
                <w:rFonts w:eastAsia="Calibri"/>
              </w:rPr>
              <w:t>Sponsor Burlington AmeriCorps Program</w:t>
            </w:r>
          </w:p>
          <w:p w14:paraId="4BD43C25" w14:textId="77777777" w:rsidR="00716638" w:rsidRDefault="00716638" w:rsidP="00866EDB">
            <w:pPr>
              <w:spacing w:after="240"/>
              <w:rPr>
                <w:rFonts w:eastAsia="Calibri"/>
              </w:rPr>
            </w:pPr>
          </w:p>
          <w:p w14:paraId="29F2FBF1" w14:textId="77777777" w:rsidR="00716638" w:rsidRDefault="00716638" w:rsidP="00866EDB">
            <w:pPr>
              <w:spacing w:after="240"/>
              <w:rPr>
                <w:rFonts w:eastAsia="Calibri"/>
              </w:rPr>
            </w:pPr>
          </w:p>
          <w:p w14:paraId="69B8063E" w14:textId="77777777" w:rsidR="00716638" w:rsidRDefault="00716638" w:rsidP="00866EDB">
            <w:pPr>
              <w:spacing w:after="240"/>
              <w:rPr>
                <w:rFonts w:eastAsia="Calibri"/>
              </w:rPr>
            </w:pPr>
          </w:p>
          <w:p w14:paraId="53D4737B" w14:textId="77777777" w:rsidR="00716638" w:rsidRDefault="00716638" w:rsidP="00866EDB">
            <w:pPr>
              <w:spacing w:after="240"/>
              <w:rPr>
                <w:rFonts w:eastAsia="Calibri"/>
              </w:rPr>
            </w:pPr>
          </w:p>
          <w:p w14:paraId="0819B342" w14:textId="77777777" w:rsidR="00627CCB" w:rsidRDefault="00627CCB" w:rsidP="00866EDB">
            <w:pPr>
              <w:spacing w:after="240"/>
              <w:rPr>
                <w:rFonts w:eastAsia="Calibri"/>
              </w:rPr>
            </w:pPr>
          </w:p>
          <w:p w14:paraId="135D6D11" w14:textId="77777777" w:rsidR="00627CCB" w:rsidRDefault="00627CCB" w:rsidP="00866EDB">
            <w:pPr>
              <w:spacing w:after="240"/>
              <w:rPr>
                <w:rFonts w:eastAsia="Calibri"/>
              </w:rPr>
            </w:pPr>
          </w:p>
          <w:p w14:paraId="022DE4CB" w14:textId="77777777" w:rsidR="00627CCB" w:rsidRDefault="00627CCB" w:rsidP="00866EDB">
            <w:pPr>
              <w:spacing w:after="240"/>
              <w:rPr>
                <w:rFonts w:eastAsia="Calibri"/>
              </w:rPr>
            </w:pPr>
          </w:p>
          <w:p w14:paraId="35AEFB64" w14:textId="77777777" w:rsidR="00627CCB" w:rsidRDefault="00627CCB" w:rsidP="00866EDB">
            <w:pPr>
              <w:spacing w:after="240"/>
              <w:rPr>
                <w:rFonts w:eastAsia="Calibri"/>
              </w:rPr>
            </w:pPr>
          </w:p>
          <w:p w14:paraId="14EEF54A" w14:textId="77777777" w:rsidR="00627CCB" w:rsidRDefault="00627CCB" w:rsidP="00866EDB">
            <w:pPr>
              <w:spacing w:after="240"/>
              <w:rPr>
                <w:rFonts w:eastAsia="Calibri"/>
              </w:rPr>
            </w:pPr>
          </w:p>
          <w:p w14:paraId="2E44C6B7" w14:textId="77777777" w:rsidR="00627CCB" w:rsidRDefault="00627CCB" w:rsidP="00866EDB">
            <w:pPr>
              <w:spacing w:after="240"/>
              <w:rPr>
                <w:rFonts w:eastAsia="Calibri"/>
              </w:rPr>
            </w:pPr>
          </w:p>
          <w:p w14:paraId="5CFEAF89" w14:textId="4DB42788" w:rsidR="00627CCB" w:rsidRDefault="00627CCB" w:rsidP="00866EDB">
            <w:pPr>
              <w:spacing w:after="240"/>
              <w:rPr>
                <w:rFonts w:eastAsia="Calibri"/>
              </w:rPr>
            </w:pPr>
            <w:r>
              <w:rPr>
                <w:rFonts w:eastAsia="Calibri"/>
              </w:rPr>
              <w:t xml:space="preserve">Sponsor </w:t>
            </w:r>
            <w:r w:rsidRPr="00627CCB">
              <w:rPr>
                <w:rFonts w:eastAsia="Calibri"/>
              </w:rPr>
              <w:t>City of Burlington</w:t>
            </w:r>
            <w:r>
              <w:rPr>
                <w:rFonts w:eastAsia="Calibri"/>
              </w:rPr>
              <w:t xml:space="preserve"> Internship Program</w:t>
            </w:r>
          </w:p>
          <w:p w14:paraId="72AEFFA4" w14:textId="77777777" w:rsidR="00627CCB" w:rsidRDefault="00627CCB" w:rsidP="00866EDB">
            <w:pPr>
              <w:spacing w:after="240"/>
              <w:rPr>
                <w:rFonts w:eastAsia="Calibri"/>
              </w:rPr>
            </w:pPr>
          </w:p>
          <w:p w14:paraId="3E923429" w14:textId="77777777" w:rsidR="00627CCB" w:rsidRDefault="00627CCB" w:rsidP="00866EDB">
            <w:pPr>
              <w:spacing w:after="240"/>
              <w:rPr>
                <w:rFonts w:eastAsia="Calibri"/>
              </w:rPr>
            </w:pPr>
          </w:p>
          <w:p w14:paraId="09E7CCDC" w14:textId="77777777" w:rsidR="00627CCB" w:rsidRDefault="00627CCB" w:rsidP="00866EDB">
            <w:pPr>
              <w:spacing w:after="240"/>
              <w:rPr>
                <w:rFonts w:eastAsia="Calibri"/>
              </w:rPr>
            </w:pPr>
          </w:p>
          <w:p w14:paraId="1CAABDBC" w14:textId="77777777" w:rsidR="00627CCB" w:rsidRDefault="00627CCB" w:rsidP="00866EDB">
            <w:pPr>
              <w:spacing w:after="240"/>
              <w:rPr>
                <w:rFonts w:eastAsia="Calibri"/>
              </w:rPr>
            </w:pPr>
          </w:p>
          <w:p w14:paraId="5D3D9668" w14:textId="1D94DFB2" w:rsidR="00627CCB" w:rsidRDefault="00627CCB" w:rsidP="00866EDB">
            <w:pPr>
              <w:spacing w:after="240"/>
              <w:rPr>
                <w:rFonts w:eastAsia="Calibri"/>
              </w:rPr>
            </w:pPr>
            <w:r>
              <w:rPr>
                <w:rFonts w:eastAsia="Calibri"/>
              </w:rPr>
              <w:t>Support City of Burlington’s My Brother’s Keeper Initiative</w:t>
            </w:r>
          </w:p>
          <w:p w14:paraId="73566FA6" w14:textId="77777777" w:rsidR="00627CCB" w:rsidRDefault="00627CCB" w:rsidP="00866EDB">
            <w:pPr>
              <w:spacing w:after="240"/>
              <w:rPr>
                <w:rFonts w:eastAsia="Calibri"/>
              </w:rPr>
            </w:pPr>
          </w:p>
          <w:p w14:paraId="17664590" w14:textId="77777777" w:rsidR="00CA56ED" w:rsidRDefault="00CA56ED" w:rsidP="00866EDB">
            <w:pPr>
              <w:spacing w:after="240"/>
              <w:rPr>
                <w:rFonts w:eastAsia="Calibri"/>
              </w:rPr>
            </w:pPr>
          </w:p>
          <w:p w14:paraId="49877111" w14:textId="77777777" w:rsidR="00CA56ED" w:rsidRDefault="00CA56ED" w:rsidP="00866EDB">
            <w:pPr>
              <w:spacing w:after="240"/>
              <w:rPr>
                <w:rFonts w:eastAsia="Calibri"/>
              </w:rPr>
            </w:pPr>
          </w:p>
          <w:p w14:paraId="6C096527" w14:textId="77777777" w:rsidR="00CA56ED" w:rsidRDefault="00CA56ED" w:rsidP="00866EDB">
            <w:pPr>
              <w:spacing w:after="240"/>
              <w:rPr>
                <w:rFonts w:eastAsia="Calibri"/>
              </w:rPr>
            </w:pPr>
          </w:p>
          <w:p w14:paraId="3F8D8EC2" w14:textId="77777777" w:rsidR="00CA56ED" w:rsidRDefault="00CA56ED" w:rsidP="00866EDB">
            <w:pPr>
              <w:spacing w:after="240"/>
              <w:rPr>
                <w:rFonts w:eastAsia="Calibri"/>
              </w:rPr>
            </w:pPr>
          </w:p>
          <w:p w14:paraId="34AA79C6" w14:textId="77777777" w:rsidR="00CA56ED" w:rsidRDefault="00CA56ED" w:rsidP="00866EDB">
            <w:pPr>
              <w:spacing w:after="240"/>
              <w:rPr>
                <w:rFonts w:eastAsia="Calibri"/>
              </w:rPr>
            </w:pPr>
          </w:p>
          <w:p w14:paraId="0B0E7DD8" w14:textId="77777777" w:rsidR="00CA56ED" w:rsidRDefault="00CA56ED" w:rsidP="00866EDB">
            <w:pPr>
              <w:spacing w:after="240"/>
              <w:rPr>
                <w:rFonts w:eastAsia="Calibri"/>
              </w:rPr>
            </w:pPr>
          </w:p>
          <w:p w14:paraId="47A50BF4" w14:textId="21C87D0A" w:rsidR="00627CCB" w:rsidRDefault="00627CCB" w:rsidP="00866EDB">
            <w:pPr>
              <w:spacing w:after="240"/>
              <w:rPr>
                <w:rFonts w:eastAsia="Calibri"/>
              </w:rPr>
            </w:pPr>
            <w:r>
              <w:rPr>
                <w:rFonts w:eastAsia="Calibri"/>
              </w:rPr>
              <w:t xml:space="preserve">Build capacity for Early Learning Initiative </w:t>
            </w:r>
          </w:p>
          <w:p w14:paraId="185F124C" w14:textId="77777777" w:rsidR="00716638" w:rsidRDefault="00716638" w:rsidP="00866EDB">
            <w:pPr>
              <w:spacing w:after="240"/>
              <w:rPr>
                <w:rFonts w:eastAsia="Calibri"/>
              </w:rPr>
            </w:pPr>
          </w:p>
          <w:p w14:paraId="41CDAB6C" w14:textId="77777777" w:rsidR="00716638" w:rsidRPr="00454189" w:rsidRDefault="00716638" w:rsidP="00716638">
            <w:pPr>
              <w:spacing w:after="240"/>
              <w:rPr>
                <w:rFonts w:eastAsia="Calibri"/>
              </w:rPr>
            </w:pPr>
          </w:p>
        </w:tc>
        <w:tc>
          <w:tcPr>
            <w:tcW w:w="1399" w:type="dxa"/>
            <w:gridSpan w:val="3"/>
            <w:shd w:val="clear" w:color="auto" w:fill="auto"/>
          </w:tcPr>
          <w:p w14:paraId="0A363843" w14:textId="77777777" w:rsidR="00716638" w:rsidRDefault="00716638" w:rsidP="00866EDB">
            <w:pPr>
              <w:spacing w:after="240"/>
              <w:rPr>
                <w:rFonts w:eastAsia="Calibri"/>
                <w:sz w:val="20"/>
                <w:szCs w:val="20"/>
              </w:rPr>
            </w:pPr>
          </w:p>
          <w:p w14:paraId="2686632D" w14:textId="4F251068" w:rsidR="00716638" w:rsidRPr="0024352D" w:rsidRDefault="00716638" w:rsidP="00866EDB">
            <w:pPr>
              <w:spacing w:after="240"/>
              <w:rPr>
                <w:rFonts w:eastAsia="Calibri"/>
                <w:sz w:val="20"/>
                <w:szCs w:val="20"/>
              </w:rPr>
            </w:pPr>
            <w:r w:rsidRPr="0024352D">
              <w:rPr>
                <w:rFonts w:eastAsia="Calibri"/>
                <w:sz w:val="20"/>
                <w:szCs w:val="20"/>
              </w:rPr>
              <w:t>Location and type of units</w:t>
            </w:r>
          </w:p>
          <w:p w14:paraId="0C9787C6" w14:textId="77777777" w:rsidR="00716638" w:rsidRPr="0024352D" w:rsidRDefault="00716638" w:rsidP="00866EDB">
            <w:pPr>
              <w:spacing w:after="240"/>
              <w:rPr>
                <w:rFonts w:eastAsia="Calibri"/>
                <w:sz w:val="20"/>
                <w:szCs w:val="20"/>
              </w:rPr>
            </w:pPr>
            <w:r w:rsidRPr="0024352D">
              <w:rPr>
                <w:rFonts w:eastAsia="Calibri"/>
                <w:sz w:val="20"/>
                <w:szCs w:val="20"/>
              </w:rPr>
              <w:t>Impediments to mobility</w:t>
            </w:r>
          </w:p>
          <w:p w14:paraId="1D04F223" w14:textId="77777777" w:rsidR="00716638" w:rsidRDefault="00716638" w:rsidP="00866EDB">
            <w:pPr>
              <w:spacing w:after="240"/>
              <w:rPr>
                <w:rFonts w:eastAsia="Calibri"/>
                <w:sz w:val="20"/>
                <w:szCs w:val="20"/>
              </w:rPr>
            </w:pPr>
            <w:r w:rsidRPr="0024352D">
              <w:rPr>
                <w:rFonts w:eastAsia="Calibri"/>
                <w:sz w:val="20"/>
                <w:szCs w:val="20"/>
              </w:rPr>
              <w:lastRenderedPageBreak/>
              <w:t>Availability, type, frequents, and reliability of public transportation</w:t>
            </w:r>
          </w:p>
          <w:p w14:paraId="2C4062EA" w14:textId="61C9DDEA" w:rsidR="00C2277A" w:rsidRPr="004971C1" w:rsidRDefault="00C2277A" w:rsidP="00866EDB">
            <w:pPr>
              <w:spacing w:after="240"/>
              <w:rPr>
                <w:rFonts w:eastAsia="Calibri"/>
                <w:b/>
              </w:rPr>
            </w:pPr>
            <w:r>
              <w:rPr>
                <w:rFonts w:eastAsia="Calibri"/>
                <w:sz w:val="20"/>
                <w:szCs w:val="20"/>
              </w:rPr>
              <w:t>Community opposition</w:t>
            </w:r>
          </w:p>
        </w:tc>
        <w:tc>
          <w:tcPr>
            <w:tcW w:w="1971" w:type="dxa"/>
            <w:gridSpan w:val="2"/>
            <w:shd w:val="clear" w:color="auto" w:fill="auto"/>
          </w:tcPr>
          <w:p w14:paraId="3D1F7663" w14:textId="77777777" w:rsidR="00716638" w:rsidRDefault="00716638" w:rsidP="00866EDB">
            <w:pPr>
              <w:spacing w:after="240"/>
              <w:rPr>
                <w:rFonts w:eastAsia="Calibri"/>
              </w:rPr>
            </w:pPr>
          </w:p>
          <w:p w14:paraId="7B0D8376" w14:textId="5BF33A00" w:rsidR="00716638" w:rsidRDefault="00C2277A" w:rsidP="00866EDB">
            <w:pPr>
              <w:spacing w:after="240"/>
              <w:rPr>
                <w:rFonts w:eastAsia="Calibri"/>
              </w:rPr>
            </w:pPr>
            <w:r>
              <w:rPr>
                <w:rFonts w:eastAsia="Calibri"/>
              </w:rPr>
              <w:t>Segregation</w:t>
            </w:r>
          </w:p>
          <w:p w14:paraId="50793B5B" w14:textId="77777777" w:rsidR="00716638" w:rsidRPr="0024352D" w:rsidRDefault="00716638" w:rsidP="00866EDB">
            <w:pPr>
              <w:spacing w:after="240"/>
              <w:rPr>
                <w:rFonts w:eastAsia="Calibri"/>
              </w:rPr>
            </w:pPr>
            <w:r w:rsidRPr="0024352D">
              <w:rPr>
                <w:rFonts w:eastAsia="Calibri"/>
              </w:rPr>
              <w:lastRenderedPageBreak/>
              <w:t>Disparities to Access to Opportunities</w:t>
            </w:r>
          </w:p>
          <w:p w14:paraId="687EDCF4" w14:textId="77777777" w:rsidR="00716638" w:rsidRDefault="00716638" w:rsidP="00866EDB">
            <w:pPr>
              <w:spacing w:after="240"/>
              <w:rPr>
                <w:rFonts w:eastAsia="Calibri"/>
              </w:rPr>
            </w:pPr>
            <w:r w:rsidRPr="0024352D">
              <w:rPr>
                <w:rFonts w:eastAsia="Calibri"/>
              </w:rPr>
              <w:t>Disability and Access</w:t>
            </w:r>
          </w:p>
          <w:p w14:paraId="65EF73A0" w14:textId="77777777" w:rsidR="00716638" w:rsidRPr="00C45DD8" w:rsidRDefault="00716638" w:rsidP="00866EDB">
            <w:pPr>
              <w:spacing w:after="240"/>
              <w:rPr>
                <w:rFonts w:eastAsia="Calibri"/>
              </w:rPr>
            </w:pPr>
          </w:p>
          <w:p w14:paraId="2E33AC0D" w14:textId="77777777" w:rsidR="00716638" w:rsidRPr="004971C1" w:rsidRDefault="00716638" w:rsidP="00866EDB">
            <w:pPr>
              <w:spacing w:after="240"/>
              <w:rPr>
                <w:rFonts w:eastAsia="Calibri"/>
                <w:b/>
              </w:rPr>
            </w:pPr>
          </w:p>
        </w:tc>
        <w:tc>
          <w:tcPr>
            <w:tcW w:w="2537" w:type="dxa"/>
            <w:gridSpan w:val="4"/>
            <w:shd w:val="clear" w:color="auto" w:fill="auto"/>
          </w:tcPr>
          <w:p w14:paraId="0F5C29EB" w14:textId="77777777" w:rsidR="00716638" w:rsidRDefault="00716638" w:rsidP="00866EDB">
            <w:pPr>
              <w:spacing w:after="240"/>
              <w:rPr>
                <w:rFonts w:eastAsia="Calibri"/>
              </w:rPr>
            </w:pPr>
          </w:p>
          <w:p w14:paraId="5A5DC587" w14:textId="77777777" w:rsidR="00716638" w:rsidRDefault="00716638" w:rsidP="00866EDB">
            <w:pPr>
              <w:spacing w:after="240"/>
              <w:rPr>
                <w:rFonts w:eastAsia="Calibri"/>
              </w:rPr>
            </w:pPr>
          </w:p>
          <w:p w14:paraId="5A6FA67B" w14:textId="77777777" w:rsidR="00627CCB" w:rsidRDefault="00627CCB" w:rsidP="00866EDB">
            <w:pPr>
              <w:spacing w:after="240"/>
              <w:rPr>
                <w:rFonts w:eastAsia="Calibri"/>
              </w:rPr>
            </w:pPr>
          </w:p>
          <w:p w14:paraId="08529FBE" w14:textId="77777777" w:rsidR="00627CCB" w:rsidRDefault="00627CCB" w:rsidP="00866EDB">
            <w:pPr>
              <w:spacing w:after="240"/>
              <w:rPr>
                <w:rFonts w:eastAsia="Calibri"/>
              </w:rPr>
            </w:pPr>
          </w:p>
          <w:p w14:paraId="64C6F471" w14:textId="77777777" w:rsidR="00627CCB" w:rsidRDefault="00627CCB" w:rsidP="00866EDB">
            <w:pPr>
              <w:spacing w:after="240"/>
              <w:rPr>
                <w:rFonts w:eastAsia="Calibri"/>
              </w:rPr>
            </w:pPr>
          </w:p>
          <w:p w14:paraId="453CA186" w14:textId="1A11564B" w:rsidR="00627CCB" w:rsidRDefault="00627CCB" w:rsidP="00627CCB">
            <w:r>
              <w:t xml:space="preserve">CEDO AmeriCorps program providing 20+ diverse AmeriCorps members per year for direct service in City departments, school districts and </w:t>
            </w:r>
            <w:proofErr w:type="spellStart"/>
            <w:r>
              <w:t>non profits</w:t>
            </w:r>
            <w:proofErr w:type="spellEnd"/>
            <w:r>
              <w:t xml:space="preserve"> to support youth and community engagement. 2017-2018  </w:t>
            </w:r>
          </w:p>
          <w:p w14:paraId="324E853F" w14:textId="19C4C923" w:rsidR="00627CCB" w:rsidRDefault="00627CCB" w:rsidP="00627CCB">
            <w:r>
              <w:t>150 youth will take part in programming and showed increased school or community engagement 2017-2018</w:t>
            </w:r>
          </w:p>
          <w:p w14:paraId="2D6502E1" w14:textId="26283731" w:rsidR="00627CCB" w:rsidRDefault="00627CCB" w:rsidP="00627CCB">
            <w:r>
              <w:t>Track higher education outcomes for AmeriCorps members annually.</w:t>
            </w:r>
          </w:p>
          <w:p w14:paraId="6FDA1243" w14:textId="1CA11447" w:rsidR="00627CCB" w:rsidRDefault="00627CCB" w:rsidP="00627CCB">
            <w:r>
              <w:t>Apply for new grant 11.17.</w:t>
            </w:r>
          </w:p>
          <w:p w14:paraId="1113F221" w14:textId="420D5ABC" w:rsidR="00627CCB" w:rsidRDefault="00627CCB" w:rsidP="00627CCB">
            <w:r>
              <w:t xml:space="preserve">  </w:t>
            </w:r>
          </w:p>
          <w:p w14:paraId="1F88221D" w14:textId="442794FA" w:rsidR="00627CCB" w:rsidRDefault="00627CCB" w:rsidP="00627CCB">
            <w:r>
              <w:t>Host fall internship program with focus on youth of color 10.17</w:t>
            </w:r>
          </w:p>
          <w:p w14:paraId="3D8B1AA7" w14:textId="77777777" w:rsidR="00627CCB" w:rsidRDefault="00627CCB" w:rsidP="00627CCB">
            <w:r>
              <w:t>Host summer internship program with a focus on youth of color 6.18</w:t>
            </w:r>
          </w:p>
          <w:p w14:paraId="1C8A5EB9" w14:textId="06FEA93B" w:rsidR="00627CCB" w:rsidRDefault="00627CCB" w:rsidP="00627CCB">
            <w:r>
              <w:t>Track educational outcomes of participants in internship program.</w:t>
            </w:r>
          </w:p>
          <w:p w14:paraId="2371A39A" w14:textId="77777777" w:rsidR="00627CCB" w:rsidRDefault="00627CCB" w:rsidP="00627CCB"/>
          <w:p w14:paraId="599E22E9" w14:textId="22AE27ED" w:rsidR="00627CCB" w:rsidRDefault="00627CCB" w:rsidP="00627CCB">
            <w:r>
              <w:t>Pathways to College and Career 11.17</w:t>
            </w:r>
          </w:p>
          <w:p w14:paraId="1B282D93" w14:textId="77777777" w:rsidR="00627CCB" w:rsidRDefault="00627CCB" w:rsidP="00627CCB"/>
          <w:p w14:paraId="3F7A6A0D" w14:textId="6BEB5E4D" w:rsidR="00CA56ED" w:rsidRDefault="00627CCB" w:rsidP="00627CCB">
            <w:r>
              <w:t>Youth Job Fair, Spring 2018</w:t>
            </w:r>
          </w:p>
          <w:p w14:paraId="56434951" w14:textId="77777777" w:rsidR="00CA56ED" w:rsidRDefault="00CA56ED" w:rsidP="00627CCB">
            <w:r>
              <w:lastRenderedPageBreak/>
              <w:t>Youth Leadership Council- annually for youth of color</w:t>
            </w:r>
          </w:p>
          <w:p w14:paraId="6E608509" w14:textId="34B0564C" w:rsidR="00CA56ED" w:rsidRDefault="00CA56ED" w:rsidP="00627CCB">
            <w:r>
              <w:t>Track internship and employment for youth of color annually</w:t>
            </w:r>
          </w:p>
          <w:p w14:paraId="45FE83F0" w14:textId="77777777" w:rsidR="00627CCB" w:rsidRDefault="00627CCB" w:rsidP="00866EDB">
            <w:pPr>
              <w:spacing w:after="240"/>
              <w:rPr>
                <w:rFonts w:eastAsia="Calibri"/>
              </w:rPr>
            </w:pPr>
          </w:p>
          <w:p w14:paraId="6DC1EAF8" w14:textId="77777777" w:rsidR="00CA56ED" w:rsidRDefault="00CA56ED" w:rsidP="00CA56ED">
            <w:pPr>
              <w:spacing w:after="240"/>
              <w:rPr>
                <w:rFonts w:eastAsia="Calibri"/>
              </w:rPr>
            </w:pPr>
            <w:r>
              <w:rPr>
                <w:rFonts w:eastAsia="Calibri"/>
              </w:rPr>
              <w:t>Request for proposals 9.17</w:t>
            </w:r>
          </w:p>
          <w:p w14:paraId="04DF4BCD" w14:textId="59CA05CA" w:rsidR="00CA56ED" w:rsidRPr="00CA56ED" w:rsidRDefault="00CA56ED" w:rsidP="00CA56ED">
            <w:pPr>
              <w:spacing w:after="240"/>
              <w:rPr>
                <w:rFonts w:eastAsia="Calibri"/>
              </w:rPr>
            </w:pPr>
            <w:r>
              <w:rPr>
                <w:rFonts w:ascii="Cambria" w:hAnsi="Cambria"/>
              </w:rPr>
              <w:t xml:space="preserve">Grant </w:t>
            </w:r>
            <w:r w:rsidRPr="00CA56ED">
              <w:rPr>
                <w:rFonts w:ascii="Cambria" w:hAnsi="Cambria"/>
              </w:rPr>
              <w:t>Competition Begins</w:t>
            </w:r>
            <w:r>
              <w:rPr>
                <w:rFonts w:ascii="Cambria" w:hAnsi="Cambria"/>
              </w:rPr>
              <w:t xml:space="preserve"> 10.17</w:t>
            </w:r>
          </w:p>
          <w:p w14:paraId="1374F2B4" w14:textId="77777777" w:rsidR="00CA56ED" w:rsidRDefault="00CA56ED" w:rsidP="00CA56ED">
            <w:pPr>
              <w:spacing w:after="0" w:line="240" w:lineRule="auto"/>
              <w:rPr>
                <w:rFonts w:ascii="Cambria" w:hAnsi="Cambria"/>
              </w:rPr>
            </w:pPr>
            <w:r w:rsidRPr="00CA56ED">
              <w:rPr>
                <w:rFonts w:ascii="Cambria" w:hAnsi="Cambria"/>
              </w:rPr>
              <w:t>Advisory Committee Meets</w:t>
            </w:r>
            <w:r>
              <w:rPr>
                <w:rFonts w:ascii="Cambria" w:hAnsi="Cambria"/>
              </w:rPr>
              <w:t xml:space="preserve"> 12.17</w:t>
            </w:r>
          </w:p>
          <w:p w14:paraId="07622491" w14:textId="77777777" w:rsidR="00CA56ED" w:rsidRDefault="00CA56ED" w:rsidP="00CA56ED">
            <w:pPr>
              <w:spacing w:after="0" w:line="240" w:lineRule="auto"/>
              <w:rPr>
                <w:rFonts w:ascii="Cambria" w:hAnsi="Cambria"/>
              </w:rPr>
            </w:pPr>
          </w:p>
          <w:p w14:paraId="6C6EA353" w14:textId="088F955F" w:rsidR="00CA56ED" w:rsidRDefault="00CA56ED" w:rsidP="00CA56ED">
            <w:pPr>
              <w:spacing w:after="0" w:line="240" w:lineRule="auto"/>
              <w:rPr>
                <w:rFonts w:ascii="Cambria" w:hAnsi="Cambria"/>
              </w:rPr>
            </w:pPr>
            <w:r w:rsidRPr="00CA56ED">
              <w:rPr>
                <w:rFonts w:ascii="Cambria" w:hAnsi="Cambria"/>
              </w:rPr>
              <w:t>Advisory Committee Presents Recommendations to Mayor</w:t>
            </w:r>
            <w:r>
              <w:rPr>
                <w:rFonts w:ascii="Cambria" w:hAnsi="Cambria"/>
              </w:rPr>
              <w:t xml:space="preserve"> 1.18</w:t>
            </w:r>
          </w:p>
          <w:p w14:paraId="5B2181CB" w14:textId="77777777" w:rsidR="00CA56ED" w:rsidRPr="00CA56ED" w:rsidRDefault="00CA56ED" w:rsidP="00CA56ED">
            <w:pPr>
              <w:spacing w:after="0" w:line="240" w:lineRule="auto"/>
              <w:rPr>
                <w:rFonts w:ascii="Cambria" w:hAnsi="Cambria"/>
              </w:rPr>
            </w:pPr>
          </w:p>
          <w:p w14:paraId="6B7CA315" w14:textId="7BC22532" w:rsidR="00CA56ED" w:rsidRDefault="00CA56ED" w:rsidP="00CA56ED">
            <w:pPr>
              <w:spacing w:after="0" w:line="240" w:lineRule="auto"/>
              <w:rPr>
                <w:rFonts w:ascii="Cambria" w:hAnsi="Cambria"/>
              </w:rPr>
            </w:pPr>
            <w:r w:rsidRPr="00CA56ED">
              <w:rPr>
                <w:rFonts w:ascii="Cambria" w:hAnsi="Cambria"/>
              </w:rPr>
              <w:t>Mayor Proposes Slate of Grant Allocations to the City Council</w:t>
            </w:r>
            <w:r>
              <w:rPr>
                <w:rFonts w:ascii="Cambria" w:hAnsi="Cambria"/>
              </w:rPr>
              <w:t xml:space="preserve"> 2.18</w:t>
            </w:r>
          </w:p>
          <w:p w14:paraId="5D081FB0" w14:textId="77777777" w:rsidR="00CA56ED" w:rsidRDefault="00CA56ED" w:rsidP="00CA56ED">
            <w:pPr>
              <w:spacing w:after="0" w:line="240" w:lineRule="auto"/>
              <w:rPr>
                <w:rFonts w:ascii="Cambria" w:hAnsi="Cambria"/>
              </w:rPr>
            </w:pPr>
          </w:p>
          <w:p w14:paraId="7876B531" w14:textId="77777777" w:rsidR="00CA56ED" w:rsidRDefault="00CA56ED" w:rsidP="00CA56ED">
            <w:pPr>
              <w:spacing w:after="0" w:line="240" w:lineRule="auto"/>
              <w:rPr>
                <w:rFonts w:ascii="Cambria" w:hAnsi="Cambria"/>
              </w:rPr>
            </w:pPr>
            <w:r>
              <w:rPr>
                <w:rFonts w:ascii="Cambria" w:hAnsi="Cambria"/>
              </w:rPr>
              <w:t>Capacity Grants under contract and begin to assist agencies 3.18</w:t>
            </w:r>
          </w:p>
          <w:p w14:paraId="7D120F7C" w14:textId="77777777" w:rsidR="00CA56ED" w:rsidRDefault="00CA56ED" w:rsidP="00CA56ED">
            <w:pPr>
              <w:spacing w:after="0" w:line="240" w:lineRule="auto"/>
              <w:rPr>
                <w:rFonts w:ascii="Cambria" w:hAnsi="Cambria"/>
              </w:rPr>
            </w:pPr>
          </w:p>
          <w:p w14:paraId="5D50639E" w14:textId="700A96BD" w:rsidR="00CA56ED" w:rsidRPr="00CA56ED" w:rsidRDefault="00CA56ED" w:rsidP="00CA56ED">
            <w:pPr>
              <w:spacing w:after="0" w:line="240" w:lineRule="auto"/>
              <w:rPr>
                <w:rFonts w:ascii="Cambria" w:hAnsi="Cambria"/>
              </w:rPr>
            </w:pPr>
            <w:r>
              <w:rPr>
                <w:rFonts w:ascii="Cambria" w:hAnsi="Cambria"/>
              </w:rPr>
              <w:t>Track outcomes 3.19</w:t>
            </w:r>
          </w:p>
          <w:p w14:paraId="096A5972" w14:textId="50F761C3" w:rsidR="00CA56ED" w:rsidRPr="0055757D" w:rsidRDefault="00CA56ED" w:rsidP="00866EDB">
            <w:pPr>
              <w:spacing w:after="240"/>
              <w:rPr>
                <w:rFonts w:eastAsia="Calibri"/>
              </w:rPr>
            </w:pPr>
          </w:p>
        </w:tc>
        <w:tc>
          <w:tcPr>
            <w:tcW w:w="1843" w:type="dxa"/>
            <w:gridSpan w:val="3"/>
            <w:shd w:val="clear" w:color="auto" w:fill="auto"/>
          </w:tcPr>
          <w:p w14:paraId="4FF618A5" w14:textId="77777777" w:rsidR="00716638" w:rsidRDefault="00716638" w:rsidP="00866EDB">
            <w:pPr>
              <w:spacing w:after="240"/>
              <w:rPr>
                <w:rFonts w:eastAsia="Calibri"/>
                <w:b/>
              </w:rPr>
            </w:pPr>
          </w:p>
          <w:p w14:paraId="3F4D6E7C" w14:textId="77777777" w:rsidR="00627CCB" w:rsidRDefault="00627CCB" w:rsidP="00866EDB">
            <w:pPr>
              <w:spacing w:after="240"/>
              <w:rPr>
                <w:rFonts w:eastAsia="Calibri"/>
                <w:b/>
              </w:rPr>
            </w:pPr>
          </w:p>
          <w:p w14:paraId="18945A2D" w14:textId="77777777" w:rsidR="00627CCB" w:rsidRDefault="00627CCB" w:rsidP="00866EDB">
            <w:pPr>
              <w:spacing w:after="240"/>
              <w:rPr>
                <w:rFonts w:eastAsia="Calibri"/>
                <w:b/>
              </w:rPr>
            </w:pPr>
          </w:p>
          <w:p w14:paraId="0E541CA2" w14:textId="77777777" w:rsidR="00627CCB" w:rsidRDefault="00627CCB" w:rsidP="00866EDB">
            <w:pPr>
              <w:spacing w:after="240"/>
              <w:rPr>
                <w:rFonts w:eastAsia="Calibri"/>
                <w:b/>
              </w:rPr>
            </w:pPr>
          </w:p>
          <w:p w14:paraId="4BDB33BD" w14:textId="77777777" w:rsidR="00627CCB" w:rsidRDefault="00627CCB" w:rsidP="00866EDB">
            <w:pPr>
              <w:spacing w:after="240"/>
              <w:rPr>
                <w:rFonts w:eastAsia="Calibri"/>
                <w:b/>
              </w:rPr>
            </w:pPr>
          </w:p>
          <w:p w14:paraId="2F1C4E8E" w14:textId="77777777" w:rsidR="00716638" w:rsidRDefault="00716638" w:rsidP="00866EDB">
            <w:pPr>
              <w:spacing w:after="240"/>
              <w:rPr>
                <w:rFonts w:eastAsia="Calibri"/>
                <w:b/>
              </w:rPr>
            </w:pPr>
            <w:r>
              <w:rPr>
                <w:rFonts w:eastAsia="Calibri"/>
                <w:b/>
              </w:rPr>
              <w:t>CEDO</w:t>
            </w:r>
          </w:p>
          <w:p w14:paraId="6BFE648A" w14:textId="77777777" w:rsidR="00716638" w:rsidRDefault="00716638" w:rsidP="00866EDB">
            <w:pPr>
              <w:spacing w:after="240"/>
              <w:rPr>
                <w:rFonts w:eastAsia="Calibri"/>
                <w:b/>
              </w:rPr>
            </w:pPr>
          </w:p>
          <w:p w14:paraId="196402DD" w14:textId="77777777" w:rsidR="00716638" w:rsidRDefault="00716638" w:rsidP="00866EDB">
            <w:pPr>
              <w:spacing w:after="240"/>
              <w:rPr>
                <w:rFonts w:eastAsia="Calibri"/>
                <w:b/>
              </w:rPr>
            </w:pPr>
          </w:p>
          <w:p w14:paraId="2CCE8E29" w14:textId="77777777" w:rsidR="00716638" w:rsidRDefault="00716638" w:rsidP="00866EDB">
            <w:pPr>
              <w:spacing w:after="240"/>
              <w:rPr>
                <w:rFonts w:eastAsia="Calibri"/>
                <w:b/>
              </w:rPr>
            </w:pPr>
          </w:p>
          <w:p w14:paraId="0B308560" w14:textId="77777777" w:rsidR="00716638" w:rsidRDefault="00716638" w:rsidP="00866EDB">
            <w:pPr>
              <w:spacing w:after="240"/>
              <w:rPr>
                <w:rFonts w:eastAsia="Calibri"/>
                <w:b/>
              </w:rPr>
            </w:pPr>
          </w:p>
          <w:p w14:paraId="5F797C7B" w14:textId="6A93B32B" w:rsidR="00716638" w:rsidRDefault="00716638" w:rsidP="00866EDB">
            <w:pPr>
              <w:spacing w:after="240"/>
              <w:rPr>
                <w:rFonts w:eastAsia="Calibri"/>
                <w:b/>
              </w:rPr>
            </w:pPr>
          </w:p>
          <w:p w14:paraId="52A954E5" w14:textId="77777777" w:rsidR="00716638" w:rsidRDefault="00716638" w:rsidP="00866EDB">
            <w:pPr>
              <w:spacing w:after="240"/>
              <w:rPr>
                <w:rFonts w:eastAsia="Calibri"/>
                <w:b/>
              </w:rPr>
            </w:pPr>
          </w:p>
          <w:p w14:paraId="452AC9B4" w14:textId="77777777" w:rsidR="00716638" w:rsidRDefault="00716638" w:rsidP="00866EDB">
            <w:pPr>
              <w:spacing w:after="240"/>
              <w:rPr>
                <w:rFonts w:eastAsia="Calibri"/>
                <w:b/>
              </w:rPr>
            </w:pPr>
          </w:p>
          <w:p w14:paraId="1588E98A" w14:textId="335CBF0A" w:rsidR="00716638" w:rsidRDefault="00716638" w:rsidP="00866EDB">
            <w:pPr>
              <w:spacing w:after="240"/>
              <w:rPr>
                <w:rFonts w:eastAsia="Calibri"/>
                <w:b/>
              </w:rPr>
            </w:pPr>
          </w:p>
          <w:p w14:paraId="4074233B" w14:textId="77777777" w:rsidR="00716638" w:rsidRDefault="00716638" w:rsidP="00866EDB">
            <w:pPr>
              <w:spacing w:after="240"/>
              <w:rPr>
                <w:rFonts w:eastAsia="Calibri"/>
                <w:b/>
              </w:rPr>
            </w:pPr>
          </w:p>
          <w:p w14:paraId="42786EF1" w14:textId="77777777" w:rsidR="00716638" w:rsidRDefault="00716638" w:rsidP="00866EDB">
            <w:pPr>
              <w:spacing w:after="240"/>
              <w:rPr>
                <w:rFonts w:eastAsia="Calibri"/>
                <w:b/>
              </w:rPr>
            </w:pPr>
          </w:p>
          <w:p w14:paraId="2144EB98" w14:textId="77777777" w:rsidR="00716638" w:rsidRDefault="00716638" w:rsidP="00866EDB">
            <w:pPr>
              <w:spacing w:after="240"/>
              <w:rPr>
                <w:rFonts w:eastAsia="Calibri"/>
                <w:b/>
              </w:rPr>
            </w:pPr>
          </w:p>
          <w:p w14:paraId="6C0EEA1A" w14:textId="77777777" w:rsidR="00716638" w:rsidRDefault="00716638" w:rsidP="00866EDB">
            <w:pPr>
              <w:spacing w:after="240"/>
              <w:rPr>
                <w:rFonts w:eastAsia="Calibri"/>
                <w:b/>
              </w:rPr>
            </w:pPr>
          </w:p>
          <w:p w14:paraId="1337D704" w14:textId="77777777" w:rsidR="00716638" w:rsidRDefault="00716638" w:rsidP="00866EDB">
            <w:pPr>
              <w:spacing w:after="240"/>
              <w:rPr>
                <w:rFonts w:eastAsia="Calibri"/>
                <w:b/>
              </w:rPr>
            </w:pPr>
          </w:p>
          <w:p w14:paraId="604079C3" w14:textId="77777777" w:rsidR="00716638" w:rsidRDefault="00716638" w:rsidP="00866EDB">
            <w:pPr>
              <w:spacing w:after="240"/>
              <w:rPr>
                <w:rFonts w:eastAsia="Calibri"/>
                <w:b/>
              </w:rPr>
            </w:pPr>
            <w:r>
              <w:rPr>
                <w:rFonts w:eastAsia="Calibri"/>
                <w:b/>
              </w:rPr>
              <w:t>CEDO</w:t>
            </w:r>
          </w:p>
          <w:p w14:paraId="248C085B" w14:textId="77777777" w:rsidR="00716638" w:rsidRDefault="00716638" w:rsidP="00866EDB">
            <w:pPr>
              <w:spacing w:after="240"/>
              <w:rPr>
                <w:rFonts w:eastAsia="Calibri"/>
                <w:b/>
              </w:rPr>
            </w:pPr>
          </w:p>
          <w:p w14:paraId="2B294EB8" w14:textId="77777777" w:rsidR="00716638" w:rsidRDefault="00716638" w:rsidP="00866EDB">
            <w:pPr>
              <w:spacing w:after="240"/>
              <w:rPr>
                <w:rFonts w:eastAsia="Calibri"/>
                <w:b/>
              </w:rPr>
            </w:pPr>
          </w:p>
          <w:p w14:paraId="6ABDC381" w14:textId="77777777" w:rsidR="00716638" w:rsidRDefault="00716638" w:rsidP="00866EDB">
            <w:pPr>
              <w:spacing w:after="240"/>
              <w:rPr>
                <w:rFonts w:eastAsia="Calibri"/>
                <w:b/>
              </w:rPr>
            </w:pPr>
          </w:p>
          <w:p w14:paraId="0D0223D4" w14:textId="77777777" w:rsidR="00716638" w:rsidRDefault="00716638" w:rsidP="00866EDB">
            <w:pPr>
              <w:spacing w:after="240"/>
              <w:rPr>
                <w:rFonts w:eastAsia="Calibri"/>
                <w:b/>
              </w:rPr>
            </w:pPr>
          </w:p>
          <w:p w14:paraId="26252813" w14:textId="77777777" w:rsidR="00716638" w:rsidRDefault="00716638" w:rsidP="00866EDB">
            <w:pPr>
              <w:spacing w:after="240"/>
              <w:rPr>
                <w:rFonts w:eastAsia="Calibri"/>
                <w:b/>
              </w:rPr>
            </w:pPr>
          </w:p>
          <w:p w14:paraId="7A7F333F" w14:textId="0E3E7C6D" w:rsidR="00716638" w:rsidRDefault="00716638" w:rsidP="00866EDB">
            <w:pPr>
              <w:spacing w:after="240"/>
              <w:rPr>
                <w:rFonts w:eastAsia="Calibri"/>
                <w:b/>
              </w:rPr>
            </w:pPr>
            <w:r>
              <w:rPr>
                <w:rFonts w:eastAsia="Calibri"/>
                <w:b/>
              </w:rPr>
              <w:t>CEDO</w:t>
            </w:r>
            <w:r w:rsidR="00627CCB">
              <w:rPr>
                <w:rFonts w:eastAsia="Calibri"/>
                <w:b/>
              </w:rPr>
              <w:t>/Champlain College</w:t>
            </w:r>
          </w:p>
          <w:p w14:paraId="7CDDE9A0" w14:textId="0E382676" w:rsidR="00716638" w:rsidRDefault="00716638" w:rsidP="00866EDB">
            <w:pPr>
              <w:spacing w:after="240"/>
              <w:rPr>
                <w:rFonts w:eastAsia="Calibri"/>
                <w:b/>
              </w:rPr>
            </w:pPr>
          </w:p>
          <w:p w14:paraId="68589523" w14:textId="423B55D1" w:rsidR="00716638" w:rsidRDefault="00627CCB" w:rsidP="00866EDB">
            <w:pPr>
              <w:spacing w:after="240"/>
              <w:rPr>
                <w:rFonts w:eastAsia="Calibri"/>
                <w:b/>
              </w:rPr>
            </w:pPr>
            <w:r>
              <w:rPr>
                <w:rFonts w:eastAsia="Calibri"/>
                <w:b/>
              </w:rPr>
              <w:lastRenderedPageBreak/>
              <w:t>CEDO/Dept. of Labor/Burlington School District</w:t>
            </w:r>
          </w:p>
          <w:p w14:paraId="295E3CDA" w14:textId="77777777" w:rsidR="00716638" w:rsidRDefault="00716638" w:rsidP="00866EDB">
            <w:pPr>
              <w:spacing w:after="240"/>
              <w:rPr>
                <w:rFonts w:eastAsia="Calibri"/>
                <w:b/>
              </w:rPr>
            </w:pPr>
          </w:p>
          <w:p w14:paraId="1F514892" w14:textId="77777777" w:rsidR="00716638" w:rsidRDefault="00716638" w:rsidP="00866EDB">
            <w:pPr>
              <w:spacing w:after="240"/>
              <w:rPr>
                <w:rFonts w:eastAsia="Calibri"/>
                <w:b/>
              </w:rPr>
            </w:pPr>
          </w:p>
          <w:p w14:paraId="0C59C68F" w14:textId="77777777" w:rsidR="00716638" w:rsidRDefault="00716638" w:rsidP="00866EDB">
            <w:pPr>
              <w:spacing w:after="240"/>
              <w:rPr>
                <w:rFonts w:eastAsia="Calibri"/>
                <w:b/>
              </w:rPr>
            </w:pPr>
          </w:p>
          <w:p w14:paraId="6B23144B" w14:textId="77777777" w:rsidR="00716638" w:rsidRDefault="00716638" w:rsidP="00866EDB">
            <w:pPr>
              <w:spacing w:after="240"/>
              <w:rPr>
                <w:rFonts w:eastAsia="Calibri"/>
                <w:b/>
              </w:rPr>
            </w:pPr>
          </w:p>
          <w:p w14:paraId="6145B18A" w14:textId="77777777" w:rsidR="00CA56ED" w:rsidRDefault="00CA56ED" w:rsidP="00866EDB">
            <w:pPr>
              <w:spacing w:after="240"/>
              <w:rPr>
                <w:rFonts w:eastAsia="Calibri"/>
                <w:b/>
              </w:rPr>
            </w:pPr>
          </w:p>
          <w:p w14:paraId="3BCE71DD" w14:textId="77777777" w:rsidR="00716638" w:rsidRDefault="00716638" w:rsidP="00866EDB">
            <w:pPr>
              <w:spacing w:after="240"/>
              <w:rPr>
                <w:rFonts w:eastAsia="Calibri"/>
                <w:b/>
              </w:rPr>
            </w:pPr>
            <w:r>
              <w:rPr>
                <w:rFonts w:eastAsia="Calibri"/>
                <w:b/>
              </w:rPr>
              <w:t>CEDO</w:t>
            </w:r>
          </w:p>
          <w:p w14:paraId="79F3056C" w14:textId="77777777" w:rsidR="00716638" w:rsidRDefault="00716638" w:rsidP="00866EDB">
            <w:pPr>
              <w:spacing w:after="240"/>
              <w:rPr>
                <w:rFonts w:eastAsia="Calibri"/>
                <w:b/>
              </w:rPr>
            </w:pPr>
          </w:p>
          <w:p w14:paraId="7B23EDC7" w14:textId="57C5ACF7" w:rsidR="00716638" w:rsidRDefault="00CA56ED" w:rsidP="00866EDB">
            <w:pPr>
              <w:spacing w:after="240"/>
              <w:rPr>
                <w:rFonts w:eastAsia="Calibri"/>
                <w:b/>
              </w:rPr>
            </w:pPr>
            <w:r>
              <w:rPr>
                <w:rFonts w:eastAsia="Calibri"/>
                <w:b/>
              </w:rPr>
              <w:t>Selected partner</w:t>
            </w:r>
          </w:p>
          <w:p w14:paraId="2C65DAB6" w14:textId="77777777" w:rsidR="00716638" w:rsidRDefault="00716638" w:rsidP="00866EDB">
            <w:pPr>
              <w:spacing w:after="240"/>
              <w:rPr>
                <w:rFonts w:eastAsia="Calibri"/>
                <w:b/>
              </w:rPr>
            </w:pPr>
          </w:p>
          <w:p w14:paraId="5A8455DA" w14:textId="77777777" w:rsidR="00716638" w:rsidRDefault="00716638" w:rsidP="00866EDB">
            <w:pPr>
              <w:spacing w:after="240"/>
              <w:rPr>
                <w:rFonts w:eastAsia="Calibri"/>
                <w:b/>
              </w:rPr>
            </w:pPr>
          </w:p>
          <w:p w14:paraId="21DE6EF4" w14:textId="77777777" w:rsidR="00716638" w:rsidRDefault="00716638" w:rsidP="00866EDB">
            <w:pPr>
              <w:spacing w:after="240"/>
              <w:rPr>
                <w:rFonts w:eastAsia="Calibri"/>
                <w:b/>
              </w:rPr>
            </w:pPr>
          </w:p>
          <w:p w14:paraId="4D2089E8" w14:textId="77777777" w:rsidR="00716638" w:rsidRDefault="00716638" w:rsidP="00866EDB">
            <w:pPr>
              <w:spacing w:after="240"/>
              <w:rPr>
                <w:rFonts w:eastAsia="Calibri"/>
                <w:b/>
              </w:rPr>
            </w:pPr>
          </w:p>
          <w:p w14:paraId="745757F4" w14:textId="77777777" w:rsidR="00716638" w:rsidRDefault="00716638" w:rsidP="00866EDB">
            <w:pPr>
              <w:spacing w:after="240"/>
              <w:rPr>
                <w:rFonts w:eastAsia="Calibri"/>
                <w:b/>
              </w:rPr>
            </w:pPr>
          </w:p>
          <w:p w14:paraId="55D62134" w14:textId="77777777" w:rsidR="00716638" w:rsidRDefault="00716638" w:rsidP="00866EDB">
            <w:pPr>
              <w:spacing w:after="240"/>
              <w:rPr>
                <w:rFonts w:eastAsia="Calibri"/>
                <w:b/>
              </w:rPr>
            </w:pPr>
          </w:p>
          <w:p w14:paraId="12C4A195" w14:textId="49B8F617" w:rsidR="00716638" w:rsidRPr="004971C1" w:rsidRDefault="00716638" w:rsidP="00866EDB">
            <w:pPr>
              <w:spacing w:after="240"/>
              <w:rPr>
                <w:rFonts w:eastAsia="Calibri"/>
                <w:b/>
              </w:rPr>
            </w:pPr>
          </w:p>
        </w:tc>
      </w:tr>
      <w:tr w:rsidR="003E54AC" w:rsidRPr="004971C1" w14:paraId="1C3249BB" w14:textId="77777777" w:rsidTr="001B39A6">
        <w:tc>
          <w:tcPr>
            <w:tcW w:w="9586" w:type="dxa"/>
            <w:gridSpan w:val="14"/>
            <w:shd w:val="clear" w:color="auto" w:fill="auto"/>
          </w:tcPr>
          <w:p w14:paraId="6999334B" w14:textId="09BAAF24" w:rsidR="003E54AC" w:rsidRPr="001B39A6" w:rsidRDefault="003E54AC" w:rsidP="001B39A6">
            <w:r w:rsidRPr="001B39A6">
              <w:rPr>
                <w:rFonts w:eastAsia="Calibri"/>
                <w:b/>
                <w:bCs/>
              </w:rPr>
              <w:lastRenderedPageBreak/>
              <w:t xml:space="preserve">Discussion: </w:t>
            </w:r>
            <w:r w:rsidRPr="00890D56">
              <w:rPr>
                <w:rFonts w:eastAsia="Calibri"/>
                <w:bCs/>
              </w:rPr>
              <w:t xml:space="preserve">Programs that increase educational opportunities for youth of color and other protected classes improve access to opportunities, integration and provide a pathway out of poverty. </w:t>
            </w:r>
            <w:r w:rsidRPr="00890D56">
              <w:t xml:space="preserve">Since May 2016 the City of Burlington has undertaken a My </w:t>
            </w:r>
            <w:proofErr w:type="spellStart"/>
            <w:r w:rsidRPr="00890D56">
              <w:t>Brothers</w:t>
            </w:r>
            <w:proofErr w:type="spellEnd"/>
            <w:r w:rsidRPr="00890D56">
              <w:t xml:space="preserve"> Keeper Initiative to provide supports to closing opportunity gaps and pathways to success for youth of color and other underserved youth in the City.  The CEDO AmeriCorps program has developed over the years to provide opportunities for underserved community members to gain experience for employability and earn education awards that will be used to pay for e</w:t>
            </w:r>
            <w:r w:rsidR="001B39A6" w:rsidRPr="00890D56">
              <w:t>ducation.</w:t>
            </w:r>
            <w:r w:rsidRPr="00890D56">
              <w:t xml:space="preserve"> Additionally AmeriCorps members in the City have supported youth leadership and employability training that last year</w:t>
            </w:r>
            <w:r w:rsidR="001B39A6" w:rsidRPr="00890D56">
              <w:t xml:space="preserve"> led to Summer employment for youth of color / under</w:t>
            </w:r>
            <w:r w:rsidRPr="00890D56">
              <w:t>served youth.</w:t>
            </w:r>
            <w:r w:rsidR="001B39A6" w:rsidRPr="00890D56">
              <w:t xml:space="preserve"> The City Hall Internship Program was created to support youth engagement and advancement in professional development. Internships allow youth to real life hands on learning experience and expose young people to professional mentors to help them gain success and knowledge about careers. Since the City Hall Internship Program started 4 years ago, this meaningful program has </w:t>
            </w:r>
            <w:r w:rsidR="001B39A6" w:rsidRPr="00890D56">
              <w:lastRenderedPageBreak/>
              <w:t>supported 129 intern participants from diverse backgrounds to valuable professional public service experience and exposure.</w:t>
            </w:r>
          </w:p>
          <w:p w14:paraId="3551BFA7" w14:textId="77777777" w:rsidR="003E54AC" w:rsidRPr="004971C1" w:rsidRDefault="003E54AC" w:rsidP="00866EDB">
            <w:pPr>
              <w:spacing w:after="0" w:line="240" w:lineRule="auto"/>
              <w:rPr>
                <w:rFonts w:eastAsia="Calibri"/>
                <w:b/>
              </w:rPr>
            </w:pPr>
          </w:p>
        </w:tc>
      </w:tr>
      <w:tr w:rsidR="001B39A6" w:rsidRPr="004971C1" w14:paraId="2C6EDC9A" w14:textId="77777777" w:rsidTr="001B39A6">
        <w:trPr>
          <w:gridAfter w:val="1"/>
          <w:wAfter w:w="236" w:type="dxa"/>
        </w:trPr>
        <w:tc>
          <w:tcPr>
            <w:tcW w:w="1558" w:type="dxa"/>
            <w:shd w:val="clear" w:color="auto" w:fill="auto"/>
            <w:vAlign w:val="center"/>
          </w:tcPr>
          <w:p w14:paraId="5C95A268" w14:textId="77777777" w:rsidR="001B39A6" w:rsidRPr="004971C1" w:rsidRDefault="001B39A6" w:rsidP="00866EDB">
            <w:pPr>
              <w:spacing w:after="240"/>
              <w:jc w:val="center"/>
              <w:rPr>
                <w:rFonts w:eastAsia="Calibri"/>
                <w:b/>
                <w:bCs/>
                <w:u w:val="single"/>
              </w:rPr>
            </w:pPr>
            <w:r w:rsidRPr="5F884969">
              <w:rPr>
                <w:rFonts w:eastAsia="Calibri"/>
                <w:b/>
                <w:bCs/>
                <w:u w:val="single"/>
              </w:rPr>
              <w:lastRenderedPageBreak/>
              <w:t>Goal</w:t>
            </w:r>
          </w:p>
        </w:tc>
        <w:tc>
          <w:tcPr>
            <w:tcW w:w="1567" w:type="dxa"/>
            <w:gridSpan w:val="3"/>
            <w:shd w:val="clear" w:color="auto" w:fill="auto"/>
            <w:vAlign w:val="center"/>
          </w:tcPr>
          <w:p w14:paraId="738448A5" w14:textId="77777777" w:rsidR="001B39A6" w:rsidRPr="004971C1" w:rsidRDefault="001B39A6" w:rsidP="00866EDB">
            <w:pPr>
              <w:spacing w:after="240"/>
              <w:jc w:val="center"/>
              <w:rPr>
                <w:rFonts w:eastAsia="Calibri"/>
                <w:b/>
                <w:bCs/>
                <w:u w:val="single"/>
              </w:rPr>
            </w:pPr>
            <w:r w:rsidRPr="5F884969">
              <w:rPr>
                <w:rFonts w:eastAsia="Calibri"/>
                <w:b/>
                <w:bCs/>
                <w:u w:val="single"/>
              </w:rPr>
              <w:t>Contributing Factors</w:t>
            </w:r>
          </w:p>
        </w:tc>
        <w:tc>
          <w:tcPr>
            <w:tcW w:w="2376" w:type="dxa"/>
            <w:gridSpan w:val="5"/>
            <w:shd w:val="clear" w:color="auto" w:fill="auto"/>
            <w:vAlign w:val="center"/>
          </w:tcPr>
          <w:p w14:paraId="34E3CC1E" w14:textId="77777777" w:rsidR="001B39A6" w:rsidRPr="004971C1" w:rsidRDefault="001B39A6" w:rsidP="00866EDB">
            <w:pPr>
              <w:spacing w:after="240"/>
              <w:jc w:val="center"/>
              <w:rPr>
                <w:rFonts w:eastAsia="Calibri"/>
                <w:b/>
                <w:bCs/>
                <w:u w:val="single"/>
              </w:rPr>
            </w:pPr>
            <w:r w:rsidRPr="5F884969">
              <w:rPr>
                <w:rFonts w:eastAsia="Calibri"/>
                <w:b/>
                <w:bCs/>
                <w:u w:val="single"/>
              </w:rPr>
              <w:t>Fair Housing Issues</w:t>
            </w:r>
          </w:p>
        </w:tc>
        <w:tc>
          <w:tcPr>
            <w:tcW w:w="2334" w:type="dxa"/>
            <w:gridSpan w:val="3"/>
            <w:shd w:val="clear" w:color="auto" w:fill="auto"/>
          </w:tcPr>
          <w:p w14:paraId="221A5D36" w14:textId="77777777" w:rsidR="001B39A6" w:rsidRPr="004971C1" w:rsidRDefault="001B39A6" w:rsidP="00866EDB">
            <w:pPr>
              <w:spacing w:after="240"/>
              <w:jc w:val="center"/>
              <w:rPr>
                <w:rFonts w:eastAsia="Calibri"/>
                <w:b/>
                <w:bCs/>
                <w:u w:val="single"/>
              </w:rPr>
            </w:pPr>
            <w:r w:rsidRPr="5F884969">
              <w:rPr>
                <w:rFonts w:eastAsia="Calibri"/>
                <w:b/>
                <w:bCs/>
                <w:u w:val="single"/>
              </w:rPr>
              <w:t>Metrics, Milestones, and Timeframe for Achievement</w:t>
            </w:r>
          </w:p>
        </w:tc>
        <w:tc>
          <w:tcPr>
            <w:tcW w:w="1515" w:type="dxa"/>
            <w:shd w:val="clear" w:color="auto" w:fill="auto"/>
            <w:vAlign w:val="center"/>
          </w:tcPr>
          <w:p w14:paraId="6876B0F0" w14:textId="77777777" w:rsidR="001B39A6" w:rsidRPr="004971C1" w:rsidRDefault="001B39A6" w:rsidP="00866EDB">
            <w:pPr>
              <w:spacing w:after="240"/>
              <w:jc w:val="center"/>
              <w:rPr>
                <w:rFonts w:eastAsia="Calibri"/>
                <w:b/>
                <w:bCs/>
                <w:u w:val="single"/>
              </w:rPr>
            </w:pPr>
            <w:r w:rsidRPr="5F884969">
              <w:rPr>
                <w:rFonts w:eastAsia="Calibri"/>
                <w:b/>
                <w:bCs/>
                <w:u w:val="single"/>
              </w:rPr>
              <w:t>Responsible Program Participant(s)</w:t>
            </w:r>
          </w:p>
        </w:tc>
      </w:tr>
      <w:tr w:rsidR="001B39A6" w:rsidRPr="004971C1" w14:paraId="2FCA5F70" w14:textId="77777777" w:rsidTr="001B39A6">
        <w:trPr>
          <w:gridAfter w:val="1"/>
          <w:wAfter w:w="236" w:type="dxa"/>
        </w:trPr>
        <w:tc>
          <w:tcPr>
            <w:tcW w:w="1558" w:type="dxa"/>
            <w:shd w:val="clear" w:color="auto" w:fill="auto"/>
          </w:tcPr>
          <w:p w14:paraId="3411CBA0" w14:textId="091023E4" w:rsidR="001B39A6" w:rsidRPr="00A21B81" w:rsidRDefault="001B39A6" w:rsidP="00866EDB">
            <w:pPr>
              <w:spacing w:after="240"/>
              <w:rPr>
                <w:rFonts w:eastAsia="Calibri"/>
                <w:b/>
              </w:rPr>
            </w:pPr>
            <w:r>
              <w:rPr>
                <w:rFonts w:eastAsia="Calibri"/>
                <w:b/>
              </w:rPr>
              <w:t>Support Fair Housing Education and</w:t>
            </w:r>
            <w:r w:rsidR="00184A18">
              <w:rPr>
                <w:rFonts w:eastAsia="Calibri"/>
                <w:b/>
              </w:rPr>
              <w:t xml:space="preserve"> Equitable</w:t>
            </w:r>
            <w:r>
              <w:rPr>
                <w:rFonts w:eastAsia="Calibri"/>
                <w:b/>
              </w:rPr>
              <w:t xml:space="preserve"> Outreach</w:t>
            </w:r>
          </w:p>
          <w:p w14:paraId="35C5B818" w14:textId="77777777" w:rsidR="001B39A6" w:rsidRDefault="001B39A6" w:rsidP="001B39A6">
            <w:pPr>
              <w:spacing w:after="240"/>
              <w:rPr>
                <w:rFonts w:eastAsia="Calibri"/>
              </w:rPr>
            </w:pPr>
          </w:p>
          <w:p w14:paraId="7D3435CD" w14:textId="77777777" w:rsidR="001B39A6" w:rsidRDefault="001B39A6" w:rsidP="001B39A6">
            <w:pPr>
              <w:spacing w:after="240"/>
              <w:rPr>
                <w:rFonts w:eastAsia="Calibri"/>
              </w:rPr>
            </w:pPr>
          </w:p>
          <w:p w14:paraId="5700F0E8" w14:textId="77777777" w:rsidR="001B39A6" w:rsidRDefault="001B39A6" w:rsidP="001B39A6">
            <w:pPr>
              <w:spacing w:after="240"/>
              <w:rPr>
                <w:rFonts w:eastAsia="Calibri"/>
              </w:rPr>
            </w:pPr>
          </w:p>
          <w:p w14:paraId="505EE78E" w14:textId="77777777" w:rsidR="001B39A6" w:rsidRDefault="001B39A6" w:rsidP="001B39A6">
            <w:pPr>
              <w:spacing w:after="240"/>
              <w:rPr>
                <w:rFonts w:eastAsia="Calibri"/>
              </w:rPr>
            </w:pPr>
            <w:r>
              <w:rPr>
                <w:rFonts w:eastAsia="Calibri"/>
              </w:rPr>
              <w:t>Support grant applications for Burlington-based HUD-funded Fair Housing Program for outreach and education</w:t>
            </w:r>
          </w:p>
          <w:p w14:paraId="63E6132B" w14:textId="77777777" w:rsidR="001B39A6" w:rsidRDefault="001B39A6" w:rsidP="001B39A6">
            <w:pPr>
              <w:spacing w:after="240"/>
              <w:rPr>
                <w:rFonts w:eastAsia="Calibri"/>
              </w:rPr>
            </w:pPr>
          </w:p>
          <w:p w14:paraId="44A44EE9" w14:textId="77777777" w:rsidR="001B39A6" w:rsidRDefault="001B39A6" w:rsidP="001B39A6">
            <w:pPr>
              <w:spacing w:after="240"/>
              <w:rPr>
                <w:rFonts w:eastAsia="Calibri"/>
              </w:rPr>
            </w:pPr>
            <w:r>
              <w:rPr>
                <w:rFonts w:eastAsia="Calibri"/>
              </w:rPr>
              <w:t>Fair Housing Group</w:t>
            </w:r>
          </w:p>
          <w:p w14:paraId="6E741CF4" w14:textId="77777777" w:rsidR="00184A18" w:rsidRDefault="00184A18" w:rsidP="001B39A6">
            <w:pPr>
              <w:spacing w:after="240"/>
              <w:rPr>
                <w:rFonts w:eastAsia="Calibri"/>
              </w:rPr>
            </w:pPr>
          </w:p>
          <w:p w14:paraId="2C228AB4" w14:textId="77777777" w:rsidR="00184A18" w:rsidRDefault="00184A18" w:rsidP="001B39A6">
            <w:pPr>
              <w:spacing w:after="240"/>
              <w:rPr>
                <w:rFonts w:eastAsia="Calibri"/>
              </w:rPr>
            </w:pPr>
          </w:p>
          <w:p w14:paraId="160420E3" w14:textId="77777777" w:rsidR="00184A18" w:rsidRDefault="00184A18" w:rsidP="001B39A6">
            <w:pPr>
              <w:spacing w:after="240"/>
              <w:rPr>
                <w:rFonts w:eastAsia="Calibri"/>
              </w:rPr>
            </w:pPr>
            <w:r>
              <w:rPr>
                <w:rFonts w:eastAsia="Calibri"/>
              </w:rPr>
              <w:t>Lead equitable outreach and engagement efforts for CEDO and provide direction/stan</w:t>
            </w:r>
            <w:r>
              <w:rPr>
                <w:rFonts w:eastAsia="Calibri"/>
              </w:rPr>
              <w:lastRenderedPageBreak/>
              <w:t>dards to other departments</w:t>
            </w:r>
          </w:p>
          <w:p w14:paraId="376E5D09" w14:textId="77777777" w:rsidR="00184A18" w:rsidRDefault="00184A18" w:rsidP="001B39A6">
            <w:pPr>
              <w:spacing w:after="240"/>
              <w:rPr>
                <w:rFonts w:eastAsia="Calibri"/>
              </w:rPr>
            </w:pPr>
          </w:p>
          <w:p w14:paraId="1FF4016E" w14:textId="77777777" w:rsidR="00184A18" w:rsidRDefault="00184A18" w:rsidP="001B39A6">
            <w:pPr>
              <w:spacing w:after="240"/>
              <w:rPr>
                <w:rFonts w:eastAsia="Calibri"/>
              </w:rPr>
            </w:pPr>
          </w:p>
          <w:p w14:paraId="6EE7A6A9" w14:textId="77777777" w:rsidR="00184A18" w:rsidRDefault="00184A18" w:rsidP="001B39A6">
            <w:pPr>
              <w:spacing w:after="240"/>
              <w:rPr>
                <w:rFonts w:eastAsia="Calibri"/>
              </w:rPr>
            </w:pPr>
          </w:p>
          <w:p w14:paraId="47F18918" w14:textId="77777777" w:rsidR="00184A18" w:rsidRDefault="00184A18" w:rsidP="001B39A6">
            <w:pPr>
              <w:spacing w:after="240"/>
              <w:rPr>
                <w:rFonts w:eastAsia="Calibri"/>
              </w:rPr>
            </w:pPr>
          </w:p>
          <w:p w14:paraId="659CC35A" w14:textId="1825468C" w:rsidR="00184A18" w:rsidRPr="004971C1" w:rsidRDefault="00184A18" w:rsidP="001B39A6">
            <w:pPr>
              <w:spacing w:after="240"/>
              <w:rPr>
                <w:rFonts w:eastAsia="Calibri"/>
                <w:b/>
              </w:rPr>
            </w:pPr>
            <w:r>
              <w:rPr>
                <w:rFonts w:eastAsia="Calibri"/>
              </w:rPr>
              <w:t>Support classes for tenants, credit improvement, etc.</w:t>
            </w:r>
          </w:p>
        </w:tc>
        <w:tc>
          <w:tcPr>
            <w:tcW w:w="1567" w:type="dxa"/>
            <w:gridSpan w:val="3"/>
            <w:shd w:val="clear" w:color="auto" w:fill="auto"/>
          </w:tcPr>
          <w:p w14:paraId="49FF4E34" w14:textId="39EC0ACF" w:rsidR="001B39A6" w:rsidRPr="00B869D5" w:rsidRDefault="001B39A6" w:rsidP="00866EDB">
            <w:pPr>
              <w:spacing w:after="240"/>
              <w:rPr>
                <w:rFonts w:eastAsia="Calibri"/>
              </w:rPr>
            </w:pPr>
            <w:r>
              <w:rPr>
                <w:rFonts w:eastAsia="Calibri"/>
              </w:rPr>
              <w:lastRenderedPageBreak/>
              <w:t>Lack of resources for fair housing agencies</w:t>
            </w:r>
          </w:p>
          <w:p w14:paraId="328E9A22" w14:textId="77777777" w:rsidR="001B39A6" w:rsidRDefault="001B39A6" w:rsidP="00866EDB">
            <w:pPr>
              <w:spacing w:after="240"/>
              <w:rPr>
                <w:rFonts w:eastAsia="Calibri"/>
              </w:rPr>
            </w:pPr>
            <w:r w:rsidRPr="00B869D5">
              <w:rPr>
                <w:rFonts w:eastAsia="Calibri"/>
              </w:rPr>
              <w:t>Private discrimination</w:t>
            </w:r>
          </w:p>
          <w:p w14:paraId="69151FEB" w14:textId="77777777" w:rsidR="001B39A6" w:rsidRDefault="001B39A6" w:rsidP="00866EDB">
            <w:pPr>
              <w:spacing w:after="240"/>
              <w:rPr>
                <w:rFonts w:eastAsia="Calibri"/>
              </w:rPr>
            </w:pPr>
            <w:r>
              <w:rPr>
                <w:rFonts w:eastAsia="Calibri"/>
              </w:rPr>
              <w:t>Need for expanded policies for inclusion</w:t>
            </w:r>
          </w:p>
          <w:p w14:paraId="6267FA0E" w14:textId="03E75207" w:rsidR="00184A18" w:rsidRPr="00B869D5" w:rsidRDefault="00184A18" w:rsidP="00866EDB">
            <w:pPr>
              <w:spacing w:after="240"/>
              <w:rPr>
                <w:rFonts w:eastAsia="Calibri"/>
              </w:rPr>
            </w:pPr>
            <w:r>
              <w:rPr>
                <w:rFonts w:eastAsia="Calibri"/>
              </w:rPr>
              <w:t>Community Oppos</w:t>
            </w:r>
            <w:r w:rsidR="00913E87">
              <w:rPr>
                <w:rFonts w:eastAsia="Calibri"/>
              </w:rPr>
              <w:t>i</w:t>
            </w:r>
            <w:r>
              <w:rPr>
                <w:rFonts w:eastAsia="Calibri"/>
              </w:rPr>
              <w:t>tion</w:t>
            </w:r>
          </w:p>
        </w:tc>
        <w:tc>
          <w:tcPr>
            <w:tcW w:w="2376" w:type="dxa"/>
            <w:gridSpan w:val="5"/>
            <w:shd w:val="clear" w:color="auto" w:fill="auto"/>
          </w:tcPr>
          <w:p w14:paraId="4DD5AA39" w14:textId="77777777" w:rsidR="001B39A6" w:rsidRDefault="001B39A6" w:rsidP="00866EDB">
            <w:pPr>
              <w:spacing w:after="240"/>
              <w:rPr>
                <w:rFonts w:eastAsia="Calibri"/>
              </w:rPr>
            </w:pPr>
            <w:r>
              <w:rPr>
                <w:rFonts w:eastAsia="Calibri"/>
              </w:rPr>
              <w:t>Discrimination or violations of civil rights law or regulations</w:t>
            </w:r>
          </w:p>
          <w:p w14:paraId="18F02FEA" w14:textId="77777777" w:rsidR="00184A18" w:rsidRDefault="00184A18" w:rsidP="00866EDB">
            <w:pPr>
              <w:spacing w:after="240"/>
              <w:rPr>
                <w:rFonts w:eastAsia="Calibri"/>
              </w:rPr>
            </w:pPr>
            <w:r>
              <w:rPr>
                <w:rFonts w:eastAsia="Calibri"/>
              </w:rPr>
              <w:t>Segregation</w:t>
            </w:r>
          </w:p>
          <w:p w14:paraId="49F0CAC5" w14:textId="0FEF441F" w:rsidR="00184A18" w:rsidRPr="00B869D5" w:rsidRDefault="00184A18" w:rsidP="00866EDB">
            <w:pPr>
              <w:spacing w:after="240"/>
              <w:rPr>
                <w:rFonts w:eastAsia="Calibri"/>
              </w:rPr>
            </w:pPr>
          </w:p>
        </w:tc>
        <w:tc>
          <w:tcPr>
            <w:tcW w:w="2334" w:type="dxa"/>
            <w:gridSpan w:val="3"/>
            <w:shd w:val="clear" w:color="auto" w:fill="auto"/>
          </w:tcPr>
          <w:p w14:paraId="20D7A93E" w14:textId="77777777" w:rsidR="001B39A6" w:rsidRDefault="001B39A6" w:rsidP="00866EDB">
            <w:pPr>
              <w:spacing w:after="240"/>
              <w:rPr>
                <w:rFonts w:eastAsia="Calibri"/>
                <w:b/>
              </w:rPr>
            </w:pPr>
          </w:p>
          <w:p w14:paraId="0C84700A" w14:textId="77777777" w:rsidR="001B39A6" w:rsidRDefault="001B39A6" w:rsidP="00866EDB">
            <w:pPr>
              <w:spacing w:after="240"/>
              <w:rPr>
                <w:rFonts w:eastAsia="Calibri"/>
                <w:b/>
              </w:rPr>
            </w:pPr>
          </w:p>
          <w:p w14:paraId="4FCAF22B" w14:textId="77777777" w:rsidR="001B39A6" w:rsidRDefault="001B39A6" w:rsidP="00866EDB">
            <w:pPr>
              <w:spacing w:after="240"/>
              <w:rPr>
                <w:rFonts w:eastAsia="Calibri"/>
                <w:b/>
              </w:rPr>
            </w:pPr>
          </w:p>
          <w:p w14:paraId="37B940DA" w14:textId="77777777" w:rsidR="001B39A6" w:rsidRDefault="001B39A6" w:rsidP="00866EDB">
            <w:pPr>
              <w:spacing w:after="240"/>
              <w:rPr>
                <w:rFonts w:eastAsia="Calibri"/>
                <w:b/>
              </w:rPr>
            </w:pPr>
          </w:p>
          <w:p w14:paraId="2C2115BA" w14:textId="77777777" w:rsidR="001B39A6" w:rsidRDefault="001B39A6" w:rsidP="00866EDB">
            <w:pPr>
              <w:spacing w:after="240"/>
              <w:rPr>
                <w:rFonts w:eastAsia="Calibri"/>
              </w:rPr>
            </w:pPr>
          </w:p>
          <w:p w14:paraId="0C4B4E20" w14:textId="77777777" w:rsidR="001B39A6" w:rsidRDefault="001B39A6" w:rsidP="00866EDB">
            <w:pPr>
              <w:spacing w:after="240"/>
              <w:rPr>
                <w:rFonts w:eastAsia="Calibri"/>
              </w:rPr>
            </w:pPr>
          </w:p>
          <w:p w14:paraId="4000D507" w14:textId="77777777" w:rsidR="001B39A6" w:rsidRDefault="001B39A6" w:rsidP="00866EDB">
            <w:pPr>
              <w:spacing w:after="240"/>
              <w:rPr>
                <w:rFonts w:eastAsia="Calibri"/>
              </w:rPr>
            </w:pPr>
            <w:r>
              <w:rPr>
                <w:rFonts w:eastAsia="Calibri"/>
              </w:rPr>
              <w:t>Provide letter of support/match 9.17</w:t>
            </w:r>
          </w:p>
          <w:p w14:paraId="7AF9383E" w14:textId="77777777" w:rsidR="001B39A6" w:rsidRDefault="001B39A6" w:rsidP="00866EDB">
            <w:pPr>
              <w:spacing w:after="240"/>
              <w:rPr>
                <w:rFonts w:eastAsia="Calibri"/>
              </w:rPr>
            </w:pPr>
            <w:r>
              <w:rPr>
                <w:rFonts w:eastAsia="Calibri"/>
              </w:rPr>
              <w:t>Host two outreach events/education panels with landlords and/or realtors -2018-19</w:t>
            </w:r>
          </w:p>
          <w:p w14:paraId="15CF64E8" w14:textId="77777777" w:rsidR="001B39A6" w:rsidRDefault="001B39A6" w:rsidP="00866EDB">
            <w:pPr>
              <w:spacing w:after="240"/>
              <w:rPr>
                <w:rFonts w:eastAsia="Calibri"/>
              </w:rPr>
            </w:pPr>
          </w:p>
          <w:p w14:paraId="47B5019E" w14:textId="77777777" w:rsidR="001B39A6" w:rsidRDefault="001B39A6" w:rsidP="00866EDB">
            <w:pPr>
              <w:spacing w:after="240"/>
              <w:rPr>
                <w:rFonts w:eastAsia="Calibri"/>
              </w:rPr>
            </w:pPr>
          </w:p>
          <w:p w14:paraId="6D4F5CCA" w14:textId="77777777" w:rsidR="001B39A6" w:rsidRDefault="001B39A6" w:rsidP="00866EDB">
            <w:pPr>
              <w:spacing w:after="240"/>
              <w:rPr>
                <w:rFonts w:eastAsia="Calibri"/>
              </w:rPr>
            </w:pPr>
            <w:r>
              <w:rPr>
                <w:rFonts w:eastAsia="Calibri"/>
              </w:rPr>
              <w:t>Local and state participation – on-going</w:t>
            </w:r>
          </w:p>
          <w:p w14:paraId="5A2FFA47" w14:textId="77777777" w:rsidR="001B39A6" w:rsidRDefault="001B39A6" w:rsidP="00866EDB">
            <w:pPr>
              <w:spacing w:after="240"/>
              <w:rPr>
                <w:rFonts w:eastAsia="Calibri"/>
              </w:rPr>
            </w:pPr>
          </w:p>
          <w:p w14:paraId="63AE299B" w14:textId="77777777" w:rsidR="00184A18" w:rsidRDefault="00184A18" w:rsidP="00866EDB">
            <w:pPr>
              <w:spacing w:after="240"/>
              <w:rPr>
                <w:rFonts w:eastAsia="Calibri"/>
              </w:rPr>
            </w:pPr>
            <w:r>
              <w:rPr>
                <w:rFonts w:eastAsia="Calibri"/>
              </w:rPr>
              <w:t>Complete Citizen Engagement Handbook 1.18</w:t>
            </w:r>
          </w:p>
          <w:p w14:paraId="1837F111" w14:textId="77777777" w:rsidR="00184A18" w:rsidRDefault="00184A18" w:rsidP="00866EDB">
            <w:pPr>
              <w:spacing w:after="240"/>
              <w:rPr>
                <w:rFonts w:eastAsia="Calibri"/>
              </w:rPr>
            </w:pPr>
            <w:r>
              <w:rPr>
                <w:rFonts w:eastAsia="Calibri"/>
              </w:rPr>
              <w:t xml:space="preserve">Share best practices and checklists for </w:t>
            </w:r>
            <w:r>
              <w:rPr>
                <w:rFonts w:eastAsia="Calibri"/>
              </w:rPr>
              <w:lastRenderedPageBreak/>
              <w:t>equitable engagement 2.19</w:t>
            </w:r>
          </w:p>
          <w:p w14:paraId="3E1DA3F9" w14:textId="77777777" w:rsidR="00184A18" w:rsidRDefault="00184A18" w:rsidP="00866EDB">
            <w:pPr>
              <w:spacing w:after="240"/>
              <w:rPr>
                <w:rFonts w:eastAsia="Calibri"/>
              </w:rPr>
            </w:pPr>
            <w:r>
              <w:rPr>
                <w:rFonts w:eastAsia="Calibri"/>
              </w:rPr>
              <w:t>Create materials that are easily accessible and approachable, provide translated materials as needed.</w:t>
            </w:r>
          </w:p>
          <w:p w14:paraId="12285FA7" w14:textId="77777777" w:rsidR="00184A18" w:rsidRDefault="00184A18" w:rsidP="00866EDB">
            <w:pPr>
              <w:spacing w:after="240"/>
              <w:rPr>
                <w:rFonts w:eastAsia="Calibri"/>
              </w:rPr>
            </w:pPr>
          </w:p>
          <w:p w14:paraId="31EA3521" w14:textId="77777777" w:rsidR="00184A18" w:rsidRDefault="00184A18" w:rsidP="00866EDB">
            <w:pPr>
              <w:spacing w:after="240"/>
              <w:rPr>
                <w:rFonts w:eastAsia="Calibri"/>
              </w:rPr>
            </w:pPr>
          </w:p>
          <w:p w14:paraId="2E420DF8" w14:textId="0104F3F5" w:rsidR="00184A18" w:rsidRPr="001B39A6" w:rsidRDefault="00184A18" w:rsidP="00866EDB">
            <w:pPr>
              <w:spacing w:after="240"/>
              <w:rPr>
                <w:rFonts w:eastAsia="Calibri"/>
              </w:rPr>
            </w:pPr>
            <w:r>
              <w:rPr>
                <w:rFonts w:eastAsia="Calibri"/>
              </w:rPr>
              <w:t>Provide publicity, best practices, information.</w:t>
            </w:r>
          </w:p>
        </w:tc>
        <w:tc>
          <w:tcPr>
            <w:tcW w:w="1515" w:type="dxa"/>
            <w:shd w:val="clear" w:color="auto" w:fill="auto"/>
          </w:tcPr>
          <w:p w14:paraId="442FD6A9" w14:textId="77777777" w:rsidR="001B39A6" w:rsidRDefault="001B39A6" w:rsidP="00866EDB">
            <w:pPr>
              <w:spacing w:after="240"/>
              <w:rPr>
                <w:rFonts w:eastAsia="Calibri"/>
                <w:b/>
              </w:rPr>
            </w:pPr>
            <w:r>
              <w:rPr>
                <w:rFonts w:eastAsia="Calibri"/>
                <w:b/>
              </w:rPr>
              <w:lastRenderedPageBreak/>
              <w:t>CEDO/Fair Housing Project Partner</w:t>
            </w:r>
          </w:p>
          <w:p w14:paraId="7A4ADEDE" w14:textId="77777777" w:rsidR="00184A18" w:rsidRDefault="00184A18" w:rsidP="00866EDB">
            <w:pPr>
              <w:spacing w:after="240"/>
              <w:rPr>
                <w:rFonts w:eastAsia="Calibri"/>
                <w:b/>
              </w:rPr>
            </w:pPr>
          </w:p>
          <w:p w14:paraId="2554E3CF" w14:textId="77777777" w:rsidR="00184A18" w:rsidRDefault="00184A18" w:rsidP="00866EDB">
            <w:pPr>
              <w:spacing w:after="240"/>
              <w:rPr>
                <w:rFonts w:eastAsia="Calibri"/>
                <w:b/>
              </w:rPr>
            </w:pPr>
          </w:p>
          <w:p w14:paraId="44B44B19" w14:textId="77777777" w:rsidR="00184A18" w:rsidRDefault="00184A18" w:rsidP="00866EDB">
            <w:pPr>
              <w:spacing w:after="240"/>
              <w:rPr>
                <w:rFonts w:eastAsia="Calibri"/>
                <w:b/>
              </w:rPr>
            </w:pPr>
          </w:p>
          <w:p w14:paraId="53B1E22F" w14:textId="77777777" w:rsidR="00184A18" w:rsidRDefault="00184A18" w:rsidP="00866EDB">
            <w:pPr>
              <w:spacing w:after="240"/>
              <w:rPr>
                <w:rFonts w:eastAsia="Calibri"/>
                <w:b/>
              </w:rPr>
            </w:pPr>
            <w:r>
              <w:rPr>
                <w:rFonts w:eastAsia="Calibri"/>
                <w:b/>
              </w:rPr>
              <w:t>CEDO</w:t>
            </w:r>
          </w:p>
          <w:p w14:paraId="11A2FC32" w14:textId="77777777" w:rsidR="00184A18" w:rsidRDefault="00184A18" w:rsidP="00866EDB">
            <w:pPr>
              <w:spacing w:after="240"/>
              <w:rPr>
                <w:rFonts w:eastAsia="Calibri"/>
                <w:b/>
              </w:rPr>
            </w:pPr>
          </w:p>
          <w:p w14:paraId="34B1BEFD" w14:textId="77777777" w:rsidR="00184A18" w:rsidRDefault="00184A18" w:rsidP="00866EDB">
            <w:pPr>
              <w:spacing w:after="240"/>
              <w:rPr>
                <w:rFonts w:eastAsia="Calibri"/>
                <w:b/>
              </w:rPr>
            </w:pPr>
            <w:r>
              <w:rPr>
                <w:rFonts w:eastAsia="Calibri"/>
                <w:b/>
              </w:rPr>
              <w:t>CEDO/Fair Housing Project Partner</w:t>
            </w:r>
          </w:p>
          <w:p w14:paraId="60B3F8AB" w14:textId="77777777" w:rsidR="00184A18" w:rsidRDefault="00184A18" w:rsidP="00866EDB">
            <w:pPr>
              <w:spacing w:after="240"/>
              <w:rPr>
                <w:rFonts w:eastAsia="Calibri"/>
                <w:b/>
              </w:rPr>
            </w:pPr>
          </w:p>
          <w:p w14:paraId="7357B373" w14:textId="77777777" w:rsidR="00184A18" w:rsidRDefault="00184A18" w:rsidP="00866EDB">
            <w:pPr>
              <w:spacing w:after="240"/>
              <w:rPr>
                <w:rFonts w:eastAsia="Calibri"/>
                <w:b/>
              </w:rPr>
            </w:pPr>
          </w:p>
          <w:p w14:paraId="77EE5BBB" w14:textId="2532AA34" w:rsidR="00184A18" w:rsidRDefault="00184A18" w:rsidP="00866EDB">
            <w:pPr>
              <w:spacing w:after="240"/>
              <w:rPr>
                <w:rFonts w:eastAsia="Calibri"/>
                <w:b/>
              </w:rPr>
            </w:pPr>
            <w:r>
              <w:rPr>
                <w:rFonts w:eastAsia="Calibri"/>
                <w:b/>
              </w:rPr>
              <w:t>CEDO/</w:t>
            </w:r>
            <w:r w:rsidR="00890D56">
              <w:rPr>
                <w:rFonts w:eastAsia="Calibri"/>
                <w:b/>
              </w:rPr>
              <w:t xml:space="preserve">  </w:t>
            </w:r>
            <w:r>
              <w:rPr>
                <w:rFonts w:eastAsia="Calibri"/>
                <w:b/>
              </w:rPr>
              <w:t>Partners</w:t>
            </w:r>
          </w:p>
          <w:p w14:paraId="0E42160A" w14:textId="77777777" w:rsidR="00184A18" w:rsidRDefault="00184A18" w:rsidP="00866EDB">
            <w:pPr>
              <w:spacing w:after="240"/>
              <w:rPr>
                <w:rFonts w:eastAsia="Calibri"/>
                <w:b/>
              </w:rPr>
            </w:pPr>
          </w:p>
          <w:p w14:paraId="18542FEA" w14:textId="77777777" w:rsidR="00184A18" w:rsidRDefault="00184A18" w:rsidP="00866EDB">
            <w:pPr>
              <w:spacing w:after="240"/>
              <w:rPr>
                <w:rFonts w:eastAsia="Calibri"/>
                <w:b/>
              </w:rPr>
            </w:pPr>
          </w:p>
          <w:p w14:paraId="7DC12D2C" w14:textId="77777777" w:rsidR="00184A18" w:rsidRDefault="00184A18" w:rsidP="00866EDB">
            <w:pPr>
              <w:spacing w:after="240"/>
              <w:rPr>
                <w:rFonts w:eastAsia="Calibri"/>
                <w:b/>
              </w:rPr>
            </w:pPr>
            <w:r>
              <w:rPr>
                <w:rFonts w:eastAsia="Calibri"/>
                <w:b/>
              </w:rPr>
              <w:t>CEDO</w:t>
            </w:r>
          </w:p>
          <w:p w14:paraId="76EEE7E4" w14:textId="77777777" w:rsidR="00184A18" w:rsidRDefault="00184A18" w:rsidP="00866EDB">
            <w:pPr>
              <w:spacing w:after="240"/>
              <w:rPr>
                <w:rFonts w:eastAsia="Calibri"/>
                <w:b/>
              </w:rPr>
            </w:pPr>
          </w:p>
          <w:p w14:paraId="08B53D9E" w14:textId="77777777" w:rsidR="00184A18" w:rsidRDefault="00184A18" w:rsidP="00866EDB">
            <w:pPr>
              <w:spacing w:after="240"/>
              <w:rPr>
                <w:rFonts w:eastAsia="Calibri"/>
                <w:b/>
              </w:rPr>
            </w:pPr>
            <w:r>
              <w:rPr>
                <w:rFonts w:eastAsia="Calibri"/>
                <w:b/>
              </w:rPr>
              <w:t>CEDO</w:t>
            </w:r>
          </w:p>
          <w:p w14:paraId="2C099D0F" w14:textId="77777777" w:rsidR="00184A18" w:rsidRDefault="00184A18" w:rsidP="00866EDB">
            <w:pPr>
              <w:spacing w:after="240"/>
              <w:rPr>
                <w:rFonts w:eastAsia="Calibri"/>
                <w:b/>
              </w:rPr>
            </w:pPr>
          </w:p>
          <w:p w14:paraId="07DB06F1" w14:textId="77777777" w:rsidR="00184A18" w:rsidRDefault="00184A18" w:rsidP="00866EDB">
            <w:pPr>
              <w:spacing w:after="240"/>
              <w:rPr>
                <w:rFonts w:eastAsia="Calibri"/>
                <w:b/>
              </w:rPr>
            </w:pPr>
          </w:p>
          <w:p w14:paraId="691020C1" w14:textId="77777777" w:rsidR="00184A18" w:rsidRDefault="00184A18" w:rsidP="00866EDB">
            <w:pPr>
              <w:spacing w:after="240"/>
              <w:rPr>
                <w:rFonts w:eastAsia="Calibri"/>
                <w:b/>
              </w:rPr>
            </w:pPr>
            <w:r>
              <w:rPr>
                <w:rFonts w:eastAsia="Calibri"/>
                <w:b/>
              </w:rPr>
              <w:t>CEDO</w:t>
            </w:r>
          </w:p>
          <w:p w14:paraId="2AC57949" w14:textId="77777777" w:rsidR="00184A18" w:rsidRDefault="00184A18" w:rsidP="00866EDB">
            <w:pPr>
              <w:spacing w:after="240"/>
              <w:rPr>
                <w:rFonts w:eastAsia="Calibri"/>
                <w:b/>
              </w:rPr>
            </w:pPr>
          </w:p>
          <w:p w14:paraId="74CAB1F2" w14:textId="77777777" w:rsidR="00184A18" w:rsidRDefault="00184A18" w:rsidP="00866EDB">
            <w:pPr>
              <w:spacing w:after="240"/>
              <w:rPr>
                <w:rFonts w:eastAsia="Calibri"/>
                <w:b/>
              </w:rPr>
            </w:pPr>
          </w:p>
          <w:p w14:paraId="1F19753F" w14:textId="77777777" w:rsidR="00184A18" w:rsidRDefault="00184A18" w:rsidP="00866EDB">
            <w:pPr>
              <w:spacing w:after="240"/>
              <w:rPr>
                <w:rFonts w:eastAsia="Calibri"/>
                <w:b/>
              </w:rPr>
            </w:pPr>
          </w:p>
          <w:p w14:paraId="371EB31E" w14:textId="2EB3ADC1" w:rsidR="00184A18" w:rsidRPr="004971C1" w:rsidRDefault="00184A18" w:rsidP="00866EDB">
            <w:pPr>
              <w:spacing w:after="240"/>
              <w:rPr>
                <w:rFonts w:eastAsia="Calibri"/>
                <w:b/>
              </w:rPr>
            </w:pPr>
            <w:r>
              <w:rPr>
                <w:rFonts w:eastAsia="Calibri"/>
                <w:b/>
              </w:rPr>
              <w:t>Partners</w:t>
            </w:r>
          </w:p>
        </w:tc>
      </w:tr>
      <w:tr w:rsidR="001B39A6" w:rsidRPr="00140134" w14:paraId="2B54CFA6" w14:textId="77777777" w:rsidTr="001B39A6">
        <w:trPr>
          <w:gridAfter w:val="1"/>
          <w:wAfter w:w="236" w:type="dxa"/>
        </w:trPr>
        <w:tc>
          <w:tcPr>
            <w:tcW w:w="9350" w:type="dxa"/>
            <w:gridSpan w:val="13"/>
            <w:shd w:val="clear" w:color="auto" w:fill="auto"/>
          </w:tcPr>
          <w:p w14:paraId="04AE3C88" w14:textId="23B85E6A" w:rsidR="001B39A6" w:rsidRPr="00890D56" w:rsidRDefault="001B39A6" w:rsidP="00890D56">
            <w:pPr>
              <w:spacing w:after="240"/>
              <w:rPr>
                <w:rFonts w:eastAsia="Calibri"/>
                <w:bCs/>
              </w:rPr>
            </w:pPr>
            <w:r w:rsidRPr="5F884969">
              <w:rPr>
                <w:rFonts w:eastAsia="Calibri"/>
                <w:b/>
                <w:bCs/>
              </w:rPr>
              <w:lastRenderedPageBreak/>
              <w:t xml:space="preserve">Discussion: </w:t>
            </w:r>
            <w:r w:rsidR="00184A18">
              <w:rPr>
                <w:rFonts w:eastAsia="Calibri"/>
                <w:bCs/>
              </w:rPr>
              <w:t>Burlington has two agencies within the City do</w:t>
            </w:r>
            <w:r w:rsidR="00866EDB">
              <w:rPr>
                <w:rFonts w:eastAsia="Calibri"/>
                <w:bCs/>
              </w:rPr>
              <w:t>i</w:t>
            </w:r>
            <w:r w:rsidR="00184A18">
              <w:rPr>
                <w:rFonts w:eastAsia="Calibri"/>
                <w:bCs/>
              </w:rPr>
              <w:t>ng fair housing outreach and education. Both agencies are dependent on grant funding to sustain their important work. Demographics of the City show how diverse our community has become in th</w:t>
            </w:r>
            <w:r w:rsidR="00151046">
              <w:rPr>
                <w:rFonts w:eastAsia="Calibri"/>
                <w:bCs/>
              </w:rPr>
              <w:t>e past 30 years. However, not all of our new community members feel welcome during standard engagement efforts like neighborhood planning assemblies, City Council meetings and committee meetings or public hearings. Learning to engage diverse populations in non-traditional techniques, while creating safe and inclusive spaces for equitable engagement is critical for the City to reach underserved and underrepresented communities. The very populations who may be facing displacement pressures, segregation, and disproportionate housing needs are those who need to be reached and heard.</w:t>
            </w:r>
          </w:p>
        </w:tc>
      </w:tr>
    </w:tbl>
    <w:p w14:paraId="2269C6D8" w14:textId="38E8FD76" w:rsidR="007D0D96" w:rsidRPr="0021335D" w:rsidRDefault="007D0D96" w:rsidP="00652BC9"/>
    <w:sectPr w:rsidR="007D0D96" w:rsidRPr="0021335D" w:rsidSect="00855982">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B34E4A" w16cid:durableId="1D35EDEC"/>
  <w16cid:commentId w16cid:paraId="00A99C77" w16cid:durableId="1D1865D7"/>
  <w16cid:commentId w16cid:paraId="4CC41634" w16cid:durableId="1D1865DA"/>
  <w16cid:commentId w16cid:paraId="5FB08F42" w16cid:durableId="1D1865DB"/>
  <w16cid:commentId w16cid:paraId="1374B52A" w16cid:durableId="1D1B0077"/>
  <w16cid:commentId w16cid:paraId="7F56CC18" w16cid:durableId="1D1B008D"/>
  <w16cid:commentId w16cid:paraId="45027C9B" w16cid:durableId="1D35EF22"/>
  <w16cid:commentId w16cid:paraId="0379AC6E" w16cid:durableId="1D1B00A7"/>
  <w16cid:commentId w16cid:paraId="3475E954" w16cid:durableId="1D1865E4"/>
  <w16cid:commentId w16cid:paraId="2A851043" w16cid:durableId="1D1865E6"/>
  <w16cid:commentId w16cid:paraId="4DCD9E86" w16cid:durableId="1D1B04A2"/>
  <w16cid:commentId w16cid:paraId="64475FC2" w16cid:durableId="1D1B04AB"/>
  <w16cid:commentId w16cid:paraId="21317097" w16cid:durableId="1D18A6B2"/>
  <w16cid:commentId w16cid:paraId="683B1F4C" w16cid:durableId="1D35F28B"/>
  <w16cid:commentId w16cid:paraId="61C505C8" w16cid:durableId="1D35F34F"/>
  <w16cid:commentId w16cid:paraId="75F7E797" w16cid:durableId="1D345FE4"/>
  <w16cid:commentId w16cid:paraId="4ED10904" w16cid:durableId="1D2B2BB9"/>
  <w16cid:commentId w16cid:paraId="432AC98C" w16cid:durableId="1D1B0953"/>
  <w16cid:commentId w16cid:paraId="5B82DFB1" w16cid:durableId="1D1B096B"/>
  <w16cid:commentId w16cid:paraId="68AB51D5" w16cid:durableId="1D18B939"/>
  <w16cid:commentId w16cid:paraId="0F6F3BD0" w16cid:durableId="1D1B0999"/>
  <w16cid:commentId w16cid:paraId="39564F76" w16cid:durableId="1D1B09CB"/>
  <w16cid:commentId w16cid:paraId="5F629099" w16cid:durableId="1D2C3D5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F6FFD" w14:textId="77777777" w:rsidR="00E67926" w:rsidRDefault="00E67926" w:rsidP="00855982">
      <w:pPr>
        <w:spacing w:after="0" w:line="240" w:lineRule="auto"/>
      </w:pPr>
      <w:r>
        <w:separator/>
      </w:r>
    </w:p>
  </w:endnote>
  <w:endnote w:type="continuationSeparator" w:id="0">
    <w:p w14:paraId="4F55573B" w14:textId="77777777" w:rsidR="00E67926" w:rsidRDefault="00E67926"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4C3DF" w14:textId="77777777" w:rsidR="00E67926" w:rsidRDefault="00E679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892170"/>
      <w:docPartObj>
        <w:docPartGallery w:val="Page Numbers (Bottom of Page)"/>
        <w:docPartUnique/>
      </w:docPartObj>
    </w:sdtPr>
    <w:sdtEndPr>
      <w:rPr>
        <w:noProof/>
      </w:rPr>
    </w:sdtEndPr>
    <w:sdtContent>
      <w:p w14:paraId="5B0AD2D7" w14:textId="71A7D2DE" w:rsidR="00E67926" w:rsidRDefault="00E67926">
        <w:pPr>
          <w:pStyle w:val="Footer"/>
          <w:jc w:val="right"/>
        </w:pPr>
        <w:r>
          <w:fldChar w:fldCharType="begin"/>
        </w:r>
        <w:r>
          <w:instrText xml:space="preserve"> PAGE   \* MERGEFORMAT </w:instrText>
        </w:r>
        <w:r>
          <w:fldChar w:fldCharType="separate"/>
        </w:r>
        <w:r w:rsidR="006C4504">
          <w:rPr>
            <w:noProof/>
          </w:rPr>
          <w:t>22</w:t>
        </w:r>
        <w:r>
          <w:rPr>
            <w:noProof/>
          </w:rPr>
          <w:fldChar w:fldCharType="end"/>
        </w:r>
      </w:p>
    </w:sdtContent>
  </w:sdt>
  <w:p w14:paraId="49476B3B" w14:textId="77777777" w:rsidR="00E67926" w:rsidRDefault="00E679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198458"/>
      <w:docPartObj>
        <w:docPartGallery w:val="Page Numbers (Bottom of Page)"/>
        <w:docPartUnique/>
      </w:docPartObj>
    </w:sdtPr>
    <w:sdtEndPr>
      <w:rPr>
        <w:noProof/>
      </w:rPr>
    </w:sdtEndPr>
    <w:sdtContent>
      <w:p w14:paraId="4167C994" w14:textId="69DE4EBF" w:rsidR="00E67926" w:rsidRDefault="00E67926">
        <w:pPr>
          <w:pStyle w:val="Footer"/>
          <w:jc w:val="right"/>
        </w:pPr>
        <w:r>
          <w:fldChar w:fldCharType="begin"/>
        </w:r>
        <w:r>
          <w:instrText xml:space="preserve"> PAGE   \* MERGEFORMAT </w:instrText>
        </w:r>
        <w:r>
          <w:fldChar w:fldCharType="separate"/>
        </w:r>
        <w:r w:rsidR="006C4504">
          <w:rPr>
            <w:noProof/>
          </w:rPr>
          <w:t>1</w:t>
        </w:r>
        <w:r>
          <w:rPr>
            <w:noProof/>
          </w:rPr>
          <w:fldChar w:fldCharType="end"/>
        </w:r>
      </w:p>
    </w:sdtContent>
  </w:sdt>
  <w:p w14:paraId="45AD00B1" w14:textId="77777777" w:rsidR="00E67926" w:rsidRDefault="00E679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749DB" w14:textId="77777777" w:rsidR="00E67926" w:rsidRDefault="00E67926" w:rsidP="00855982">
      <w:pPr>
        <w:spacing w:after="0" w:line="240" w:lineRule="auto"/>
      </w:pPr>
      <w:r>
        <w:separator/>
      </w:r>
    </w:p>
  </w:footnote>
  <w:footnote w:type="continuationSeparator" w:id="0">
    <w:p w14:paraId="2BDAFED5" w14:textId="77777777" w:rsidR="00E67926" w:rsidRDefault="00E67926" w:rsidP="008559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77541" w14:textId="5E676471" w:rsidR="00E67926" w:rsidRDefault="00E679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348ED" w14:textId="3F853923" w:rsidR="00E67926" w:rsidRDefault="00E679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59BC2" w14:textId="4D76B76B" w:rsidR="00E67926" w:rsidRDefault="00E679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0C0"/>
    <w:multiLevelType w:val="hybridMultilevel"/>
    <w:tmpl w:val="7B223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273AB"/>
    <w:multiLevelType w:val="hybridMultilevel"/>
    <w:tmpl w:val="81063B7E"/>
    <w:lvl w:ilvl="0" w:tplc="04090001">
      <w:start w:val="1"/>
      <w:numFmt w:val="bullet"/>
      <w:lvlText w:val=""/>
      <w:lvlJc w:val="left"/>
      <w:pPr>
        <w:ind w:left="1776" w:hanging="360"/>
      </w:pPr>
      <w:rPr>
        <w:rFonts w:ascii="Symbol" w:hAnsi="Symbol" w:hint="default"/>
      </w:rPr>
    </w:lvl>
    <w:lvl w:ilvl="1" w:tplc="04090003">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 w15:restartNumberingAfterBreak="0">
    <w:nsid w:val="02732CEE"/>
    <w:multiLevelType w:val="hybridMultilevel"/>
    <w:tmpl w:val="A51A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25C1"/>
    <w:multiLevelType w:val="hybridMultilevel"/>
    <w:tmpl w:val="260299B0"/>
    <w:lvl w:ilvl="0" w:tplc="6E264526">
      <w:start w:val="1"/>
      <w:numFmt w:val="bullet"/>
      <w:lvlText w:val=""/>
      <w:lvlJc w:val="left"/>
      <w:pPr>
        <w:ind w:left="720" w:hanging="360"/>
      </w:pPr>
      <w:rPr>
        <w:rFonts w:ascii="Symbol" w:hAnsi="Symbol" w:hint="default"/>
      </w:rPr>
    </w:lvl>
    <w:lvl w:ilvl="1" w:tplc="44E68808">
      <w:start w:val="1"/>
      <w:numFmt w:val="bullet"/>
      <w:lvlText w:val=""/>
      <w:lvlJc w:val="left"/>
      <w:pPr>
        <w:ind w:left="1440" w:hanging="360"/>
      </w:pPr>
      <w:rPr>
        <w:rFonts w:ascii="Symbol" w:hAnsi="Symbol" w:hint="default"/>
      </w:rPr>
    </w:lvl>
    <w:lvl w:ilvl="2" w:tplc="0A04A0D6">
      <w:start w:val="1"/>
      <w:numFmt w:val="bullet"/>
      <w:lvlText w:val=""/>
      <w:lvlJc w:val="left"/>
      <w:pPr>
        <w:ind w:left="2160" w:hanging="360"/>
      </w:pPr>
      <w:rPr>
        <w:rFonts w:ascii="Wingdings" w:hAnsi="Wingdings" w:hint="default"/>
      </w:rPr>
    </w:lvl>
    <w:lvl w:ilvl="3" w:tplc="D7F20780">
      <w:start w:val="1"/>
      <w:numFmt w:val="bullet"/>
      <w:lvlText w:val=""/>
      <w:lvlJc w:val="left"/>
      <w:pPr>
        <w:ind w:left="2880" w:hanging="360"/>
      </w:pPr>
      <w:rPr>
        <w:rFonts w:ascii="Symbol" w:hAnsi="Symbol" w:hint="default"/>
      </w:rPr>
    </w:lvl>
    <w:lvl w:ilvl="4" w:tplc="3AD45E72">
      <w:start w:val="1"/>
      <w:numFmt w:val="bullet"/>
      <w:lvlText w:val="o"/>
      <w:lvlJc w:val="left"/>
      <w:pPr>
        <w:ind w:left="3600" w:hanging="360"/>
      </w:pPr>
      <w:rPr>
        <w:rFonts w:ascii="Courier New" w:hAnsi="Courier New" w:hint="default"/>
      </w:rPr>
    </w:lvl>
    <w:lvl w:ilvl="5" w:tplc="CB9A83CA">
      <w:start w:val="1"/>
      <w:numFmt w:val="bullet"/>
      <w:lvlText w:val=""/>
      <w:lvlJc w:val="left"/>
      <w:pPr>
        <w:ind w:left="4320" w:hanging="360"/>
      </w:pPr>
      <w:rPr>
        <w:rFonts w:ascii="Wingdings" w:hAnsi="Wingdings" w:hint="default"/>
      </w:rPr>
    </w:lvl>
    <w:lvl w:ilvl="6" w:tplc="6AAE0FB2">
      <w:start w:val="1"/>
      <w:numFmt w:val="bullet"/>
      <w:lvlText w:val=""/>
      <w:lvlJc w:val="left"/>
      <w:pPr>
        <w:ind w:left="5040" w:hanging="360"/>
      </w:pPr>
      <w:rPr>
        <w:rFonts w:ascii="Symbol" w:hAnsi="Symbol" w:hint="default"/>
      </w:rPr>
    </w:lvl>
    <w:lvl w:ilvl="7" w:tplc="942A7AD6">
      <w:start w:val="1"/>
      <w:numFmt w:val="bullet"/>
      <w:lvlText w:val="o"/>
      <w:lvlJc w:val="left"/>
      <w:pPr>
        <w:ind w:left="5760" w:hanging="360"/>
      </w:pPr>
      <w:rPr>
        <w:rFonts w:ascii="Courier New" w:hAnsi="Courier New" w:hint="default"/>
      </w:rPr>
    </w:lvl>
    <w:lvl w:ilvl="8" w:tplc="F0EE643E">
      <w:start w:val="1"/>
      <w:numFmt w:val="bullet"/>
      <w:lvlText w:val=""/>
      <w:lvlJc w:val="left"/>
      <w:pPr>
        <w:ind w:left="6480" w:hanging="360"/>
      </w:pPr>
      <w:rPr>
        <w:rFonts w:ascii="Wingdings" w:hAnsi="Wingdings" w:hint="default"/>
      </w:rPr>
    </w:lvl>
  </w:abstractNum>
  <w:abstractNum w:abstractNumId="4" w15:restartNumberingAfterBreak="0">
    <w:nsid w:val="06A9390B"/>
    <w:multiLevelType w:val="hybridMultilevel"/>
    <w:tmpl w:val="2CCC08EA"/>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D03E21"/>
    <w:multiLevelType w:val="hybridMultilevel"/>
    <w:tmpl w:val="CC54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336FC"/>
    <w:multiLevelType w:val="hybridMultilevel"/>
    <w:tmpl w:val="4B627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254059"/>
    <w:multiLevelType w:val="hybridMultilevel"/>
    <w:tmpl w:val="90FED9E2"/>
    <w:lvl w:ilvl="0" w:tplc="F52A120A">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E074A67"/>
    <w:multiLevelType w:val="hybridMultilevel"/>
    <w:tmpl w:val="1B804C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3A4B2A"/>
    <w:multiLevelType w:val="hybridMultilevel"/>
    <w:tmpl w:val="817012FC"/>
    <w:lvl w:ilvl="0" w:tplc="0409000F">
      <w:start w:val="1"/>
      <w:numFmt w:val="decimal"/>
      <w:lvlText w:val="%1."/>
      <w:lvlJc w:val="left"/>
      <w:pPr>
        <w:ind w:left="720" w:hanging="360"/>
      </w:pPr>
    </w:lvl>
    <w:lvl w:ilvl="1" w:tplc="5496902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5173A7"/>
    <w:multiLevelType w:val="hybridMultilevel"/>
    <w:tmpl w:val="3A36A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800F99"/>
    <w:multiLevelType w:val="hybridMultilevel"/>
    <w:tmpl w:val="1C16D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3E7A57"/>
    <w:multiLevelType w:val="hybridMultilevel"/>
    <w:tmpl w:val="55064D90"/>
    <w:lvl w:ilvl="0" w:tplc="E76A6198">
      <w:start w:val="1"/>
      <w:numFmt w:val="bullet"/>
      <w:lvlText w:val="•"/>
      <w:lvlJc w:val="left"/>
      <w:pPr>
        <w:tabs>
          <w:tab w:val="num" w:pos="720"/>
        </w:tabs>
        <w:ind w:left="720" w:hanging="360"/>
      </w:pPr>
      <w:rPr>
        <w:rFonts w:ascii="Arial" w:hAnsi="Arial" w:cs="Times New Roman" w:hint="default"/>
      </w:rPr>
    </w:lvl>
    <w:lvl w:ilvl="1" w:tplc="5FB28FDA">
      <w:start w:val="48"/>
      <w:numFmt w:val="bullet"/>
      <w:lvlText w:val="•"/>
      <w:lvlJc w:val="left"/>
      <w:pPr>
        <w:tabs>
          <w:tab w:val="num" w:pos="1440"/>
        </w:tabs>
        <w:ind w:left="1440" w:hanging="360"/>
      </w:pPr>
      <w:rPr>
        <w:rFonts w:ascii="Arial" w:hAnsi="Arial" w:cs="Times New Roman" w:hint="default"/>
      </w:rPr>
    </w:lvl>
    <w:lvl w:ilvl="2" w:tplc="47B67D48">
      <w:start w:val="1"/>
      <w:numFmt w:val="bullet"/>
      <w:lvlText w:val="•"/>
      <w:lvlJc w:val="left"/>
      <w:pPr>
        <w:tabs>
          <w:tab w:val="num" w:pos="2160"/>
        </w:tabs>
        <w:ind w:left="2160" w:hanging="360"/>
      </w:pPr>
      <w:rPr>
        <w:rFonts w:ascii="Arial" w:hAnsi="Arial" w:cs="Times New Roman" w:hint="default"/>
      </w:rPr>
    </w:lvl>
    <w:lvl w:ilvl="3" w:tplc="B756FB6E">
      <w:start w:val="1"/>
      <w:numFmt w:val="bullet"/>
      <w:lvlText w:val="•"/>
      <w:lvlJc w:val="left"/>
      <w:pPr>
        <w:tabs>
          <w:tab w:val="num" w:pos="2880"/>
        </w:tabs>
        <w:ind w:left="2880" w:hanging="360"/>
      </w:pPr>
      <w:rPr>
        <w:rFonts w:ascii="Arial" w:hAnsi="Arial" w:cs="Times New Roman" w:hint="default"/>
      </w:rPr>
    </w:lvl>
    <w:lvl w:ilvl="4" w:tplc="3CDC535E">
      <w:start w:val="1"/>
      <w:numFmt w:val="bullet"/>
      <w:lvlText w:val="•"/>
      <w:lvlJc w:val="left"/>
      <w:pPr>
        <w:tabs>
          <w:tab w:val="num" w:pos="3600"/>
        </w:tabs>
        <w:ind w:left="3600" w:hanging="360"/>
      </w:pPr>
      <w:rPr>
        <w:rFonts w:ascii="Arial" w:hAnsi="Arial" w:cs="Times New Roman" w:hint="default"/>
      </w:rPr>
    </w:lvl>
    <w:lvl w:ilvl="5" w:tplc="92927B56">
      <w:start w:val="1"/>
      <w:numFmt w:val="bullet"/>
      <w:lvlText w:val="•"/>
      <w:lvlJc w:val="left"/>
      <w:pPr>
        <w:tabs>
          <w:tab w:val="num" w:pos="4320"/>
        </w:tabs>
        <w:ind w:left="4320" w:hanging="360"/>
      </w:pPr>
      <w:rPr>
        <w:rFonts w:ascii="Arial" w:hAnsi="Arial" w:cs="Times New Roman" w:hint="default"/>
      </w:rPr>
    </w:lvl>
    <w:lvl w:ilvl="6" w:tplc="3716CA3E">
      <w:start w:val="1"/>
      <w:numFmt w:val="bullet"/>
      <w:lvlText w:val="•"/>
      <w:lvlJc w:val="left"/>
      <w:pPr>
        <w:tabs>
          <w:tab w:val="num" w:pos="5040"/>
        </w:tabs>
        <w:ind w:left="5040" w:hanging="360"/>
      </w:pPr>
      <w:rPr>
        <w:rFonts w:ascii="Arial" w:hAnsi="Arial" w:cs="Times New Roman" w:hint="default"/>
      </w:rPr>
    </w:lvl>
    <w:lvl w:ilvl="7" w:tplc="30C69728">
      <w:start w:val="1"/>
      <w:numFmt w:val="bullet"/>
      <w:lvlText w:val="•"/>
      <w:lvlJc w:val="left"/>
      <w:pPr>
        <w:tabs>
          <w:tab w:val="num" w:pos="5760"/>
        </w:tabs>
        <w:ind w:left="5760" w:hanging="360"/>
      </w:pPr>
      <w:rPr>
        <w:rFonts w:ascii="Arial" w:hAnsi="Arial" w:cs="Times New Roman" w:hint="default"/>
      </w:rPr>
    </w:lvl>
    <w:lvl w:ilvl="8" w:tplc="4D22773A">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1A4A3C41"/>
    <w:multiLevelType w:val="hybridMultilevel"/>
    <w:tmpl w:val="71344AE6"/>
    <w:lvl w:ilvl="0" w:tplc="DD56A5EA">
      <w:start w:val="1"/>
      <w:numFmt w:val="bullet"/>
      <w:lvlText w:val="•"/>
      <w:lvlJc w:val="left"/>
      <w:pPr>
        <w:tabs>
          <w:tab w:val="num" w:pos="720"/>
        </w:tabs>
        <w:ind w:left="720" w:hanging="360"/>
      </w:pPr>
      <w:rPr>
        <w:rFonts w:ascii="Arial" w:hAnsi="Arial" w:hint="default"/>
      </w:rPr>
    </w:lvl>
    <w:lvl w:ilvl="1" w:tplc="ACD04F2C">
      <w:start w:val="65"/>
      <w:numFmt w:val="bullet"/>
      <w:lvlText w:val="•"/>
      <w:lvlJc w:val="left"/>
      <w:pPr>
        <w:tabs>
          <w:tab w:val="num" w:pos="1440"/>
        </w:tabs>
        <w:ind w:left="1440" w:hanging="360"/>
      </w:pPr>
      <w:rPr>
        <w:rFonts w:ascii="Arial" w:hAnsi="Arial" w:hint="default"/>
      </w:rPr>
    </w:lvl>
    <w:lvl w:ilvl="2" w:tplc="B2482878" w:tentative="1">
      <w:start w:val="1"/>
      <w:numFmt w:val="bullet"/>
      <w:lvlText w:val="•"/>
      <w:lvlJc w:val="left"/>
      <w:pPr>
        <w:tabs>
          <w:tab w:val="num" w:pos="2160"/>
        </w:tabs>
        <w:ind w:left="2160" w:hanging="360"/>
      </w:pPr>
      <w:rPr>
        <w:rFonts w:ascii="Arial" w:hAnsi="Arial" w:hint="default"/>
      </w:rPr>
    </w:lvl>
    <w:lvl w:ilvl="3" w:tplc="DAC42A3C" w:tentative="1">
      <w:start w:val="1"/>
      <w:numFmt w:val="bullet"/>
      <w:lvlText w:val="•"/>
      <w:lvlJc w:val="left"/>
      <w:pPr>
        <w:tabs>
          <w:tab w:val="num" w:pos="2880"/>
        </w:tabs>
        <w:ind w:left="2880" w:hanging="360"/>
      </w:pPr>
      <w:rPr>
        <w:rFonts w:ascii="Arial" w:hAnsi="Arial" w:hint="default"/>
      </w:rPr>
    </w:lvl>
    <w:lvl w:ilvl="4" w:tplc="8902BD2E" w:tentative="1">
      <w:start w:val="1"/>
      <w:numFmt w:val="bullet"/>
      <w:lvlText w:val="•"/>
      <w:lvlJc w:val="left"/>
      <w:pPr>
        <w:tabs>
          <w:tab w:val="num" w:pos="3600"/>
        </w:tabs>
        <w:ind w:left="3600" w:hanging="360"/>
      </w:pPr>
      <w:rPr>
        <w:rFonts w:ascii="Arial" w:hAnsi="Arial" w:hint="default"/>
      </w:rPr>
    </w:lvl>
    <w:lvl w:ilvl="5" w:tplc="45565C18" w:tentative="1">
      <w:start w:val="1"/>
      <w:numFmt w:val="bullet"/>
      <w:lvlText w:val="•"/>
      <w:lvlJc w:val="left"/>
      <w:pPr>
        <w:tabs>
          <w:tab w:val="num" w:pos="4320"/>
        </w:tabs>
        <w:ind w:left="4320" w:hanging="360"/>
      </w:pPr>
      <w:rPr>
        <w:rFonts w:ascii="Arial" w:hAnsi="Arial" w:hint="default"/>
      </w:rPr>
    </w:lvl>
    <w:lvl w:ilvl="6" w:tplc="5EAC4C40" w:tentative="1">
      <w:start w:val="1"/>
      <w:numFmt w:val="bullet"/>
      <w:lvlText w:val="•"/>
      <w:lvlJc w:val="left"/>
      <w:pPr>
        <w:tabs>
          <w:tab w:val="num" w:pos="5040"/>
        </w:tabs>
        <w:ind w:left="5040" w:hanging="360"/>
      </w:pPr>
      <w:rPr>
        <w:rFonts w:ascii="Arial" w:hAnsi="Arial" w:hint="default"/>
      </w:rPr>
    </w:lvl>
    <w:lvl w:ilvl="7" w:tplc="BC6E7B8E" w:tentative="1">
      <w:start w:val="1"/>
      <w:numFmt w:val="bullet"/>
      <w:lvlText w:val="•"/>
      <w:lvlJc w:val="left"/>
      <w:pPr>
        <w:tabs>
          <w:tab w:val="num" w:pos="5760"/>
        </w:tabs>
        <w:ind w:left="5760" w:hanging="360"/>
      </w:pPr>
      <w:rPr>
        <w:rFonts w:ascii="Arial" w:hAnsi="Arial" w:hint="default"/>
      </w:rPr>
    </w:lvl>
    <w:lvl w:ilvl="8" w:tplc="90D836C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3F4C20"/>
    <w:multiLevelType w:val="multilevel"/>
    <w:tmpl w:val="00E24520"/>
    <w:lvl w:ilvl="0">
      <w:start w:val="1"/>
      <w:numFmt w:val="bullet"/>
      <w:lvlText w:val=""/>
      <w:lvlJc w:val="left"/>
      <w:pPr>
        <w:tabs>
          <w:tab w:val="left" w:pos="720"/>
        </w:tabs>
        <w:ind w:left="1080"/>
      </w:pPr>
      <w:rPr>
        <w:rFonts w:ascii="Symbol" w:hAnsi="Symbol" w:hint="default"/>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626918"/>
    <w:multiLevelType w:val="hybridMultilevel"/>
    <w:tmpl w:val="3AC8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E768B"/>
    <w:multiLevelType w:val="hybridMultilevel"/>
    <w:tmpl w:val="0616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617DA0"/>
    <w:multiLevelType w:val="multilevel"/>
    <w:tmpl w:val="81064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672FBA"/>
    <w:multiLevelType w:val="hybridMultilevel"/>
    <w:tmpl w:val="AFEEE384"/>
    <w:lvl w:ilvl="0" w:tplc="00EE017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497717"/>
    <w:multiLevelType w:val="hybridMultilevel"/>
    <w:tmpl w:val="08F632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0070A4"/>
    <w:multiLevelType w:val="hybridMultilevel"/>
    <w:tmpl w:val="BC103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4904BE"/>
    <w:multiLevelType w:val="hybridMultilevel"/>
    <w:tmpl w:val="31D63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FE1935"/>
    <w:multiLevelType w:val="hybridMultilevel"/>
    <w:tmpl w:val="83E43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8C7385"/>
    <w:multiLevelType w:val="hybridMultilevel"/>
    <w:tmpl w:val="149CFE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804E4C"/>
    <w:multiLevelType w:val="hybridMultilevel"/>
    <w:tmpl w:val="B762D350"/>
    <w:lvl w:ilvl="0" w:tplc="4254F04A">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7C15D8"/>
    <w:multiLevelType w:val="hybridMultilevel"/>
    <w:tmpl w:val="690698F8"/>
    <w:lvl w:ilvl="0" w:tplc="2048AE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4CD379B"/>
    <w:multiLevelType w:val="hybridMultilevel"/>
    <w:tmpl w:val="E9225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C3E3D6F"/>
    <w:multiLevelType w:val="hybridMultilevel"/>
    <w:tmpl w:val="F3F24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550D34"/>
    <w:multiLevelType w:val="multilevel"/>
    <w:tmpl w:val="00E24520"/>
    <w:lvl w:ilvl="0">
      <w:start w:val="1"/>
      <w:numFmt w:val="bullet"/>
      <w:lvlText w:val=""/>
      <w:lvlJc w:val="left"/>
      <w:pPr>
        <w:tabs>
          <w:tab w:val="left" w:pos="720"/>
        </w:tabs>
        <w:ind w:left="1080"/>
      </w:pPr>
      <w:rPr>
        <w:rFonts w:ascii="Symbol" w:hAnsi="Symbol" w:hint="default"/>
        <w:strike w:val="0"/>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DCA1566"/>
    <w:multiLevelType w:val="hybridMultilevel"/>
    <w:tmpl w:val="725CA17C"/>
    <w:lvl w:ilvl="0" w:tplc="F24E2AF0">
      <w:start w:val="1"/>
      <w:numFmt w:val="lowerLetter"/>
      <w:lvlText w:val="%1."/>
      <w:lvlJc w:val="left"/>
      <w:pPr>
        <w:tabs>
          <w:tab w:val="num" w:pos="1080"/>
        </w:tabs>
        <w:ind w:left="1080" w:hanging="360"/>
      </w:pPr>
      <w:rPr>
        <w:rFonts w:hint="default"/>
        <w:i w:val="0"/>
      </w:rPr>
    </w:lvl>
    <w:lvl w:ilvl="1" w:tplc="C392507C">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179609F"/>
    <w:multiLevelType w:val="hybridMultilevel"/>
    <w:tmpl w:val="A5D09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371B16"/>
    <w:multiLevelType w:val="multilevel"/>
    <w:tmpl w:val="85D2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493778"/>
    <w:multiLevelType w:val="hybridMultilevel"/>
    <w:tmpl w:val="CD8AE5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C47E43"/>
    <w:multiLevelType w:val="hybridMultilevel"/>
    <w:tmpl w:val="DDAE077C"/>
    <w:lvl w:ilvl="0" w:tplc="8E8E64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9E2E17"/>
    <w:multiLevelType w:val="hybridMultilevel"/>
    <w:tmpl w:val="D110F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F9E718C"/>
    <w:multiLevelType w:val="hybridMultilevel"/>
    <w:tmpl w:val="9C526FF8"/>
    <w:lvl w:ilvl="0" w:tplc="356E248E">
      <w:start w:val="1"/>
      <w:numFmt w:val="lowerLetter"/>
      <w:lvlText w:val="%1."/>
      <w:lvlJc w:val="left"/>
      <w:pPr>
        <w:ind w:left="1260" w:hanging="360"/>
      </w:pPr>
      <w:rPr>
        <w:rFonts w:hint="default"/>
        <w:b/>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15:restartNumberingAfterBreak="0">
    <w:nsid w:val="61733DFA"/>
    <w:multiLevelType w:val="hybridMultilevel"/>
    <w:tmpl w:val="DBCCBD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1D3E17"/>
    <w:multiLevelType w:val="hybridMultilevel"/>
    <w:tmpl w:val="7FDCC0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EA7486"/>
    <w:multiLevelType w:val="hybridMultilevel"/>
    <w:tmpl w:val="53568C1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CB412ED"/>
    <w:multiLevelType w:val="hybridMultilevel"/>
    <w:tmpl w:val="7C7042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E05728F"/>
    <w:multiLevelType w:val="hybridMultilevel"/>
    <w:tmpl w:val="30F81A62"/>
    <w:lvl w:ilvl="0" w:tplc="815E92A8">
      <w:start w:val="1"/>
      <w:numFmt w:val="decimal"/>
      <w:lvlText w:val="%1."/>
      <w:lvlJc w:val="left"/>
      <w:pPr>
        <w:tabs>
          <w:tab w:val="num" w:pos="720"/>
        </w:tabs>
        <w:ind w:left="720" w:hanging="360"/>
      </w:pPr>
    </w:lvl>
    <w:lvl w:ilvl="1" w:tplc="B0EAA70C">
      <w:start w:val="26"/>
      <w:numFmt w:val="bullet"/>
      <w:lvlText w:val="◦"/>
      <w:lvlJc w:val="left"/>
      <w:pPr>
        <w:tabs>
          <w:tab w:val="num" w:pos="1440"/>
        </w:tabs>
        <w:ind w:left="1440" w:hanging="360"/>
      </w:pPr>
      <w:rPr>
        <w:rFonts w:ascii="Calibri" w:hAnsi="Calibri" w:hint="default"/>
      </w:rPr>
    </w:lvl>
    <w:lvl w:ilvl="2" w:tplc="1F566EC6">
      <w:start w:val="26"/>
      <w:numFmt w:val="bullet"/>
      <w:lvlText w:val="◦"/>
      <w:lvlJc w:val="left"/>
      <w:pPr>
        <w:tabs>
          <w:tab w:val="num" w:pos="2160"/>
        </w:tabs>
        <w:ind w:left="2160" w:hanging="360"/>
      </w:pPr>
      <w:rPr>
        <w:rFonts w:ascii="Calibri" w:hAnsi="Calibri" w:hint="default"/>
      </w:rPr>
    </w:lvl>
    <w:lvl w:ilvl="3" w:tplc="221A8E5E" w:tentative="1">
      <w:start w:val="1"/>
      <w:numFmt w:val="decimal"/>
      <w:lvlText w:val="%4."/>
      <w:lvlJc w:val="left"/>
      <w:pPr>
        <w:tabs>
          <w:tab w:val="num" w:pos="2880"/>
        </w:tabs>
        <w:ind w:left="2880" w:hanging="360"/>
      </w:pPr>
    </w:lvl>
    <w:lvl w:ilvl="4" w:tplc="56B0346C">
      <w:start w:val="26"/>
      <w:numFmt w:val="bullet"/>
      <w:lvlText w:val="◦"/>
      <w:lvlJc w:val="left"/>
      <w:pPr>
        <w:tabs>
          <w:tab w:val="num" w:pos="3600"/>
        </w:tabs>
        <w:ind w:left="3600" w:hanging="360"/>
      </w:pPr>
      <w:rPr>
        <w:rFonts w:ascii="Calibri" w:hAnsi="Calibri" w:hint="default"/>
      </w:rPr>
    </w:lvl>
    <w:lvl w:ilvl="5" w:tplc="7640D192" w:tentative="1">
      <w:start w:val="1"/>
      <w:numFmt w:val="decimal"/>
      <w:lvlText w:val="%6."/>
      <w:lvlJc w:val="left"/>
      <w:pPr>
        <w:tabs>
          <w:tab w:val="num" w:pos="4320"/>
        </w:tabs>
        <w:ind w:left="4320" w:hanging="360"/>
      </w:pPr>
    </w:lvl>
    <w:lvl w:ilvl="6" w:tplc="5AE6C69C" w:tentative="1">
      <w:start w:val="1"/>
      <w:numFmt w:val="decimal"/>
      <w:lvlText w:val="%7."/>
      <w:lvlJc w:val="left"/>
      <w:pPr>
        <w:tabs>
          <w:tab w:val="num" w:pos="5040"/>
        </w:tabs>
        <w:ind w:left="5040" w:hanging="360"/>
      </w:pPr>
    </w:lvl>
    <w:lvl w:ilvl="7" w:tplc="D102F4AA" w:tentative="1">
      <w:start w:val="1"/>
      <w:numFmt w:val="decimal"/>
      <w:lvlText w:val="%8."/>
      <w:lvlJc w:val="left"/>
      <w:pPr>
        <w:tabs>
          <w:tab w:val="num" w:pos="5760"/>
        </w:tabs>
        <w:ind w:left="5760" w:hanging="360"/>
      </w:pPr>
    </w:lvl>
    <w:lvl w:ilvl="8" w:tplc="9F98380E" w:tentative="1">
      <w:start w:val="1"/>
      <w:numFmt w:val="decimal"/>
      <w:lvlText w:val="%9."/>
      <w:lvlJc w:val="left"/>
      <w:pPr>
        <w:tabs>
          <w:tab w:val="num" w:pos="6480"/>
        </w:tabs>
        <w:ind w:left="6480" w:hanging="360"/>
      </w:pPr>
    </w:lvl>
  </w:abstractNum>
  <w:abstractNum w:abstractNumId="41" w15:restartNumberingAfterBreak="0">
    <w:nsid w:val="6F4E6424"/>
    <w:multiLevelType w:val="hybridMultilevel"/>
    <w:tmpl w:val="F99C6386"/>
    <w:lvl w:ilvl="0" w:tplc="7F98612A">
      <w:start w:val="2"/>
      <w:numFmt w:val="bullet"/>
      <w:lvlText w:val="-"/>
      <w:lvlJc w:val="left"/>
      <w:pPr>
        <w:ind w:left="905" w:hanging="360"/>
      </w:pPr>
      <w:rPr>
        <w:rFonts w:ascii="Calibri" w:eastAsiaTheme="minorHAnsi" w:hAnsi="Calibri" w:cstheme="minorBidi"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42" w15:restartNumberingAfterBreak="0">
    <w:nsid w:val="70901500"/>
    <w:multiLevelType w:val="hybridMultilevel"/>
    <w:tmpl w:val="BB9A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C652AC"/>
    <w:multiLevelType w:val="hybridMultilevel"/>
    <w:tmpl w:val="CD8C1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107EFD"/>
    <w:multiLevelType w:val="hybridMultilevel"/>
    <w:tmpl w:val="BC00F936"/>
    <w:lvl w:ilvl="0" w:tplc="04090015">
      <w:start w:val="1"/>
      <w:numFmt w:val="upperLetter"/>
      <w:lvlText w:val="%1."/>
      <w:lvlJc w:val="left"/>
      <w:pPr>
        <w:ind w:left="360" w:hanging="360"/>
      </w:pPr>
    </w:lvl>
    <w:lvl w:ilvl="1" w:tplc="E238FAFE">
      <w:start w:val="1"/>
      <w:numFmt w:val="lowerRoman"/>
      <w:lvlText w:val="%2."/>
      <w:lvlJc w:val="left"/>
      <w:pPr>
        <w:ind w:left="1800" w:hanging="720"/>
      </w:pPr>
      <w:rPr>
        <w:rFonts w:hint="default"/>
      </w:rPr>
    </w:lvl>
    <w:lvl w:ilvl="2" w:tplc="4688354E">
      <w:start w:val="89"/>
      <w:numFmt w:val="decimal"/>
      <w:lvlText w:val="%3"/>
      <w:lvlJc w:val="left"/>
      <w:pPr>
        <w:ind w:left="2340" w:hanging="360"/>
      </w:pPr>
      <w:rPr>
        <w:rFonts w:asciiTheme="minorHAnsi" w:hAnsiTheme="minorHAnsi" w:hint="default"/>
        <w:color w:val="00000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88340A"/>
    <w:multiLevelType w:val="hybridMultilevel"/>
    <w:tmpl w:val="2E34C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C20236D"/>
    <w:multiLevelType w:val="hybridMultilevel"/>
    <w:tmpl w:val="19E4A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D881432"/>
    <w:multiLevelType w:val="hybridMultilevel"/>
    <w:tmpl w:val="88EC2A10"/>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4"/>
  </w:num>
  <w:num w:numId="3">
    <w:abstractNumId w:val="37"/>
  </w:num>
  <w:num w:numId="4">
    <w:abstractNumId w:val="33"/>
  </w:num>
  <w:num w:numId="5">
    <w:abstractNumId w:val="18"/>
  </w:num>
  <w:num w:numId="6">
    <w:abstractNumId w:val="2"/>
  </w:num>
  <w:num w:numId="7">
    <w:abstractNumId w:val="34"/>
  </w:num>
  <w:num w:numId="8">
    <w:abstractNumId w:val="4"/>
  </w:num>
  <w:num w:numId="9">
    <w:abstractNumId w:val="35"/>
  </w:num>
  <w:num w:numId="10">
    <w:abstractNumId w:val="10"/>
  </w:num>
  <w:num w:numId="11">
    <w:abstractNumId w:val="9"/>
  </w:num>
  <w:num w:numId="12">
    <w:abstractNumId w:val="38"/>
  </w:num>
  <w:num w:numId="13">
    <w:abstractNumId w:val="14"/>
  </w:num>
  <w:num w:numId="14">
    <w:abstractNumId w:val="5"/>
  </w:num>
  <w:num w:numId="15">
    <w:abstractNumId w:val="0"/>
  </w:num>
  <w:num w:numId="16">
    <w:abstractNumId w:val="47"/>
  </w:num>
  <w:num w:numId="17">
    <w:abstractNumId w:val="36"/>
  </w:num>
  <w:num w:numId="18">
    <w:abstractNumId w:val="24"/>
  </w:num>
  <w:num w:numId="19">
    <w:abstractNumId w:val="20"/>
  </w:num>
  <w:num w:numId="20">
    <w:abstractNumId w:val="32"/>
  </w:num>
  <w:num w:numId="21">
    <w:abstractNumId w:val="23"/>
  </w:num>
  <w:num w:numId="22">
    <w:abstractNumId w:val="45"/>
  </w:num>
  <w:num w:numId="23">
    <w:abstractNumId w:val="21"/>
  </w:num>
  <w:num w:numId="24">
    <w:abstractNumId w:val="43"/>
  </w:num>
  <w:num w:numId="25">
    <w:abstractNumId w:val="17"/>
  </w:num>
  <w:num w:numId="26">
    <w:abstractNumId w:val="11"/>
  </w:num>
  <w:num w:numId="27">
    <w:abstractNumId w:val="41"/>
  </w:num>
  <w:num w:numId="28">
    <w:abstractNumId w:val="29"/>
  </w:num>
  <w:num w:numId="29">
    <w:abstractNumId w:val="7"/>
  </w:num>
  <w:num w:numId="30">
    <w:abstractNumId w:val="31"/>
  </w:num>
  <w:num w:numId="31">
    <w:abstractNumId w:val="25"/>
  </w:num>
  <w:num w:numId="32">
    <w:abstractNumId w:val="42"/>
  </w:num>
  <w:num w:numId="33">
    <w:abstractNumId w:val="30"/>
  </w:num>
  <w:num w:numId="34">
    <w:abstractNumId w:val="40"/>
  </w:num>
  <w:num w:numId="35">
    <w:abstractNumId w:val="6"/>
  </w:num>
  <w:num w:numId="36">
    <w:abstractNumId w:val="46"/>
  </w:num>
  <w:num w:numId="37">
    <w:abstractNumId w:val="28"/>
  </w:num>
  <w:num w:numId="38">
    <w:abstractNumId w:val="1"/>
  </w:num>
  <w:num w:numId="39">
    <w:abstractNumId w:val="26"/>
  </w:num>
  <w:num w:numId="40">
    <w:abstractNumId w:val="15"/>
  </w:num>
  <w:num w:numId="41">
    <w:abstractNumId w:val="19"/>
  </w:num>
  <w:num w:numId="42">
    <w:abstractNumId w:val="8"/>
  </w:num>
  <w:num w:numId="43">
    <w:abstractNumId w:val="27"/>
  </w:num>
  <w:num w:numId="44">
    <w:abstractNumId w:val="16"/>
  </w:num>
  <w:num w:numId="45">
    <w:abstractNumId w:val="22"/>
  </w:num>
  <w:num w:numId="46">
    <w:abstractNumId w:val="13"/>
  </w:num>
  <w:num w:numId="47">
    <w:abstractNumId w:val="12"/>
  </w:num>
  <w:num w:numId="48">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D61"/>
    <w:rsid w:val="000002A3"/>
    <w:rsid w:val="00003865"/>
    <w:rsid w:val="00005881"/>
    <w:rsid w:val="00007A64"/>
    <w:rsid w:val="00007EC8"/>
    <w:rsid w:val="00011081"/>
    <w:rsid w:val="00011FCF"/>
    <w:rsid w:val="00013615"/>
    <w:rsid w:val="00013909"/>
    <w:rsid w:val="00015844"/>
    <w:rsid w:val="00015F56"/>
    <w:rsid w:val="000164AD"/>
    <w:rsid w:val="00016ED8"/>
    <w:rsid w:val="0002105D"/>
    <w:rsid w:val="00024CE7"/>
    <w:rsid w:val="0002570B"/>
    <w:rsid w:val="00026314"/>
    <w:rsid w:val="00032070"/>
    <w:rsid w:val="0003335B"/>
    <w:rsid w:val="00034D25"/>
    <w:rsid w:val="00034DD9"/>
    <w:rsid w:val="00037335"/>
    <w:rsid w:val="000378EE"/>
    <w:rsid w:val="00037945"/>
    <w:rsid w:val="00041A1B"/>
    <w:rsid w:val="00043173"/>
    <w:rsid w:val="0004444A"/>
    <w:rsid w:val="00047CB2"/>
    <w:rsid w:val="00050A00"/>
    <w:rsid w:val="00051C18"/>
    <w:rsid w:val="0005252C"/>
    <w:rsid w:val="00053441"/>
    <w:rsid w:val="000544D5"/>
    <w:rsid w:val="000612E5"/>
    <w:rsid w:val="000618EB"/>
    <w:rsid w:val="00064A44"/>
    <w:rsid w:val="0006610E"/>
    <w:rsid w:val="00074817"/>
    <w:rsid w:val="00074C4F"/>
    <w:rsid w:val="0007699E"/>
    <w:rsid w:val="00077534"/>
    <w:rsid w:val="00077BFE"/>
    <w:rsid w:val="00077CCE"/>
    <w:rsid w:val="0008008F"/>
    <w:rsid w:val="00080245"/>
    <w:rsid w:val="00080793"/>
    <w:rsid w:val="00080BBD"/>
    <w:rsid w:val="0008134A"/>
    <w:rsid w:val="000814F5"/>
    <w:rsid w:val="00081725"/>
    <w:rsid w:val="0008240C"/>
    <w:rsid w:val="0008432B"/>
    <w:rsid w:val="00084D1B"/>
    <w:rsid w:val="000904BD"/>
    <w:rsid w:val="00094E0B"/>
    <w:rsid w:val="00095FB4"/>
    <w:rsid w:val="000A3630"/>
    <w:rsid w:val="000A3633"/>
    <w:rsid w:val="000A5CD8"/>
    <w:rsid w:val="000B2900"/>
    <w:rsid w:val="000B29A0"/>
    <w:rsid w:val="000B4B7D"/>
    <w:rsid w:val="000B5781"/>
    <w:rsid w:val="000B5BAB"/>
    <w:rsid w:val="000B7933"/>
    <w:rsid w:val="000B7D8E"/>
    <w:rsid w:val="000C35E6"/>
    <w:rsid w:val="000C5D18"/>
    <w:rsid w:val="000D03C4"/>
    <w:rsid w:val="000D1D8D"/>
    <w:rsid w:val="000D51B5"/>
    <w:rsid w:val="000D6AE6"/>
    <w:rsid w:val="000D709F"/>
    <w:rsid w:val="000E0555"/>
    <w:rsid w:val="000E32F4"/>
    <w:rsid w:val="000E3B01"/>
    <w:rsid w:val="000E4132"/>
    <w:rsid w:val="000F4389"/>
    <w:rsid w:val="000F55FC"/>
    <w:rsid w:val="000F6615"/>
    <w:rsid w:val="001017C5"/>
    <w:rsid w:val="00106934"/>
    <w:rsid w:val="00107E97"/>
    <w:rsid w:val="0011058F"/>
    <w:rsid w:val="00110795"/>
    <w:rsid w:val="0011254E"/>
    <w:rsid w:val="00112DF1"/>
    <w:rsid w:val="00112F09"/>
    <w:rsid w:val="00124EBB"/>
    <w:rsid w:val="00125D8E"/>
    <w:rsid w:val="0012672A"/>
    <w:rsid w:val="00127E0B"/>
    <w:rsid w:val="001319EF"/>
    <w:rsid w:val="00133566"/>
    <w:rsid w:val="0013585D"/>
    <w:rsid w:val="00135AD9"/>
    <w:rsid w:val="00140134"/>
    <w:rsid w:val="001414DE"/>
    <w:rsid w:val="001465A2"/>
    <w:rsid w:val="00151046"/>
    <w:rsid w:val="00152DB9"/>
    <w:rsid w:val="00154487"/>
    <w:rsid w:val="0016089D"/>
    <w:rsid w:val="00160ED1"/>
    <w:rsid w:val="001624C7"/>
    <w:rsid w:val="00164176"/>
    <w:rsid w:val="0017157E"/>
    <w:rsid w:val="00176E51"/>
    <w:rsid w:val="001808ED"/>
    <w:rsid w:val="00184A18"/>
    <w:rsid w:val="00185154"/>
    <w:rsid w:val="001858DA"/>
    <w:rsid w:val="0018779F"/>
    <w:rsid w:val="00191F45"/>
    <w:rsid w:val="0019246A"/>
    <w:rsid w:val="00193682"/>
    <w:rsid w:val="00196F6F"/>
    <w:rsid w:val="001A06EC"/>
    <w:rsid w:val="001A3EE7"/>
    <w:rsid w:val="001B0FF7"/>
    <w:rsid w:val="001B39A6"/>
    <w:rsid w:val="001B5245"/>
    <w:rsid w:val="001B656B"/>
    <w:rsid w:val="001C167D"/>
    <w:rsid w:val="001C1FC1"/>
    <w:rsid w:val="001C2F10"/>
    <w:rsid w:val="001C6584"/>
    <w:rsid w:val="001D1681"/>
    <w:rsid w:val="001D4362"/>
    <w:rsid w:val="001E2BD1"/>
    <w:rsid w:val="001E41BD"/>
    <w:rsid w:val="001E598B"/>
    <w:rsid w:val="001F0071"/>
    <w:rsid w:val="001F224A"/>
    <w:rsid w:val="001F3420"/>
    <w:rsid w:val="001F57B2"/>
    <w:rsid w:val="001F5FEA"/>
    <w:rsid w:val="001F6BBA"/>
    <w:rsid w:val="002043DC"/>
    <w:rsid w:val="002052C9"/>
    <w:rsid w:val="00205870"/>
    <w:rsid w:val="00206C28"/>
    <w:rsid w:val="00210EF0"/>
    <w:rsid w:val="00210F59"/>
    <w:rsid w:val="00211280"/>
    <w:rsid w:val="002115E3"/>
    <w:rsid w:val="00211F97"/>
    <w:rsid w:val="0021335D"/>
    <w:rsid w:val="00213716"/>
    <w:rsid w:val="002171C3"/>
    <w:rsid w:val="00220260"/>
    <w:rsid w:val="00227062"/>
    <w:rsid w:val="00227563"/>
    <w:rsid w:val="00227669"/>
    <w:rsid w:val="00231105"/>
    <w:rsid w:val="00232160"/>
    <w:rsid w:val="002347C8"/>
    <w:rsid w:val="00236FF7"/>
    <w:rsid w:val="00237C7F"/>
    <w:rsid w:val="0024352D"/>
    <w:rsid w:val="00243B02"/>
    <w:rsid w:val="00244584"/>
    <w:rsid w:val="0024526C"/>
    <w:rsid w:val="0024558A"/>
    <w:rsid w:val="00245756"/>
    <w:rsid w:val="0025019A"/>
    <w:rsid w:val="00250B1E"/>
    <w:rsid w:val="00254B8C"/>
    <w:rsid w:val="00262CFB"/>
    <w:rsid w:val="00265856"/>
    <w:rsid w:val="00272A2B"/>
    <w:rsid w:val="002735D1"/>
    <w:rsid w:val="00274516"/>
    <w:rsid w:val="00275AC9"/>
    <w:rsid w:val="00280E87"/>
    <w:rsid w:val="00297A4C"/>
    <w:rsid w:val="002A04F3"/>
    <w:rsid w:val="002A0817"/>
    <w:rsid w:val="002A6545"/>
    <w:rsid w:val="002A6FF1"/>
    <w:rsid w:val="002A7340"/>
    <w:rsid w:val="002B24EC"/>
    <w:rsid w:val="002B4D67"/>
    <w:rsid w:val="002C3113"/>
    <w:rsid w:val="002C6999"/>
    <w:rsid w:val="002C7408"/>
    <w:rsid w:val="002D0A5E"/>
    <w:rsid w:val="002D34B3"/>
    <w:rsid w:val="002D4E01"/>
    <w:rsid w:val="002E018B"/>
    <w:rsid w:val="002E01E9"/>
    <w:rsid w:val="002E4413"/>
    <w:rsid w:val="002E677A"/>
    <w:rsid w:val="002F0F91"/>
    <w:rsid w:val="002F416E"/>
    <w:rsid w:val="002F7C2E"/>
    <w:rsid w:val="00300899"/>
    <w:rsid w:val="0030128E"/>
    <w:rsid w:val="003026AF"/>
    <w:rsid w:val="00302E33"/>
    <w:rsid w:val="003104BC"/>
    <w:rsid w:val="00310F68"/>
    <w:rsid w:val="003139A4"/>
    <w:rsid w:val="003151C9"/>
    <w:rsid w:val="0032080E"/>
    <w:rsid w:val="00320908"/>
    <w:rsid w:val="003219AA"/>
    <w:rsid w:val="00321A0B"/>
    <w:rsid w:val="00325380"/>
    <w:rsid w:val="003259B2"/>
    <w:rsid w:val="003267B5"/>
    <w:rsid w:val="00336260"/>
    <w:rsid w:val="00337287"/>
    <w:rsid w:val="003372C3"/>
    <w:rsid w:val="0034035C"/>
    <w:rsid w:val="003418CC"/>
    <w:rsid w:val="00342B8C"/>
    <w:rsid w:val="00342E0F"/>
    <w:rsid w:val="00344AD4"/>
    <w:rsid w:val="00345C57"/>
    <w:rsid w:val="00350D02"/>
    <w:rsid w:val="00357566"/>
    <w:rsid w:val="00360098"/>
    <w:rsid w:val="00365174"/>
    <w:rsid w:val="00365751"/>
    <w:rsid w:val="003663BC"/>
    <w:rsid w:val="00366E28"/>
    <w:rsid w:val="0037088F"/>
    <w:rsid w:val="00376ECB"/>
    <w:rsid w:val="00380741"/>
    <w:rsid w:val="00384CBA"/>
    <w:rsid w:val="00385C2D"/>
    <w:rsid w:val="003877D2"/>
    <w:rsid w:val="003900FD"/>
    <w:rsid w:val="003950B8"/>
    <w:rsid w:val="003A3C64"/>
    <w:rsid w:val="003A68AE"/>
    <w:rsid w:val="003A6C75"/>
    <w:rsid w:val="003B15CA"/>
    <w:rsid w:val="003B294F"/>
    <w:rsid w:val="003C3BFD"/>
    <w:rsid w:val="003D04D6"/>
    <w:rsid w:val="003D0AA4"/>
    <w:rsid w:val="003D0D1F"/>
    <w:rsid w:val="003E0590"/>
    <w:rsid w:val="003E21E2"/>
    <w:rsid w:val="003E28EA"/>
    <w:rsid w:val="003E2C2E"/>
    <w:rsid w:val="003E3F82"/>
    <w:rsid w:val="003E54AC"/>
    <w:rsid w:val="003E6114"/>
    <w:rsid w:val="003E6B06"/>
    <w:rsid w:val="003F0394"/>
    <w:rsid w:val="003F23B6"/>
    <w:rsid w:val="003F2959"/>
    <w:rsid w:val="003F2CB4"/>
    <w:rsid w:val="003F4BB9"/>
    <w:rsid w:val="00400AF9"/>
    <w:rsid w:val="00400F0C"/>
    <w:rsid w:val="00401983"/>
    <w:rsid w:val="00402036"/>
    <w:rsid w:val="00403840"/>
    <w:rsid w:val="00405080"/>
    <w:rsid w:val="004121A4"/>
    <w:rsid w:val="0041288B"/>
    <w:rsid w:val="00413FBE"/>
    <w:rsid w:val="004171B2"/>
    <w:rsid w:val="00420461"/>
    <w:rsid w:val="00423515"/>
    <w:rsid w:val="00423846"/>
    <w:rsid w:val="00423A6B"/>
    <w:rsid w:val="00423B00"/>
    <w:rsid w:val="004248AE"/>
    <w:rsid w:val="00424C32"/>
    <w:rsid w:val="00425024"/>
    <w:rsid w:val="00426F62"/>
    <w:rsid w:val="0043095C"/>
    <w:rsid w:val="00430BD7"/>
    <w:rsid w:val="0043178D"/>
    <w:rsid w:val="00433D4F"/>
    <w:rsid w:val="004340FD"/>
    <w:rsid w:val="00434F85"/>
    <w:rsid w:val="00442689"/>
    <w:rsid w:val="004445A0"/>
    <w:rsid w:val="00445117"/>
    <w:rsid w:val="004464A6"/>
    <w:rsid w:val="00450289"/>
    <w:rsid w:val="00453AEA"/>
    <w:rsid w:val="00453CE2"/>
    <w:rsid w:val="00454189"/>
    <w:rsid w:val="00460EE5"/>
    <w:rsid w:val="00460EF1"/>
    <w:rsid w:val="00461972"/>
    <w:rsid w:val="004659AE"/>
    <w:rsid w:val="0046634E"/>
    <w:rsid w:val="004673D6"/>
    <w:rsid w:val="00470315"/>
    <w:rsid w:val="00470E91"/>
    <w:rsid w:val="0047181F"/>
    <w:rsid w:val="004756C1"/>
    <w:rsid w:val="00477590"/>
    <w:rsid w:val="00477FE7"/>
    <w:rsid w:val="0048153A"/>
    <w:rsid w:val="004817A0"/>
    <w:rsid w:val="00491BA2"/>
    <w:rsid w:val="00492208"/>
    <w:rsid w:val="004924EF"/>
    <w:rsid w:val="00492B3D"/>
    <w:rsid w:val="004937FA"/>
    <w:rsid w:val="004A31D1"/>
    <w:rsid w:val="004A36C7"/>
    <w:rsid w:val="004A3CE2"/>
    <w:rsid w:val="004A41DA"/>
    <w:rsid w:val="004B2520"/>
    <w:rsid w:val="004B64B4"/>
    <w:rsid w:val="004B678A"/>
    <w:rsid w:val="004B7381"/>
    <w:rsid w:val="004C022A"/>
    <w:rsid w:val="004C37D0"/>
    <w:rsid w:val="004C452F"/>
    <w:rsid w:val="004C6CCF"/>
    <w:rsid w:val="004D1A4A"/>
    <w:rsid w:val="004D2901"/>
    <w:rsid w:val="004D2D4E"/>
    <w:rsid w:val="004D33FE"/>
    <w:rsid w:val="004D40DB"/>
    <w:rsid w:val="004D4A50"/>
    <w:rsid w:val="004D6DE0"/>
    <w:rsid w:val="004E118D"/>
    <w:rsid w:val="004E2972"/>
    <w:rsid w:val="004E4D20"/>
    <w:rsid w:val="004E5326"/>
    <w:rsid w:val="004F0530"/>
    <w:rsid w:val="004F06F5"/>
    <w:rsid w:val="004F3444"/>
    <w:rsid w:val="004F52E2"/>
    <w:rsid w:val="004F7A73"/>
    <w:rsid w:val="00500CF2"/>
    <w:rsid w:val="005021F0"/>
    <w:rsid w:val="00507A54"/>
    <w:rsid w:val="00510D74"/>
    <w:rsid w:val="00512E5B"/>
    <w:rsid w:val="00512F96"/>
    <w:rsid w:val="00513851"/>
    <w:rsid w:val="0051523C"/>
    <w:rsid w:val="005159E9"/>
    <w:rsid w:val="00522645"/>
    <w:rsid w:val="00522C43"/>
    <w:rsid w:val="00522EBE"/>
    <w:rsid w:val="005239EA"/>
    <w:rsid w:val="005270CC"/>
    <w:rsid w:val="00531A13"/>
    <w:rsid w:val="005327C5"/>
    <w:rsid w:val="00534610"/>
    <w:rsid w:val="005348AA"/>
    <w:rsid w:val="0054009F"/>
    <w:rsid w:val="00543D7C"/>
    <w:rsid w:val="00550E07"/>
    <w:rsid w:val="005511FD"/>
    <w:rsid w:val="0055428D"/>
    <w:rsid w:val="0055436B"/>
    <w:rsid w:val="0055757D"/>
    <w:rsid w:val="00561146"/>
    <w:rsid w:val="00565411"/>
    <w:rsid w:val="005658AB"/>
    <w:rsid w:val="005678D8"/>
    <w:rsid w:val="00567BF0"/>
    <w:rsid w:val="00577D49"/>
    <w:rsid w:val="00581A0A"/>
    <w:rsid w:val="005851B0"/>
    <w:rsid w:val="005851DC"/>
    <w:rsid w:val="005856A6"/>
    <w:rsid w:val="00585B8F"/>
    <w:rsid w:val="00591A2D"/>
    <w:rsid w:val="005964CE"/>
    <w:rsid w:val="00597CDE"/>
    <w:rsid w:val="005A0AB3"/>
    <w:rsid w:val="005A234D"/>
    <w:rsid w:val="005A2983"/>
    <w:rsid w:val="005A3D0C"/>
    <w:rsid w:val="005A4D94"/>
    <w:rsid w:val="005B02BB"/>
    <w:rsid w:val="005B3D90"/>
    <w:rsid w:val="005B704E"/>
    <w:rsid w:val="005B73AF"/>
    <w:rsid w:val="005C5A73"/>
    <w:rsid w:val="005C62E0"/>
    <w:rsid w:val="005C6D79"/>
    <w:rsid w:val="005D4EF7"/>
    <w:rsid w:val="005D5815"/>
    <w:rsid w:val="005D6854"/>
    <w:rsid w:val="005E2D6F"/>
    <w:rsid w:val="005E56FA"/>
    <w:rsid w:val="005E6ED5"/>
    <w:rsid w:val="005E70BC"/>
    <w:rsid w:val="00600654"/>
    <w:rsid w:val="00600BC6"/>
    <w:rsid w:val="00600CB3"/>
    <w:rsid w:val="006012A6"/>
    <w:rsid w:val="00602E8C"/>
    <w:rsid w:val="00602E99"/>
    <w:rsid w:val="006033A3"/>
    <w:rsid w:val="00603421"/>
    <w:rsid w:val="00605332"/>
    <w:rsid w:val="006158E2"/>
    <w:rsid w:val="006163D1"/>
    <w:rsid w:val="00616B98"/>
    <w:rsid w:val="00616FF5"/>
    <w:rsid w:val="00621737"/>
    <w:rsid w:val="00623876"/>
    <w:rsid w:val="0062492A"/>
    <w:rsid w:val="0062699A"/>
    <w:rsid w:val="00627CCB"/>
    <w:rsid w:val="006319F8"/>
    <w:rsid w:val="006345AE"/>
    <w:rsid w:val="00640FD8"/>
    <w:rsid w:val="006442D6"/>
    <w:rsid w:val="00644805"/>
    <w:rsid w:val="006450CF"/>
    <w:rsid w:val="00646763"/>
    <w:rsid w:val="00652BC9"/>
    <w:rsid w:val="006537A3"/>
    <w:rsid w:val="00653FE1"/>
    <w:rsid w:val="00657221"/>
    <w:rsid w:val="006622E8"/>
    <w:rsid w:val="006628D3"/>
    <w:rsid w:val="0066299F"/>
    <w:rsid w:val="00664F27"/>
    <w:rsid w:val="00670DC1"/>
    <w:rsid w:val="00673B15"/>
    <w:rsid w:val="006750CC"/>
    <w:rsid w:val="00675663"/>
    <w:rsid w:val="00675799"/>
    <w:rsid w:val="00675C50"/>
    <w:rsid w:val="00675CD1"/>
    <w:rsid w:val="006800CF"/>
    <w:rsid w:val="0068270B"/>
    <w:rsid w:val="00682C9A"/>
    <w:rsid w:val="00684669"/>
    <w:rsid w:val="00686BF1"/>
    <w:rsid w:val="0069141E"/>
    <w:rsid w:val="0069192B"/>
    <w:rsid w:val="006926FA"/>
    <w:rsid w:val="00692A2C"/>
    <w:rsid w:val="006951CA"/>
    <w:rsid w:val="00695A7A"/>
    <w:rsid w:val="006A2A66"/>
    <w:rsid w:val="006A40E2"/>
    <w:rsid w:val="006A5270"/>
    <w:rsid w:val="006A7897"/>
    <w:rsid w:val="006A7CE2"/>
    <w:rsid w:val="006A7E95"/>
    <w:rsid w:val="006B6505"/>
    <w:rsid w:val="006B7A44"/>
    <w:rsid w:val="006C019C"/>
    <w:rsid w:val="006C28FC"/>
    <w:rsid w:val="006C38C3"/>
    <w:rsid w:val="006C3907"/>
    <w:rsid w:val="006C4504"/>
    <w:rsid w:val="006C51C0"/>
    <w:rsid w:val="006C5637"/>
    <w:rsid w:val="006C5C19"/>
    <w:rsid w:val="006C691B"/>
    <w:rsid w:val="006C6AC4"/>
    <w:rsid w:val="006C6B65"/>
    <w:rsid w:val="006D3372"/>
    <w:rsid w:val="006D61E6"/>
    <w:rsid w:val="006E23A5"/>
    <w:rsid w:val="006E2EAC"/>
    <w:rsid w:val="006E5151"/>
    <w:rsid w:val="006E687C"/>
    <w:rsid w:val="006F498E"/>
    <w:rsid w:val="006F5363"/>
    <w:rsid w:val="006F643D"/>
    <w:rsid w:val="007004CD"/>
    <w:rsid w:val="00700DCF"/>
    <w:rsid w:val="00702B00"/>
    <w:rsid w:val="0070658C"/>
    <w:rsid w:val="007115C4"/>
    <w:rsid w:val="0071320C"/>
    <w:rsid w:val="00713B6F"/>
    <w:rsid w:val="00716638"/>
    <w:rsid w:val="00716818"/>
    <w:rsid w:val="00716EB9"/>
    <w:rsid w:val="0071716E"/>
    <w:rsid w:val="007206A3"/>
    <w:rsid w:val="0073021B"/>
    <w:rsid w:val="00731C08"/>
    <w:rsid w:val="00734033"/>
    <w:rsid w:val="007343DF"/>
    <w:rsid w:val="007429CD"/>
    <w:rsid w:val="00742A40"/>
    <w:rsid w:val="00743C47"/>
    <w:rsid w:val="00743F65"/>
    <w:rsid w:val="00745C27"/>
    <w:rsid w:val="00747840"/>
    <w:rsid w:val="007503BF"/>
    <w:rsid w:val="007508F1"/>
    <w:rsid w:val="00750DC0"/>
    <w:rsid w:val="0075336E"/>
    <w:rsid w:val="0075463D"/>
    <w:rsid w:val="00755186"/>
    <w:rsid w:val="007552C3"/>
    <w:rsid w:val="00756E7A"/>
    <w:rsid w:val="00757002"/>
    <w:rsid w:val="007579FE"/>
    <w:rsid w:val="00760258"/>
    <w:rsid w:val="007602BF"/>
    <w:rsid w:val="007623DA"/>
    <w:rsid w:val="00764C95"/>
    <w:rsid w:val="007652A0"/>
    <w:rsid w:val="00771871"/>
    <w:rsid w:val="007720E0"/>
    <w:rsid w:val="007833A7"/>
    <w:rsid w:val="00784907"/>
    <w:rsid w:val="00791C0B"/>
    <w:rsid w:val="007926AE"/>
    <w:rsid w:val="007930F3"/>
    <w:rsid w:val="00794B9A"/>
    <w:rsid w:val="00796661"/>
    <w:rsid w:val="007A0043"/>
    <w:rsid w:val="007A2C90"/>
    <w:rsid w:val="007A317F"/>
    <w:rsid w:val="007A3270"/>
    <w:rsid w:val="007A6133"/>
    <w:rsid w:val="007A750B"/>
    <w:rsid w:val="007B7C32"/>
    <w:rsid w:val="007C0937"/>
    <w:rsid w:val="007C1F06"/>
    <w:rsid w:val="007C3381"/>
    <w:rsid w:val="007C35C1"/>
    <w:rsid w:val="007C627E"/>
    <w:rsid w:val="007D0D96"/>
    <w:rsid w:val="007D6FD2"/>
    <w:rsid w:val="007E4ADF"/>
    <w:rsid w:val="007E4CC4"/>
    <w:rsid w:val="007E6706"/>
    <w:rsid w:val="007E79BD"/>
    <w:rsid w:val="007F28B0"/>
    <w:rsid w:val="007F3A75"/>
    <w:rsid w:val="00800081"/>
    <w:rsid w:val="00800763"/>
    <w:rsid w:val="00803351"/>
    <w:rsid w:val="00803D6A"/>
    <w:rsid w:val="00806EFB"/>
    <w:rsid w:val="00807790"/>
    <w:rsid w:val="00815B32"/>
    <w:rsid w:val="00816C37"/>
    <w:rsid w:val="0082595B"/>
    <w:rsid w:val="00830ABA"/>
    <w:rsid w:val="008330E4"/>
    <w:rsid w:val="008346F0"/>
    <w:rsid w:val="008353CF"/>
    <w:rsid w:val="00835AB8"/>
    <w:rsid w:val="008400DD"/>
    <w:rsid w:val="008447D0"/>
    <w:rsid w:val="0084741B"/>
    <w:rsid w:val="00851504"/>
    <w:rsid w:val="00852936"/>
    <w:rsid w:val="00854395"/>
    <w:rsid w:val="008546F3"/>
    <w:rsid w:val="00855982"/>
    <w:rsid w:val="0085598F"/>
    <w:rsid w:val="00855DE3"/>
    <w:rsid w:val="00864DDD"/>
    <w:rsid w:val="00865BFD"/>
    <w:rsid w:val="00866EDB"/>
    <w:rsid w:val="0087391C"/>
    <w:rsid w:val="0087422D"/>
    <w:rsid w:val="00876581"/>
    <w:rsid w:val="00876C81"/>
    <w:rsid w:val="008804AD"/>
    <w:rsid w:val="0088314D"/>
    <w:rsid w:val="00884775"/>
    <w:rsid w:val="00887DB3"/>
    <w:rsid w:val="008908F5"/>
    <w:rsid w:val="00890D56"/>
    <w:rsid w:val="00892275"/>
    <w:rsid w:val="008A3D6F"/>
    <w:rsid w:val="008A4D6F"/>
    <w:rsid w:val="008A57A6"/>
    <w:rsid w:val="008A59FA"/>
    <w:rsid w:val="008A6436"/>
    <w:rsid w:val="008A7A54"/>
    <w:rsid w:val="008B027E"/>
    <w:rsid w:val="008B045A"/>
    <w:rsid w:val="008B218E"/>
    <w:rsid w:val="008B4A4E"/>
    <w:rsid w:val="008B66B9"/>
    <w:rsid w:val="008B69A7"/>
    <w:rsid w:val="008C107F"/>
    <w:rsid w:val="008C39DB"/>
    <w:rsid w:val="008C650C"/>
    <w:rsid w:val="008C7D89"/>
    <w:rsid w:val="008D20CC"/>
    <w:rsid w:val="008D2C4D"/>
    <w:rsid w:val="008D3513"/>
    <w:rsid w:val="008D4489"/>
    <w:rsid w:val="008D536D"/>
    <w:rsid w:val="008D6285"/>
    <w:rsid w:val="008D63DF"/>
    <w:rsid w:val="008E0240"/>
    <w:rsid w:val="008E26D0"/>
    <w:rsid w:val="008F0F4E"/>
    <w:rsid w:val="008F4857"/>
    <w:rsid w:val="008F5E82"/>
    <w:rsid w:val="008F6522"/>
    <w:rsid w:val="008F6764"/>
    <w:rsid w:val="00903425"/>
    <w:rsid w:val="0090535E"/>
    <w:rsid w:val="009060E0"/>
    <w:rsid w:val="009071E9"/>
    <w:rsid w:val="00912A12"/>
    <w:rsid w:val="00913E87"/>
    <w:rsid w:val="00913FF1"/>
    <w:rsid w:val="00924696"/>
    <w:rsid w:val="00924F62"/>
    <w:rsid w:val="0092709E"/>
    <w:rsid w:val="0093166A"/>
    <w:rsid w:val="00942515"/>
    <w:rsid w:val="00943EE1"/>
    <w:rsid w:val="00945E8F"/>
    <w:rsid w:val="00954CFD"/>
    <w:rsid w:val="00954DC0"/>
    <w:rsid w:val="00960AE2"/>
    <w:rsid w:val="00963840"/>
    <w:rsid w:val="0096510A"/>
    <w:rsid w:val="00967D6C"/>
    <w:rsid w:val="00970371"/>
    <w:rsid w:val="00970575"/>
    <w:rsid w:val="00970F79"/>
    <w:rsid w:val="00972026"/>
    <w:rsid w:val="0097674E"/>
    <w:rsid w:val="009808B8"/>
    <w:rsid w:val="00981010"/>
    <w:rsid w:val="00981B26"/>
    <w:rsid w:val="00982975"/>
    <w:rsid w:val="00983AFD"/>
    <w:rsid w:val="00985C2B"/>
    <w:rsid w:val="0099103B"/>
    <w:rsid w:val="00992489"/>
    <w:rsid w:val="009925F0"/>
    <w:rsid w:val="00996D63"/>
    <w:rsid w:val="00996D80"/>
    <w:rsid w:val="009A139C"/>
    <w:rsid w:val="009A2CF5"/>
    <w:rsid w:val="009A3533"/>
    <w:rsid w:val="009A3B55"/>
    <w:rsid w:val="009A5E4F"/>
    <w:rsid w:val="009A70B1"/>
    <w:rsid w:val="009A7C27"/>
    <w:rsid w:val="009B2FC7"/>
    <w:rsid w:val="009B4BEA"/>
    <w:rsid w:val="009B5F21"/>
    <w:rsid w:val="009B6CDD"/>
    <w:rsid w:val="009C2301"/>
    <w:rsid w:val="009C38CC"/>
    <w:rsid w:val="009D1EC1"/>
    <w:rsid w:val="009D7D1C"/>
    <w:rsid w:val="009E392A"/>
    <w:rsid w:val="009E4974"/>
    <w:rsid w:val="009E5554"/>
    <w:rsid w:val="009E5977"/>
    <w:rsid w:val="009E6E1A"/>
    <w:rsid w:val="009F0C27"/>
    <w:rsid w:val="009F1438"/>
    <w:rsid w:val="009F2438"/>
    <w:rsid w:val="009F4AFD"/>
    <w:rsid w:val="00A00EF9"/>
    <w:rsid w:val="00A043C2"/>
    <w:rsid w:val="00A07CF9"/>
    <w:rsid w:val="00A07D03"/>
    <w:rsid w:val="00A10484"/>
    <w:rsid w:val="00A10F8A"/>
    <w:rsid w:val="00A12348"/>
    <w:rsid w:val="00A12D51"/>
    <w:rsid w:val="00A13ED9"/>
    <w:rsid w:val="00A14976"/>
    <w:rsid w:val="00A14A25"/>
    <w:rsid w:val="00A17323"/>
    <w:rsid w:val="00A21399"/>
    <w:rsid w:val="00A21B81"/>
    <w:rsid w:val="00A22E9A"/>
    <w:rsid w:val="00A275CF"/>
    <w:rsid w:val="00A3040F"/>
    <w:rsid w:val="00A32BB9"/>
    <w:rsid w:val="00A3600D"/>
    <w:rsid w:val="00A37730"/>
    <w:rsid w:val="00A55445"/>
    <w:rsid w:val="00A62C24"/>
    <w:rsid w:val="00A63C03"/>
    <w:rsid w:val="00A65C2D"/>
    <w:rsid w:val="00A67AB1"/>
    <w:rsid w:val="00A71A94"/>
    <w:rsid w:val="00A744C5"/>
    <w:rsid w:val="00A81815"/>
    <w:rsid w:val="00A81D43"/>
    <w:rsid w:val="00A8276D"/>
    <w:rsid w:val="00A84280"/>
    <w:rsid w:val="00A85637"/>
    <w:rsid w:val="00A87D55"/>
    <w:rsid w:val="00A9157D"/>
    <w:rsid w:val="00A92037"/>
    <w:rsid w:val="00A940B5"/>
    <w:rsid w:val="00A9509E"/>
    <w:rsid w:val="00A96528"/>
    <w:rsid w:val="00A974AE"/>
    <w:rsid w:val="00AA3475"/>
    <w:rsid w:val="00AA3F27"/>
    <w:rsid w:val="00AA68A9"/>
    <w:rsid w:val="00AA69E6"/>
    <w:rsid w:val="00AA780A"/>
    <w:rsid w:val="00AB68D7"/>
    <w:rsid w:val="00AC195A"/>
    <w:rsid w:val="00AC2C4A"/>
    <w:rsid w:val="00AC2C5F"/>
    <w:rsid w:val="00AC2D88"/>
    <w:rsid w:val="00AC3265"/>
    <w:rsid w:val="00AC685A"/>
    <w:rsid w:val="00AC7D43"/>
    <w:rsid w:val="00AD070A"/>
    <w:rsid w:val="00AD4833"/>
    <w:rsid w:val="00AD4AE6"/>
    <w:rsid w:val="00AE09E1"/>
    <w:rsid w:val="00AF2AD0"/>
    <w:rsid w:val="00AF2C06"/>
    <w:rsid w:val="00AF6F1E"/>
    <w:rsid w:val="00AF755A"/>
    <w:rsid w:val="00B000DF"/>
    <w:rsid w:val="00B004E2"/>
    <w:rsid w:val="00B015CC"/>
    <w:rsid w:val="00B05CD4"/>
    <w:rsid w:val="00B062BD"/>
    <w:rsid w:val="00B0675B"/>
    <w:rsid w:val="00B102CC"/>
    <w:rsid w:val="00B178A8"/>
    <w:rsid w:val="00B230B9"/>
    <w:rsid w:val="00B24747"/>
    <w:rsid w:val="00B2524E"/>
    <w:rsid w:val="00B3109D"/>
    <w:rsid w:val="00B326AB"/>
    <w:rsid w:val="00B32750"/>
    <w:rsid w:val="00B408AE"/>
    <w:rsid w:val="00B45D5E"/>
    <w:rsid w:val="00B470B5"/>
    <w:rsid w:val="00B5104B"/>
    <w:rsid w:val="00B51205"/>
    <w:rsid w:val="00B520BF"/>
    <w:rsid w:val="00B55EB6"/>
    <w:rsid w:val="00B56A3D"/>
    <w:rsid w:val="00B5749D"/>
    <w:rsid w:val="00B57FAB"/>
    <w:rsid w:val="00B60448"/>
    <w:rsid w:val="00B66568"/>
    <w:rsid w:val="00B74826"/>
    <w:rsid w:val="00B76CEE"/>
    <w:rsid w:val="00B77446"/>
    <w:rsid w:val="00B83232"/>
    <w:rsid w:val="00B869D5"/>
    <w:rsid w:val="00B909E1"/>
    <w:rsid w:val="00B9114E"/>
    <w:rsid w:val="00B91C64"/>
    <w:rsid w:val="00B928F1"/>
    <w:rsid w:val="00B95806"/>
    <w:rsid w:val="00B96C18"/>
    <w:rsid w:val="00BA3911"/>
    <w:rsid w:val="00BA4C6A"/>
    <w:rsid w:val="00BA4CEB"/>
    <w:rsid w:val="00BA53C2"/>
    <w:rsid w:val="00BB1D75"/>
    <w:rsid w:val="00BB2CC7"/>
    <w:rsid w:val="00BB3EBD"/>
    <w:rsid w:val="00BB4842"/>
    <w:rsid w:val="00BB60F6"/>
    <w:rsid w:val="00BB6B7B"/>
    <w:rsid w:val="00BB6B94"/>
    <w:rsid w:val="00BB6C35"/>
    <w:rsid w:val="00BB7A4B"/>
    <w:rsid w:val="00BB7D41"/>
    <w:rsid w:val="00BC0BE3"/>
    <w:rsid w:val="00BC1351"/>
    <w:rsid w:val="00BC1C70"/>
    <w:rsid w:val="00BC1DE6"/>
    <w:rsid w:val="00BC3B76"/>
    <w:rsid w:val="00BC4060"/>
    <w:rsid w:val="00BC4DC2"/>
    <w:rsid w:val="00BC5D8C"/>
    <w:rsid w:val="00BC67F1"/>
    <w:rsid w:val="00BD0F11"/>
    <w:rsid w:val="00BD1098"/>
    <w:rsid w:val="00BD4866"/>
    <w:rsid w:val="00BD554C"/>
    <w:rsid w:val="00BD6AD3"/>
    <w:rsid w:val="00BE3016"/>
    <w:rsid w:val="00BE5F2B"/>
    <w:rsid w:val="00BE7D90"/>
    <w:rsid w:val="00BF3EC8"/>
    <w:rsid w:val="00BF4BA4"/>
    <w:rsid w:val="00C02F00"/>
    <w:rsid w:val="00C108CF"/>
    <w:rsid w:val="00C12F54"/>
    <w:rsid w:val="00C16312"/>
    <w:rsid w:val="00C20C06"/>
    <w:rsid w:val="00C211FC"/>
    <w:rsid w:val="00C22436"/>
    <w:rsid w:val="00C2277A"/>
    <w:rsid w:val="00C23677"/>
    <w:rsid w:val="00C2467B"/>
    <w:rsid w:val="00C24A9A"/>
    <w:rsid w:val="00C25E28"/>
    <w:rsid w:val="00C2738D"/>
    <w:rsid w:val="00C36F58"/>
    <w:rsid w:val="00C37518"/>
    <w:rsid w:val="00C43B14"/>
    <w:rsid w:val="00C43DCB"/>
    <w:rsid w:val="00C44232"/>
    <w:rsid w:val="00C44FF3"/>
    <w:rsid w:val="00C45DD8"/>
    <w:rsid w:val="00C4617A"/>
    <w:rsid w:val="00C55F26"/>
    <w:rsid w:val="00C62C55"/>
    <w:rsid w:val="00C66097"/>
    <w:rsid w:val="00C66B18"/>
    <w:rsid w:val="00C71FF7"/>
    <w:rsid w:val="00C7573C"/>
    <w:rsid w:val="00C85B78"/>
    <w:rsid w:val="00C87A95"/>
    <w:rsid w:val="00C93342"/>
    <w:rsid w:val="00CA00C1"/>
    <w:rsid w:val="00CA56ED"/>
    <w:rsid w:val="00CB1517"/>
    <w:rsid w:val="00CB1998"/>
    <w:rsid w:val="00CB21B4"/>
    <w:rsid w:val="00CB22B7"/>
    <w:rsid w:val="00CB550C"/>
    <w:rsid w:val="00CB5C51"/>
    <w:rsid w:val="00CB6619"/>
    <w:rsid w:val="00CC04F2"/>
    <w:rsid w:val="00CC268D"/>
    <w:rsid w:val="00CC3FF0"/>
    <w:rsid w:val="00CD15D9"/>
    <w:rsid w:val="00CD2842"/>
    <w:rsid w:val="00CD4271"/>
    <w:rsid w:val="00CD531A"/>
    <w:rsid w:val="00CE4500"/>
    <w:rsid w:val="00CE4827"/>
    <w:rsid w:val="00CE5257"/>
    <w:rsid w:val="00CE5EA0"/>
    <w:rsid w:val="00CE6A8E"/>
    <w:rsid w:val="00CF1D7A"/>
    <w:rsid w:val="00CF2411"/>
    <w:rsid w:val="00CF33C2"/>
    <w:rsid w:val="00CF4171"/>
    <w:rsid w:val="00CF48E7"/>
    <w:rsid w:val="00CF5549"/>
    <w:rsid w:val="00CF7688"/>
    <w:rsid w:val="00D00362"/>
    <w:rsid w:val="00D10786"/>
    <w:rsid w:val="00D139C3"/>
    <w:rsid w:val="00D1423A"/>
    <w:rsid w:val="00D1468A"/>
    <w:rsid w:val="00D201E7"/>
    <w:rsid w:val="00D20DC2"/>
    <w:rsid w:val="00D21425"/>
    <w:rsid w:val="00D26109"/>
    <w:rsid w:val="00D30591"/>
    <w:rsid w:val="00D30963"/>
    <w:rsid w:val="00D32389"/>
    <w:rsid w:val="00D3743A"/>
    <w:rsid w:val="00D37A45"/>
    <w:rsid w:val="00D4020E"/>
    <w:rsid w:val="00D4249E"/>
    <w:rsid w:val="00D42634"/>
    <w:rsid w:val="00D44CD1"/>
    <w:rsid w:val="00D45B54"/>
    <w:rsid w:val="00D47CDD"/>
    <w:rsid w:val="00D51726"/>
    <w:rsid w:val="00D5289B"/>
    <w:rsid w:val="00D60A50"/>
    <w:rsid w:val="00D62795"/>
    <w:rsid w:val="00D62D9B"/>
    <w:rsid w:val="00D63769"/>
    <w:rsid w:val="00D64F51"/>
    <w:rsid w:val="00D65C67"/>
    <w:rsid w:val="00D65EF7"/>
    <w:rsid w:val="00D66E6B"/>
    <w:rsid w:val="00D67750"/>
    <w:rsid w:val="00D71834"/>
    <w:rsid w:val="00D7230B"/>
    <w:rsid w:val="00D73EAD"/>
    <w:rsid w:val="00D74AAD"/>
    <w:rsid w:val="00D74CF8"/>
    <w:rsid w:val="00D750EF"/>
    <w:rsid w:val="00D7679C"/>
    <w:rsid w:val="00D8027B"/>
    <w:rsid w:val="00D81C3F"/>
    <w:rsid w:val="00D8322D"/>
    <w:rsid w:val="00D85B3B"/>
    <w:rsid w:val="00D87AB9"/>
    <w:rsid w:val="00D90228"/>
    <w:rsid w:val="00D9124A"/>
    <w:rsid w:val="00D94857"/>
    <w:rsid w:val="00D9488B"/>
    <w:rsid w:val="00D96284"/>
    <w:rsid w:val="00DA10B6"/>
    <w:rsid w:val="00DA1BA8"/>
    <w:rsid w:val="00DA3B77"/>
    <w:rsid w:val="00DA45CC"/>
    <w:rsid w:val="00DA5CA7"/>
    <w:rsid w:val="00DA66FE"/>
    <w:rsid w:val="00DA76BD"/>
    <w:rsid w:val="00DB0E5E"/>
    <w:rsid w:val="00DB18A4"/>
    <w:rsid w:val="00DB2051"/>
    <w:rsid w:val="00DB5202"/>
    <w:rsid w:val="00DB5EB0"/>
    <w:rsid w:val="00DB7C97"/>
    <w:rsid w:val="00DC058E"/>
    <w:rsid w:val="00DC0784"/>
    <w:rsid w:val="00DC0C91"/>
    <w:rsid w:val="00DC102F"/>
    <w:rsid w:val="00DC2F1F"/>
    <w:rsid w:val="00DD1A72"/>
    <w:rsid w:val="00DD1C42"/>
    <w:rsid w:val="00DD7DCA"/>
    <w:rsid w:val="00DE2CD5"/>
    <w:rsid w:val="00DE4B08"/>
    <w:rsid w:val="00DF409D"/>
    <w:rsid w:val="00DF6B0A"/>
    <w:rsid w:val="00E01E28"/>
    <w:rsid w:val="00E02240"/>
    <w:rsid w:val="00E10132"/>
    <w:rsid w:val="00E1207D"/>
    <w:rsid w:val="00E122EF"/>
    <w:rsid w:val="00E14063"/>
    <w:rsid w:val="00E21035"/>
    <w:rsid w:val="00E22916"/>
    <w:rsid w:val="00E25E13"/>
    <w:rsid w:val="00E30A97"/>
    <w:rsid w:val="00E34E80"/>
    <w:rsid w:val="00E37708"/>
    <w:rsid w:val="00E40853"/>
    <w:rsid w:val="00E4140A"/>
    <w:rsid w:val="00E451ED"/>
    <w:rsid w:val="00E4723F"/>
    <w:rsid w:val="00E47997"/>
    <w:rsid w:val="00E56431"/>
    <w:rsid w:val="00E56CD4"/>
    <w:rsid w:val="00E57687"/>
    <w:rsid w:val="00E57C4D"/>
    <w:rsid w:val="00E60786"/>
    <w:rsid w:val="00E60B9D"/>
    <w:rsid w:val="00E62140"/>
    <w:rsid w:val="00E65C61"/>
    <w:rsid w:val="00E6668E"/>
    <w:rsid w:val="00E67926"/>
    <w:rsid w:val="00E740EF"/>
    <w:rsid w:val="00E7722D"/>
    <w:rsid w:val="00E82CF8"/>
    <w:rsid w:val="00E85341"/>
    <w:rsid w:val="00E87972"/>
    <w:rsid w:val="00E90E10"/>
    <w:rsid w:val="00E92F28"/>
    <w:rsid w:val="00E93D90"/>
    <w:rsid w:val="00E9683E"/>
    <w:rsid w:val="00EA0866"/>
    <w:rsid w:val="00EA4F3C"/>
    <w:rsid w:val="00EA68E2"/>
    <w:rsid w:val="00EB200D"/>
    <w:rsid w:val="00EB230F"/>
    <w:rsid w:val="00EB56F9"/>
    <w:rsid w:val="00EC39AB"/>
    <w:rsid w:val="00EC3D22"/>
    <w:rsid w:val="00EC4BFD"/>
    <w:rsid w:val="00EC6B23"/>
    <w:rsid w:val="00ED51BC"/>
    <w:rsid w:val="00EE64A6"/>
    <w:rsid w:val="00EE6DB0"/>
    <w:rsid w:val="00EE7037"/>
    <w:rsid w:val="00EF04A7"/>
    <w:rsid w:val="00EF7534"/>
    <w:rsid w:val="00F06D56"/>
    <w:rsid w:val="00F10EBB"/>
    <w:rsid w:val="00F11448"/>
    <w:rsid w:val="00F15505"/>
    <w:rsid w:val="00F15708"/>
    <w:rsid w:val="00F17D52"/>
    <w:rsid w:val="00F235E1"/>
    <w:rsid w:val="00F2671F"/>
    <w:rsid w:val="00F26DD9"/>
    <w:rsid w:val="00F274BE"/>
    <w:rsid w:val="00F278CE"/>
    <w:rsid w:val="00F31D25"/>
    <w:rsid w:val="00F329F2"/>
    <w:rsid w:val="00F34166"/>
    <w:rsid w:val="00F35F32"/>
    <w:rsid w:val="00F3600D"/>
    <w:rsid w:val="00F36C05"/>
    <w:rsid w:val="00F42A70"/>
    <w:rsid w:val="00F43A95"/>
    <w:rsid w:val="00F44C1D"/>
    <w:rsid w:val="00F46BEA"/>
    <w:rsid w:val="00F47B39"/>
    <w:rsid w:val="00F50362"/>
    <w:rsid w:val="00F51860"/>
    <w:rsid w:val="00F53FB7"/>
    <w:rsid w:val="00F565C5"/>
    <w:rsid w:val="00F567FC"/>
    <w:rsid w:val="00F57129"/>
    <w:rsid w:val="00F57275"/>
    <w:rsid w:val="00F60B61"/>
    <w:rsid w:val="00F60D68"/>
    <w:rsid w:val="00F63392"/>
    <w:rsid w:val="00F658F8"/>
    <w:rsid w:val="00F716DD"/>
    <w:rsid w:val="00F7575B"/>
    <w:rsid w:val="00F824E8"/>
    <w:rsid w:val="00F8280E"/>
    <w:rsid w:val="00F840FB"/>
    <w:rsid w:val="00F855C8"/>
    <w:rsid w:val="00F907B5"/>
    <w:rsid w:val="00F91DCF"/>
    <w:rsid w:val="00F9234B"/>
    <w:rsid w:val="00F934B9"/>
    <w:rsid w:val="00F94C56"/>
    <w:rsid w:val="00F95A45"/>
    <w:rsid w:val="00F96321"/>
    <w:rsid w:val="00FA1258"/>
    <w:rsid w:val="00FA1D61"/>
    <w:rsid w:val="00FA20F9"/>
    <w:rsid w:val="00FA2C50"/>
    <w:rsid w:val="00FA3DBE"/>
    <w:rsid w:val="00FA52D6"/>
    <w:rsid w:val="00FA5579"/>
    <w:rsid w:val="00FB46A4"/>
    <w:rsid w:val="00FB643E"/>
    <w:rsid w:val="00FB6F61"/>
    <w:rsid w:val="00FC0590"/>
    <w:rsid w:val="00FC0FD4"/>
    <w:rsid w:val="00FC41D7"/>
    <w:rsid w:val="00FC465D"/>
    <w:rsid w:val="00FC4CF8"/>
    <w:rsid w:val="00FC649F"/>
    <w:rsid w:val="00FC7963"/>
    <w:rsid w:val="00FD0864"/>
    <w:rsid w:val="00FD0DD7"/>
    <w:rsid w:val="00FD262C"/>
    <w:rsid w:val="00FD540C"/>
    <w:rsid w:val="00FD6C4F"/>
    <w:rsid w:val="00FD7E2F"/>
    <w:rsid w:val="00FE0C46"/>
    <w:rsid w:val="00FE280B"/>
    <w:rsid w:val="00FE2D45"/>
    <w:rsid w:val="00FE30E1"/>
    <w:rsid w:val="00FE573A"/>
    <w:rsid w:val="00FE5BA7"/>
    <w:rsid w:val="00FE76BE"/>
    <w:rsid w:val="00FF0C42"/>
    <w:rsid w:val="00FF0E16"/>
    <w:rsid w:val="00FF0F87"/>
    <w:rsid w:val="5F884969"/>
    <w:rsid w:val="6A6D091A"/>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0F1C98A"/>
  <w15:chartTrackingRefBased/>
  <w15:docId w15:val="{50C655FC-13B2-47EF-B39B-3C2CC9215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D61"/>
  </w:style>
  <w:style w:type="paragraph" w:styleId="Heading1">
    <w:name w:val="heading 1"/>
    <w:basedOn w:val="Normal"/>
    <w:next w:val="Normal"/>
    <w:link w:val="Heading1Char"/>
    <w:uiPriority w:val="9"/>
    <w:qFormat/>
    <w:rsid w:val="00FA1D61"/>
    <w:pPr>
      <w:keepNext/>
      <w:keepLines/>
      <w:spacing w:before="320" w:after="0" w:line="240" w:lineRule="auto"/>
      <w:outlineLvl w:val="0"/>
    </w:pPr>
    <w:rPr>
      <w:rFonts w:asciiTheme="majorHAnsi" w:eastAsiaTheme="majorEastAsia" w:hAnsiTheme="majorHAnsi" w:cstheme="majorBidi"/>
      <w:color w:val="374C80" w:themeColor="accent1" w:themeShade="BF"/>
      <w:sz w:val="30"/>
      <w:szCs w:val="30"/>
    </w:rPr>
  </w:style>
  <w:style w:type="paragraph" w:styleId="Heading2">
    <w:name w:val="heading 2"/>
    <w:basedOn w:val="Normal"/>
    <w:next w:val="Normal"/>
    <w:link w:val="Heading2Char"/>
    <w:uiPriority w:val="9"/>
    <w:unhideWhenUsed/>
    <w:qFormat/>
    <w:rsid w:val="00FA1D61"/>
    <w:pPr>
      <w:keepNext/>
      <w:keepLines/>
      <w:spacing w:before="40" w:after="0" w:line="240" w:lineRule="auto"/>
      <w:outlineLvl w:val="1"/>
    </w:pPr>
    <w:rPr>
      <w:rFonts w:asciiTheme="majorHAnsi" w:eastAsiaTheme="majorEastAsia" w:hAnsiTheme="majorHAnsi" w:cstheme="majorBidi"/>
      <w:color w:val="3476B1" w:themeColor="accent2" w:themeShade="BF"/>
      <w:sz w:val="28"/>
      <w:szCs w:val="28"/>
    </w:rPr>
  </w:style>
  <w:style w:type="paragraph" w:styleId="Heading3">
    <w:name w:val="heading 3"/>
    <w:basedOn w:val="Normal"/>
    <w:next w:val="Normal"/>
    <w:link w:val="Heading3Char"/>
    <w:uiPriority w:val="9"/>
    <w:semiHidden/>
    <w:unhideWhenUsed/>
    <w:qFormat/>
    <w:rsid w:val="00FA1D61"/>
    <w:pPr>
      <w:keepNext/>
      <w:keepLines/>
      <w:spacing w:before="40" w:after="0" w:line="240" w:lineRule="auto"/>
      <w:outlineLvl w:val="2"/>
    </w:pPr>
    <w:rPr>
      <w:rFonts w:asciiTheme="majorHAnsi" w:eastAsiaTheme="majorEastAsia" w:hAnsiTheme="majorHAnsi" w:cstheme="majorBidi"/>
      <w:color w:val="77697A" w:themeColor="accent6" w:themeShade="BF"/>
      <w:sz w:val="26"/>
      <w:szCs w:val="26"/>
    </w:rPr>
  </w:style>
  <w:style w:type="paragraph" w:styleId="Heading4">
    <w:name w:val="heading 4"/>
    <w:basedOn w:val="Normal"/>
    <w:next w:val="Normal"/>
    <w:link w:val="Heading4Char"/>
    <w:uiPriority w:val="9"/>
    <w:unhideWhenUsed/>
    <w:qFormat/>
    <w:rsid w:val="00FA1D61"/>
    <w:pPr>
      <w:keepNext/>
      <w:keepLines/>
      <w:spacing w:before="40" w:after="0"/>
      <w:outlineLvl w:val="3"/>
    </w:pPr>
    <w:rPr>
      <w:rFonts w:asciiTheme="majorHAnsi" w:eastAsiaTheme="majorEastAsia" w:hAnsiTheme="majorHAnsi" w:cstheme="majorBidi"/>
      <w:i/>
      <w:iCs/>
      <w:color w:val="417A84" w:themeColor="accent5" w:themeShade="BF"/>
      <w:sz w:val="25"/>
      <w:szCs w:val="25"/>
    </w:rPr>
  </w:style>
  <w:style w:type="paragraph" w:styleId="Heading5">
    <w:name w:val="heading 5"/>
    <w:basedOn w:val="Normal"/>
    <w:next w:val="Normal"/>
    <w:link w:val="Heading5Char"/>
    <w:uiPriority w:val="9"/>
    <w:semiHidden/>
    <w:unhideWhenUsed/>
    <w:qFormat/>
    <w:rsid w:val="00FA1D61"/>
    <w:pPr>
      <w:keepNext/>
      <w:keepLines/>
      <w:spacing w:before="40" w:after="0"/>
      <w:outlineLvl w:val="4"/>
    </w:pPr>
    <w:rPr>
      <w:rFonts w:asciiTheme="majorHAnsi" w:eastAsiaTheme="majorEastAsia" w:hAnsiTheme="majorHAnsi" w:cstheme="majorBidi"/>
      <w:i/>
      <w:iCs/>
      <w:color w:val="234F77" w:themeColor="accent2" w:themeShade="80"/>
      <w:sz w:val="24"/>
      <w:szCs w:val="24"/>
    </w:rPr>
  </w:style>
  <w:style w:type="paragraph" w:styleId="Heading6">
    <w:name w:val="heading 6"/>
    <w:basedOn w:val="Normal"/>
    <w:next w:val="Normal"/>
    <w:link w:val="Heading6Char"/>
    <w:uiPriority w:val="9"/>
    <w:semiHidden/>
    <w:unhideWhenUsed/>
    <w:qFormat/>
    <w:rsid w:val="00FA1D61"/>
    <w:pPr>
      <w:keepNext/>
      <w:keepLines/>
      <w:spacing w:before="40" w:after="0"/>
      <w:outlineLvl w:val="5"/>
    </w:pPr>
    <w:rPr>
      <w:rFonts w:asciiTheme="majorHAnsi" w:eastAsiaTheme="majorEastAsia" w:hAnsiTheme="majorHAnsi" w:cstheme="majorBidi"/>
      <w:i/>
      <w:iCs/>
      <w:color w:val="4F4652" w:themeColor="accent6" w:themeShade="80"/>
      <w:sz w:val="23"/>
      <w:szCs w:val="23"/>
    </w:rPr>
  </w:style>
  <w:style w:type="paragraph" w:styleId="Heading7">
    <w:name w:val="heading 7"/>
    <w:basedOn w:val="Normal"/>
    <w:next w:val="Normal"/>
    <w:link w:val="Heading7Char"/>
    <w:uiPriority w:val="9"/>
    <w:semiHidden/>
    <w:unhideWhenUsed/>
    <w:qFormat/>
    <w:rsid w:val="00FA1D61"/>
    <w:pPr>
      <w:keepNext/>
      <w:keepLines/>
      <w:spacing w:before="40" w:after="0"/>
      <w:outlineLvl w:val="6"/>
    </w:pPr>
    <w:rPr>
      <w:rFonts w:asciiTheme="majorHAnsi" w:eastAsiaTheme="majorEastAsia" w:hAnsiTheme="majorHAnsi" w:cstheme="majorBidi"/>
      <w:color w:val="253356" w:themeColor="accent1" w:themeShade="80"/>
    </w:rPr>
  </w:style>
  <w:style w:type="paragraph" w:styleId="Heading8">
    <w:name w:val="heading 8"/>
    <w:basedOn w:val="Normal"/>
    <w:next w:val="Normal"/>
    <w:link w:val="Heading8Char"/>
    <w:uiPriority w:val="9"/>
    <w:semiHidden/>
    <w:unhideWhenUsed/>
    <w:qFormat/>
    <w:rsid w:val="00FA1D61"/>
    <w:pPr>
      <w:keepNext/>
      <w:keepLines/>
      <w:spacing w:before="40" w:after="0"/>
      <w:outlineLvl w:val="7"/>
    </w:pPr>
    <w:rPr>
      <w:rFonts w:asciiTheme="majorHAnsi" w:eastAsiaTheme="majorEastAsia" w:hAnsiTheme="majorHAnsi" w:cstheme="majorBidi"/>
      <w:color w:val="234F77" w:themeColor="accent2" w:themeShade="80"/>
      <w:sz w:val="21"/>
      <w:szCs w:val="21"/>
    </w:rPr>
  </w:style>
  <w:style w:type="paragraph" w:styleId="Heading9">
    <w:name w:val="heading 9"/>
    <w:basedOn w:val="Normal"/>
    <w:next w:val="Normal"/>
    <w:link w:val="Heading9Char"/>
    <w:uiPriority w:val="9"/>
    <w:semiHidden/>
    <w:unhideWhenUsed/>
    <w:qFormat/>
    <w:rsid w:val="00FA1D61"/>
    <w:pPr>
      <w:keepNext/>
      <w:keepLines/>
      <w:spacing w:before="40" w:after="0"/>
      <w:outlineLvl w:val="8"/>
    </w:pPr>
    <w:rPr>
      <w:rFonts w:asciiTheme="majorHAnsi" w:eastAsiaTheme="majorEastAsia" w:hAnsiTheme="majorHAnsi" w:cstheme="majorBidi"/>
      <w:color w:val="4F4652"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1D61"/>
    <w:pPr>
      <w:spacing w:after="0" w:line="240" w:lineRule="auto"/>
      <w:contextualSpacing/>
    </w:pPr>
    <w:rPr>
      <w:rFonts w:asciiTheme="majorHAnsi" w:eastAsiaTheme="majorEastAsia" w:hAnsiTheme="majorHAnsi" w:cstheme="majorBidi"/>
      <w:color w:val="374C80" w:themeColor="accent1" w:themeShade="BF"/>
      <w:spacing w:val="-10"/>
      <w:sz w:val="52"/>
      <w:szCs w:val="52"/>
    </w:rPr>
  </w:style>
  <w:style w:type="character" w:customStyle="1" w:styleId="TitleChar">
    <w:name w:val="Title Char"/>
    <w:basedOn w:val="DefaultParagraphFont"/>
    <w:link w:val="Title"/>
    <w:uiPriority w:val="10"/>
    <w:rsid w:val="00FA1D61"/>
    <w:rPr>
      <w:rFonts w:asciiTheme="majorHAnsi" w:eastAsiaTheme="majorEastAsia" w:hAnsiTheme="majorHAnsi" w:cstheme="majorBidi"/>
      <w:color w:val="374C80" w:themeColor="accent1" w:themeShade="BF"/>
      <w:spacing w:val="-10"/>
      <w:sz w:val="52"/>
      <w:szCs w:val="52"/>
    </w:rPr>
  </w:style>
  <w:style w:type="paragraph" w:styleId="Header">
    <w:name w:val="header"/>
    <w:basedOn w:val="Normal"/>
    <w:link w:val="HeaderChar"/>
    <w:unhideWhenUsed/>
    <w:rsid w:val="00855982"/>
    <w:pPr>
      <w:spacing w:after="0" w:line="240" w:lineRule="auto"/>
    </w:pPr>
  </w:style>
  <w:style w:type="character" w:customStyle="1" w:styleId="HeaderChar">
    <w:name w:val="Header Char"/>
    <w:basedOn w:val="DefaultParagraphFont"/>
    <w:link w:val="Header"/>
    <w:rsid w:val="00855982"/>
  </w:style>
  <w:style w:type="character" w:customStyle="1" w:styleId="Heading1Char">
    <w:name w:val="Heading 1 Char"/>
    <w:basedOn w:val="DefaultParagraphFont"/>
    <w:link w:val="Heading1"/>
    <w:uiPriority w:val="9"/>
    <w:rsid w:val="00FA1D61"/>
    <w:rPr>
      <w:rFonts w:asciiTheme="majorHAnsi" w:eastAsiaTheme="majorEastAsia" w:hAnsiTheme="majorHAnsi" w:cstheme="majorBidi"/>
      <w:color w:val="374C80" w:themeColor="accent1" w:themeShade="BF"/>
      <w:sz w:val="30"/>
      <w:szCs w:val="30"/>
    </w:rPr>
  </w:style>
  <w:style w:type="character" w:customStyle="1" w:styleId="Heading2Char">
    <w:name w:val="Heading 2 Char"/>
    <w:basedOn w:val="DefaultParagraphFont"/>
    <w:link w:val="Heading2"/>
    <w:uiPriority w:val="9"/>
    <w:rsid w:val="00FA1D61"/>
    <w:rPr>
      <w:rFonts w:asciiTheme="majorHAnsi" w:eastAsiaTheme="majorEastAsia" w:hAnsiTheme="majorHAnsi" w:cstheme="majorBidi"/>
      <w:color w:val="3476B1" w:themeColor="accent2" w:themeShade="BF"/>
      <w:sz w:val="28"/>
      <w:szCs w:val="28"/>
    </w:rPr>
  </w:style>
  <w:style w:type="character" w:customStyle="1" w:styleId="Heading3Char">
    <w:name w:val="Heading 3 Char"/>
    <w:basedOn w:val="DefaultParagraphFont"/>
    <w:link w:val="Heading3"/>
    <w:uiPriority w:val="9"/>
    <w:semiHidden/>
    <w:rsid w:val="00FA1D61"/>
    <w:rPr>
      <w:rFonts w:asciiTheme="majorHAnsi" w:eastAsiaTheme="majorEastAsia" w:hAnsiTheme="majorHAnsi" w:cstheme="majorBidi"/>
      <w:color w:val="77697A" w:themeColor="accent6" w:themeShade="BF"/>
      <w:sz w:val="26"/>
      <w:szCs w:val="26"/>
    </w:rPr>
  </w:style>
  <w:style w:type="character" w:customStyle="1" w:styleId="Heading4Char">
    <w:name w:val="Heading 4 Char"/>
    <w:basedOn w:val="DefaultParagraphFont"/>
    <w:link w:val="Heading4"/>
    <w:uiPriority w:val="9"/>
    <w:rsid w:val="00FA1D61"/>
    <w:rPr>
      <w:rFonts w:asciiTheme="majorHAnsi" w:eastAsiaTheme="majorEastAsia" w:hAnsiTheme="majorHAnsi" w:cstheme="majorBidi"/>
      <w:i/>
      <w:iCs/>
      <w:color w:val="417A84" w:themeColor="accent5" w:themeShade="BF"/>
      <w:sz w:val="25"/>
      <w:szCs w:val="25"/>
    </w:rPr>
  </w:style>
  <w:style w:type="character" w:customStyle="1" w:styleId="Heading5Char">
    <w:name w:val="Heading 5 Char"/>
    <w:basedOn w:val="DefaultParagraphFont"/>
    <w:link w:val="Heading5"/>
    <w:uiPriority w:val="9"/>
    <w:semiHidden/>
    <w:rsid w:val="00FA1D61"/>
    <w:rPr>
      <w:rFonts w:asciiTheme="majorHAnsi" w:eastAsiaTheme="majorEastAsia" w:hAnsiTheme="majorHAnsi" w:cstheme="majorBidi"/>
      <w:i/>
      <w:iCs/>
      <w:color w:val="234F77" w:themeColor="accent2" w:themeShade="80"/>
      <w:sz w:val="24"/>
      <w:szCs w:val="24"/>
    </w:rPr>
  </w:style>
  <w:style w:type="character" w:customStyle="1" w:styleId="Heading6Char">
    <w:name w:val="Heading 6 Char"/>
    <w:basedOn w:val="DefaultParagraphFont"/>
    <w:link w:val="Heading6"/>
    <w:uiPriority w:val="9"/>
    <w:semiHidden/>
    <w:rsid w:val="00FA1D61"/>
    <w:rPr>
      <w:rFonts w:asciiTheme="majorHAnsi" w:eastAsiaTheme="majorEastAsia" w:hAnsiTheme="majorHAnsi" w:cstheme="majorBidi"/>
      <w:i/>
      <w:iCs/>
      <w:color w:val="4F4652" w:themeColor="accent6" w:themeShade="80"/>
      <w:sz w:val="23"/>
      <w:szCs w:val="23"/>
    </w:rPr>
  </w:style>
  <w:style w:type="character" w:customStyle="1" w:styleId="Heading7Char">
    <w:name w:val="Heading 7 Char"/>
    <w:basedOn w:val="DefaultParagraphFont"/>
    <w:link w:val="Heading7"/>
    <w:uiPriority w:val="9"/>
    <w:semiHidden/>
    <w:rsid w:val="00FA1D61"/>
    <w:rPr>
      <w:rFonts w:asciiTheme="majorHAnsi" w:eastAsiaTheme="majorEastAsia" w:hAnsiTheme="majorHAnsi" w:cstheme="majorBidi"/>
      <w:color w:val="253356" w:themeColor="accent1" w:themeShade="80"/>
    </w:rPr>
  </w:style>
  <w:style w:type="character" w:customStyle="1" w:styleId="Heading8Char">
    <w:name w:val="Heading 8 Char"/>
    <w:basedOn w:val="DefaultParagraphFont"/>
    <w:link w:val="Heading8"/>
    <w:uiPriority w:val="9"/>
    <w:semiHidden/>
    <w:rsid w:val="00FA1D61"/>
    <w:rPr>
      <w:rFonts w:asciiTheme="majorHAnsi" w:eastAsiaTheme="majorEastAsia" w:hAnsiTheme="majorHAnsi" w:cstheme="majorBidi"/>
      <w:color w:val="234F77" w:themeColor="accent2" w:themeShade="80"/>
      <w:sz w:val="21"/>
      <w:szCs w:val="21"/>
    </w:rPr>
  </w:style>
  <w:style w:type="character" w:customStyle="1" w:styleId="Heading9Char">
    <w:name w:val="Heading 9 Char"/>
    <w:basedOn w:val="DefaultParagraphFont"/>
    <w:link w:val="Heading9"/>
    <w:uiPriority w:val="9"/>
    <w:semiHidden/>
    <w:rsid w:val="00FA1D61"/>
    <w:rPr>
      <w:rFonts w:asciiTheme="majorHAnsi" w:eastAsiaTheme="majorEastAsia" w:hAnsiTheme="majorHAnsi" w:cstheme="majorBidi"/>
      <w:color w:val="4F4652" w:themeColor="accent6" w:themeShade="8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FA1D61"/>
    <w:pPr>
      <w:spacing w:line="240" w:lineRule="auto"/>
    </w:pPr>
    <w:rPr>
      <w:b/>
      <w:bCs/>
      <w:smallCaps/>
      <w:color w:val="4A66AC" w:themeColor="accent1"/>
      <w:spacing w:val="6"/>
    </w:rPr>
  </w:style>
  <w:style w:type="paragraph" w:styleId="TOCHeading">
    <w:name w:val="TOC Heading"/>
    <w:basedOn w:val="Heading1"/>
    <w:next w:val="Normal"/>
    <w:uiPriority w:val="39"/>
    <w:unhideWhenUsed/>
    <w:qFormat/>
    <w:rsid w:val="00FA1D61"/>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basedOn w:val="DefaultParagraphFont"/>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253356" w:themeColor="accent1" w:themeShade="80" w:shadow="1"/>
        <w:left w:val="single" w:sz="2" w:space="10" w:color="253356" w:themeColor="accent1" w:themeShade="80" w:shadow="1"/>
        <w:bottom w:val="single" w:sz="2" w:space="10" w:color="253356" w:themeColor="accent1" w:themeShade="80" w:shadow="1"/>
        <w:right w:val="single" w:sz="2" w:space="10" w:color="253356" w:themeColor="accent1" w:themeShade="80" w:shadow="1"/>
      </w:pBdr>
      <w:ind w:left="1152" w:right="1152"/>
    </w:pPr>
    <w:rPr>
      <w:i/>
      <w:iCs/>
      <w:color w:val="253356" w:themeColor="accent1" w:themeShade="80"/>
    </w:rPr>
  </w:style>
  <w:style w:type="character" w:styleId="FollowedHyperlink">
    <w:name w:val="FollowedHyperlink"/>
    <w:basedOn w:val="DefaultParagraphFont"/>
    <w:uiPriority w:val="99"/>
    <w:semiHidden/>
    <w:unhideWhenUsed/>
    <w:rsid w:val="007833A7"/>
    <w:rPr>
      <w:color w:val="253356" w:themeColor="accent1" w:themeShade="80"/>
      <w:u w:val="single"/>
    </w:rPr>
  </w:style>
  <w:style w:type="character" w:styleId="Hyperlink">
    <w:name w:val="Hyperlink"/>
    <w:basedOn w:val="DefaultParagraphFont"/>
    <w:uiPriority w:val="99"/>
    <w:unhideWhenUsed/>
    <w:rsid w:val="007833A7"/>
    <w:rPr>
      <w:color w:val="596984"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qFormat/>
    <w:rsid w:val="00FA1D61"/>
    <w:rPr>
      <w:b w:val="0"/>
      <w:bCs w:val="0"/>
      <w:i/>
      <w:iCs/>
      <w:color w:val="4A66AC" w:themeColor="accent1"/>
    </w:rPr>
  </w:style>
  <w:style w:type="paragraph" w:styleId="IntenseQuote">
    <w:name w:val="Intense Quote"/>
    <w:basedOn w:val="Normal"/>
    <w:next w:val="Normal"/>
    <w:link w:val="IntenseQuoteChar"/>
    <w:uiPriority w:val="30"/>
    <w:qFormat/>
    <w:rsid w:val="00FA1D61"/>
    <w:pPr>
      <w:spacing w:before="120" w:line="300" w:lineRule="auto"/>
      <w:ind w:left="576" w:right="576"/>
      <w:jc w:val="center"/>
    </w:pPr>
    <w:rPr>
      <w:rFonts w:asciiTheme="majorHAnsi" w:eastAsiaTheme="majorEastAsia" w:hAnsiTheme="majorHAnsi" w:cstheme="majorBidi"/>
      <w:color w:val="4A66AC" w:themeColor="accent1"/>
      <w:sz w:val="24"/>
      <w:szCs w:val="24"/>
    </w:rPr>
  </w:style>
  <w:style w:type="character" w:customStyle="1" w:styleId="IntenseQuoteChar">
    <w:name w:val="Intense Quote Char"/>
    <w:basedOn w:val="DefaultParagraphFont"/>
    <w:link w:val="IntenseQuote"/>
    <w:uiPriority w:val="30"/>
    <w:rsid w:val="00FA1D61"/>
    <w:rPr>
      <w:rFonts w:asciiTheme="majorHAnsi" w:eastAsiaTheme="majorEastAsia" w:hAnsiTheme="majorHAnsi" w:cstheme="majorBidi"/>
      <w:color w:val="4A66AC" w:themeColor="accent1"/>
      <w:sz w:val="24"/>
      <w:szCs w:val="24"/>
    </w:rPr>
  </w:style>
  <w:style w:type="character" w:styleId="IntenseReference">
    <w:name w:val="Intense Reference"/>
    <w:basedOn w:val="DefaultParagraphFont"/>
    <w:uiPriority w:val="32"/>
    <w:qFormat/>
    <w:rsid w:val="00FA1D61"/>
    <w:rPr>
      <w:b/>
      <w:bCs/>
      <w:smallCaps/>
      <w:color w:val="4A66AC" w:themeColor="accent1"/>
      <w:spacing w:val="5"/>
      <w:u w:val="single"/>
    </w:rPr>
  </w:style>
  <w:style w:type="paragraph" w:styleId="Subtitle">
    <w:name w:val="Subtitle"/>
    <w:basedOn w:val="Normal"/>
    <w:next w:val="Normal"/>
    <w:link w:val="SubtitleChar"/>
    <w:uiPriority w:val="11"/>
    <w:qFormat/>
    <w:rsid w:val="00FA1D61"/>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A1D61"/>
    <w:rPr>
      <w:rFonts w:asciiTheme="majorHAnsi" w:eastAsiaTheme="majorEastAsia" w:hAnsiTheme="majorHAnsi" w:cstheme="majorBidi"/>
    </w:rPr>
  </w:style>
  <w:style w:type="character" w:styleId="Strong">
    <w:name w:val="Strong"/>
    <w:basedOn w:val="DefaultParagraphFont"/>
    <w:uiPriority w:val="22"/>
    <w:qFormat/>
    <w:rsid w:val="00FA1D61"/>
    <w:rPr>
      <w:b/>
      <w:bCs/>
    </w:rPr>
  </w:style>
  <w:style w:type="character" w:styleId="Emphasis">
    <w:name w:val="Emphasis"/>
    <w:basedOn w:val="DefaultParagraphFont"/>
    <w:uiPriority w:val="20"/>
    <w:qFormat/>
    <w:rsid w:val="00FA1D61"/>
    <w:rPr>
      <w:i/>
      <w:iCs/>
    </w:rPr>
  </w:style>
  <w:style w:type="paragraph" w:styleId="NoSpacing">
    <w:name w:val="No Spacing"/>
    <w:link w:val="NoSpacingChar"/>
    <w:uiPriority w:val="1"/>
    <w:qFormat/>
    <w:rsid w:val="00FA1D61"/>
    <w:pPr>
      <w:spacing w:after="0" w:line="240" w:lineRule="auto"/>
    </w:pPr>
  </w:style>
  <w:style w:type="paragraph" w:styleId="Quote">
    <w:name w:val="Quote"/>
    <w:basedOn w:val="Normal"/>
    <w:next w:val="Normal"/>
    <w:link w:val="QuoteChar"/>
    <w:uiPriority w:val="29"/>
    <w:qFormat/>
    <w:rsid w:val="00FA1D61"/>
    <w:pPr>
      <w:spacing w:before="120"/>
      <w:ind w:left="720" w:right="720"/>
      <w:jc w:val="center"/>
    </w:pPr>
    <w:rPr>
      <w:i/>
      <w:iCs/>
    </w:rPr>
  </w:style>
  <w:style w:type="character" w:customStyle="1" w:styleId="QuoteChar">
    <w:name w:val="Quote Char"/>
    <w:basedOn w:val="DefaultParagraphFont"/>
    <w:link w:val="Quote"/>
    <w:uiPriority w:val="29"/>
    <w:rsid w:val="00FA1D61"/>
    <w:rPr>
      <w:i/>
      <w:iCs/>
    </w:rPr>
  </w:style>
  <w:style w:type="character" w:styleId="SubtleEmphasis">
    <w:name w:val="Subtle Emphasis"/>
    <w:basedOn w:val="DefaultParagraphFont"/>
    <w:uiPriority w:val="19"/>
    <w:qFormat/>
    <w:rsid w:val="00FA1D61"/>
    <w:rPr>
      <w:i/>
      <w:iCs/>
      <w:color w:val="404040" w:themeColor="text1" w:themeTint="BF"/>
    </w:rPr>
  </w:style>
  <w:style w:type="character" w:styleId="SubtleReference">
    <w:name w:val="Subtle Reference"/>
    <w:basedOn w:val="DefaultParagraphFont"/>
    <w:uiPriority w:val="31"/>
    <w:qFormat/>
    <w:rsid w:val="00FA1D61"/>
    <w:rPr>
      <w:smallCaps/>
      <w:color w:val="404040" w:themeColor="text1" w:themeTint="BF"/>
      <w:u w:val="single" w:color="7F7F7F" w:themeColor="text1" w:themeTint="80"/>
    </w:rPr>
  </w:style>
  <w:style w:type="character" w:styleId="BookTitle">
    <w:name w:val="Book Title"/>
    <w:basedOn w:val="DefaultParagraphFont"/>
    <w:uiPriority w:val="33"/>
    <w:qFormat/>
    <w:rsid w:val="00FA1D61"/>
    <w:rPr>
      <w:b/>
      <w:bCs/>
      <w:smallCaps/>
    </w:rPr>
  </w:style>
  <w:style w:type="paragraph" w:styleId="TOC2">
    <w:name w:val="toc 2"/>
    <w:basedOn w:val="Normal"/>
    <w:next w:val="Normal"/>
    <w:autoRedefine/>
    <w:uiPriority w:val="39"/>
    <w:unhideWhenUsed/>
    <w:rsid w:val="0085598F"/>
    <w:pPr>
      <w:spacing w:after="100"/>
      <w:ind w:left="708"/>
    </w:pPr>
    <w:rPr>
      <w:rFonts w:cs="Times New Roman"/>
      <w:lang w:eastAsia="en-US"/>
    </w:rPr>
  </w:style>
  <w:style w:type="paragraph" w:styleId="TOC1">
    <w:name w:val="toc 1"/>
    <w:basedOn w:val="Normal"/>
    <w:next w:val="Normal"/>
    <w:autoRedefine/>
    <w:uiPriority w:val="39"/>
    <w:unhideWhenUsed/>
    <w:rsid w:val="009E392A"/>
    <w:pPr>
      <w:spacing w:after="100"/>
      <w:ind w:left="360"/>
    </w:pPr>
    <w:rPr>
      <w:rFonts w:cs="Times New Roman"/>
      <w:lang w:eastAsia="en-US"/>
    </w:rPr>
  </w:style>
  <w:style w:type="paragraph" w:styleId="TOC3">
    <w:name w:val="toc 3"/>
    <w:basedOn w:val="Normal"/>
    <w:next w:val="Normal"/>
    <w:autoRedefine/>
    <w:uiPriority w:val="39"/>
    <w:unhideWhenUsed/>
    <w:rsid w:val="00FA1D61"/>
    <w:pPr>
      <w:spacing w:after="100"/>
      <w:ind w:left="440"/>
    </w:pPr>
    <w:rPr>
      <w:rFonts w:cs="Times New Roman"/>
      <w:lang w:eastAsia="en-US"/>
    </w:rPr>
  </w:style>
  <w:style w:type="paragraph" w:styleId="ListParagraph">
    <w:name w:val="List Paragraph"/>
    <w:basedOn w:val="Normal"/>
    <w:link w:val="ListParagraphChar"/>
    <w:uiPriority w:val="34"/>
    <w:qFormat/>
    <w:rsid w:val="0024558A"/>
    <w:pPr>
      <w:ind w:left="720"/>
      <w:contextualSpacing/>
    </w:pPr>
  </w:style>
  <w:style w:type="paragraph" w:customStyle="1" w:styleId="Default">
    <w:name w:val="Default"/>
    <w:rsid w:val="007004CD"/>
    <w:pPr>
      <w:autoSpaceDE w:val="0"/>
      <w:autoSpaceDN w:val="0"/>
      <w:adjustRightInd w:val="0"/>
      <w:spacing w:after="0" w:line="240" w:lineRule="auto"/>
    </w:pPr>
    <w:rPr>
      <w:rFonts w:ascii="Cambria" w:hAnsi="Cambria" w:cs="Cambria"/>
      <w:color w:val="000000"/>
      <w:sz w:val="24"/>
      <w:szCs w:val="24"/>
    </w:rPr>
  </w:style>
  <w:style w:type="character" w:styleId="FootnoteReference">
    <w:name w:val="footnote reference"/>
    <w:basedOn w:val="DefaultParagraphFont"/>
    <w:uiPriority w:val="99"/>
    <w:rsid w:val="00376ECB"/>
    <w:rPr>
      <w:vertAlign w:val="superscript"/>
    </w:rPr>
  </w:style>
  <w:style w:type="paragraph" w:customStyle="1" w:styleId="Call-OutBoxTextArial">
    <w:name w:val="Call-Out Box Text (Arial)"/>
    <w:basedOn w:val="NoSpacing"/>
    <w:qFormat/>
    <w:rsid w:val="00376ECB"/>
    <w:pPr>
      <w:ind w:right="204"/>
    </w:pPr>
    <w:rPr>
      <w:rFonts w:ascii="Times New Roman" w:eastAsiaTheme="minorHAnsi" w:hAnsi="Times New Roman" w:cs="Times New Roman"/>
      <w:sz w:val="24"/>
      <w:szCs w:val="20"/>
      <w:lang w:eastAsia="en-US"/>
    </w:rPr>
  </w:style>
  <w:style w:type="character" w:customStyle="1" w:styleId="Emphasis1">
    <w:name w:val="Emphasis1"/>
    <w:basedOn w:val="Heading4Char"/>
    <w:uiPriority w:val="20"/>
    <w:qFormat/>
    <w:rsid w:val="00376ECB"/>
    <w:rPr>
      <w:rFonts w:ascii="Times New Roman" w:eastAsiaTheme="majorEastAsia" w:hAnsi="Times New Roman" w:cstheme="majorBidi"/>
      <w:i/>
      <w:iCs w:val="0"/>
      <w:color w:val="417A84" w:themeColor="accent5" w:themeShade="BF"/>
      <w:sz w:val="24"/>
      <w:szCs w:val="25"/>
    </w:rPr>
  </w:style>
  <w:style w:type="paragraph" w:styleId="BodyText">
    <w:name w:val="Body Text"/>
    <w:basedOn w:val="Normal"/>
    <w:link w:val="BodyTextChar"/>
    <w:uiPriority w:val="99"/>
    <w:semiHidden/>
    <w:unhideWhenUsed/>
    <w:rsid w:val="00325380"/>
    <w:pPr>
      <w:spacing w:after="120"/>
    </w:pPr>
  </w:style>
  <w:style w:type="character" w:customStyle="1" w:styleId="BodyTextChar">
    <w:name w:val="Body Text Char"/>
    <w:basedOn w:val="DefaultParagraphFont"/>
    <w:link w:val="BodyText"/>
    <w:uiPriority w:val="99"/>
    <w:semiHidden/>
    <w:rsid w:val="00325380"/>
  </w:style>
  <w:style w:type="character" w:customStyle="1" w:styleId="ListParagraphChar">
    <w:name w:val="List Paragraph Char"/>
    <w:basedOn w:val="DefaultParagraphFont"/>
    <w:link w:val="ListParagraph"/>
    <w:uiPriority w:val="34"/>
    <w:locked/>
    <w:rsid w:val="008C107F"/>
  </w:style>
  <w:style w:type="paragraph" w:styleId="NormalWeb">
    <w:name w:val="Normal (Web)"/>
    <w:basedOn w:val="Normal"/>
    <w:uiPriority w:val="99"/>
    <w:unhideWhenUsed/>
    <w:rsid w:val="0088314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ColorfulList-Accent11">
    <w:name w:val="Colorful List - Accent 11"/>
    <w:basedOn w:val="Normal"/>
    <w:uiPriority w:val="34"/>
    <w:qFormat/>
    <w:rsid w:val="001C6584"/>
    <w:pPr>
      <w:spacing w:after="0" w:line="240" w:lineRule="auto"/>
      <w:ind w:left="720"/>
      <w:contextualSpacing/>
    </w:pPr>
    <w:rPr>
      <w:rFonts w:ascii="Times New Roman" w:eastAsia="PMingLiU" w:hAnsi="Times New Roman" w:cs="Times New Roman"/>
      <w:lang w:eastAsia="en-US"/>
    </w:rPr>
  </w:style>
  <w:style w:type="table" w:styleId="TableGrid">
    <w:name w:val="Table Grid"/>
    <w:basedOn w:val="TableNormal"/>
    <w:uiPriority w:val="59"/>
    <w:rsid w:val="006622E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B294F"/>
  </w:style>
  <w:style w:type="paragraph" w:styleId="Revision">
    <w:name w:val="Revision"/>
    <w:hidden/>
    <w:uiPriority w:val="99"/>
    <w:semiHidden/>
    <w:rsid w:val="00426F62"/>
    <w:pPr>
      <w:spacing w:after="0" w:line="240" w:lineRule="auto"/>
    </w:pPr>
  </w:style>
  <w:style w:type="paragraph" w:customStyle="1" w:styleId="m-3001944717826557405m-7730211882286480835m-7875992200816485763msolistparagraph">
    <w:name w:val="m_-3001944717826557405m-7730211882286480835m-7875992200816485763msolistparagraph"/>
    <w:basedOn w:val="Normal"/>
    <w:rsid w:val="003D04D6"/>
    <w:pPr>
      <w:spacing w:before="100" w:beforeAutospacing="1" w:after="100" w:afterAutospacing="1" w:line="240" w:lineRule="auto"/>
    </w:pPr>
    <w:rPr>
      <w:rFonts w:ascii="Times New Roman" w:eastAsiaTheme="minorHAnsi" w:hAnsi="Times New Roman" w:cs="Times New Roman"/>
      <w:sz w:val="24"/>
      <w:szCs w:val="24"/>
      <w:lang w:eastAsia="en-US"/>
    </w:rPr>
  </w:style>
  <w:style w:type="paragraph" w:customStyle="1" w:styleId="Bullet1">
    <w:name w:val="Bullet 1"/>
    <w:basedOn w:val="Normal"/>
    <w:rsid w:val="00E22916"/>
    <w:pPr>
      <w:autoSpaceDE w:val="0"/>
      <w:autoSpaceDN w:val="0"/>
      <w:adjustRightInd w:val="0"/>
      <w:spacing w:after="0" w:line="240" w:lineRule="auto"/>
      <w:ind w:left="360" w:hanging="360"/>
    </w:pPr>
    <w:rPr>
      <w:rFonts w:ascii="Times New Roman" w:eastAsia="Times New Roman" w:hAnsi="Times New Roman" w:cs="Times New Roman"/>
      <w:sz w:val="24"/>
      <w:szCs w:val="24"/>
      <w:lang w:eastAsia="en-US"/>
    </w:rPr>
  </w:style>
  <w:style w:type="paragraph" w:customStyle="1" w:styleId="DefaultText">
    <w:name w:val="Default Text"/>
    <w:basedOn w:val="Normal"/>
    <w:rsid w:val="00E22916"/>
    <w:pPr>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NoSpacingChar">
    <w:name w:val="No Spacing Char"/>
    <w:basedOn w:val="DefaultParagraphFont"/>
    <w:link w:val="NoSpacing"/>
    <w:uiPriority w:val="1"/>
    <w:rsid w:val="004E5326"/>
  </w:style>
  <w:style w:type="paragraph" w:styleId="TableofFigures">
    <w:name w:val="table of figures"/>
    <w:basedOn w:val="Normal"/>
    <w:next w:val="Normal"/>
    <w:uiPriority w:val="99"/>
    <w:semiHidden/>
    <w:unhideWhenUsed/>
    <w:rsid w:val="00B5749D"/>
    <w:pPr>
      <w:spacing w:after="0" w:line="240" w:lineRule="auto"/>
    </w:pPr>
    <w:rPr>
      <w:rFonts w:ascii="Calibri" w:eastAsiaTheme="minorHAnsi" w:hAnsi="Calibri" w:cstheme="majorBidi"/>
      <w:sz w:val="24"/>
      <w:szCs w:val="24"/>
      <w:lang w:eastAsia="en-US"/>
    </w:rPr>
  </w:style>
  <w:style w:type="character" w:styleId="EndnoteReference">
    <w:name w:val="endnote reference"/>
    <w:basedOn w:val="DefaultParagraphFont"/>
    <w:uiPriority w:val="99"/>
    <w:semiHidden/>
    <w:unhideWhenUsed/>
    <w:rsid w:val="00B5749D"/>
    <w:rPr>
      <w:vertAlign w:val="superscript"/>
    </w:rPr>
  </w:style>
  <w:style w:type="paragraph" w:customStyle="1" w:styleId="m-8819975321542226219gmail-m5810155667287746255msolistparagraph">
    <w:name w:val="m_-8819975321542226219gmail-m5810155667287746255msolistparagraph"/>
    <w:basedOn w:val="Normal"/>
    <w:rsid w:val="00757002"/>
    <w:pPr>
      <w:spacing w:before="100" w:beforeAutospacing="1" w:after="100" w:afterAutospacing="1" w:line="240" w:lineRule="auto"/>
    </w:pPr>
    <w:rPr>
      <w:rFonts w:ascii="Times New Roman" w:eastAsiaTheme="minorHAnsi"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78047">
      <w:bodyDiv w:val="1"/>
      <w:marLeft w:val="0"/>
      <w:marRight w:val="0"/>
      <w:marTop w:val="0"/>
      <w:marBottom w:val="0"/>
      <w:divBdr>
        <w:top w:val="none" w:sz="0" w:space="0" w:color="auto"/>
        <w:left w:val="none" w:sz="0" w:space="0" w:color="auto"/>
        <w:bottom w:val="none" w:sz="0" w:space="0" w:color="auto"/>
        <w:right w:val="none" w:sz="0" w:space="0" w:color="auto"/>
      </w:divBdr>
      <w:divsChild>
        <w:div w:id="1080982584">
          <w:marLeft w:val="605"/>
          <w:marRight w:val="0"/>
          <w:marTop w:val="40"/>
          <w:marBottom w:val="80"/>
          <w:divBdr>
            <w:top w:val="none" w:sz="0" w:space="0" w:color="auto"/>
            <w:left w:val="none" w:sz="0" w:space="0" w:color="auto"/>
            <w:bottom w:val="none" w:sz="0" w:space="0" w:color="auto"/>
            <w:right w:val="none" w:sz="0" w:space="0" w:color="auto"/>
          </w:divBdr>
        </w:div>
        <w:div w:id="2054183923">
          <w:marLeft w:val="605"/>
          <w:marRight w:val="0"/>
          <w:marTop w:val="40"/>
          <w:marBottom w:val="80"/>
          <w:divBdr>
            <w:top w:val="none" w:sz="0" w:space="0" w:color="auto"/>
            <w:left w:val="none" w:sz="0" w:space="0" w:color="auto"/>
            <w:bottom w:val="none" w:sz="0" w:space="0" w:color="auto"/>
            <w:right w:val="none" w:sz="0" w:space="0" w:color="auto"/>
          </w:divBdr>
        </w:div>
        <w:div w:id="2017926293">
          <w:marLeft w:val="605"/>
          <w:marRight w:val="0"/>
          <w:marTop w:val="40"/>
          <w:marBottom w:val="80"/>
          <w:divBdr>
            <w:top w:val="none" w:sz="0" w:space="0" w:color="auto"/>
            <w:left w:val="none" w:sz="0" w:space="0" w:color="auto"/>
            <w:bottom w:val="none" w:sz="0" w:space="0" w:color="auto"/>
            <w:right w:val="none" w:sz="0" w:space="0" w:color="auto"/>
          </w:divBdr>
        </w:div>
        <w:div w:id="470292199">
          <w:marLeft w:val="605"/>
          <w:marRight w:val="0"/>
          <w:marTop w:val="40"/>
          <w:marBottom w:val="80"/>
          <w:divBdr>
            <w:top w:val="none" w:sz="0" w:space="0" w:color="auto"/>
            <w:left w:val="none" w:sz="0" w:space="0" w:color="auto"/>
            <w:bottom w:val="none" w:sz="0" w:space="0" w:color="auto"/>
            <w:right w:val="none" w:sz="0" w:space="0" w:color="auto"/>
          </w:divBdr>
        </w:div>
        <w:div w:id="62798519">
          <w:marLeft w:val="605"/>
          <w:marRight w:val="0"/>
          <w:marTop w:val="40"/>
          <w:marBottom w:val="80"/>
          <w:divBdr>
            <w:top w:val="none" w:sz="0" w:space="0" w:color="auto"/>
            <w:left w:val="none" w:sz="0" w:space="0" w:color="auto"/>
            <w:bottom w:val="none" w:sz="0" w:space="0" w:color="auto"/>
            <w:right w:val="none" w:sz="0" w:space="0" w:color="auto"/>
          </w:divBdr>
        </w:div>
        <w:div w:id="1981183659">
          <w:marLeft w:val="605"/>
          <w:marRight w:val="0"/>
          <w:marTop w:val="40"/>
          <w:marBottom w:val="80"/>
          <w:divBdr>
            <w:top w:val="none" w:sz="0" w:space="0" w:color="auto"/>
            <w:left w:val="none" w:sz="0" w:space="0" w:color="auto"/>
            <w:bottom w:val="none" w:sz="0" w:space="0" w:color="auto"/>
            <w:right w:val="none" w:sz="0" w:space="0" w:color="auto"/>
          </w:divBdr>
        </w:div>
        <w:div w:id="1637905450">
          <w:marLeft w:val="605"/>
          <w:marRight w:val="0"/>
          <w:marTop w:val="40"/>
          <w:marBottom w:val="80"/>
          <w:divBdr>
            <w:top w:val="none" w:sz="0" w:space="0" w:color="auto"/>
            <w:left w:val="none" w:sz="0" w:space="0" w:color="auto"/>
            <w:bottom w:val="none" w:sz="0" w:space="0" w:color="auto"/>
            <w:right w:val="none" w:sz="0" w:space="0" w:color="auto"/>
          </w:divBdr>
        </w:div>
        <w:div w:id="947540390">
          <w:marLeft w:val="144"/>
          <w:marRight w:val="0"/>
          <w:marTop w:val="240"/>
          <w:marBottom w:val="40"/>
          <w:divBdr>
            <w:top w:val="none" w:sz="0" w:space="0" w:color="auto"/>
            <w:left w:val="none" w:sz="0" w:space="0" w:color="auto"/>
            <w:bottom w:val="none" w:sz="0" w:space="0" w:color="auto"/>
            <w:right w:val="none" w:sz="0" w:space="0" w:color="auto"/>
          </w:divBdr>
        </w:div>
        <w:div w:id="1419129593">
          <w:marLeft w:val="144"/>
          <w:marRight w:val="0"/>
          <w:marTop w:val="240"/>
          <w:marBottom w:val="40"/>
          <w:divBdr>
            <w:top w:val="none" w:sz="0" w:space="0" w:color="auto"/>
            <w:left w:val="none" w:sz="0" w:space="0" w:color="auto"/>
            <w:bottom w:val="none" w:sz="0" w:space="0" w:color="auto"/>
            <w:right w:val="none" w:sz="0" w:space="0" w:color="auto"/>
          </w:divBdr>
        </w:div>
        <w:div w:id="1977222835">
          <w:marLeft w:val="144"/>
          <w:marRight w:val="0"/>
          <w:marTop w:val="240"/>
          <w:marBottom w:val="40"/>
          <w:divBdr>
            <w:top w:val="none" w:sz="0" w:space="0" w:color="auto"/>
            <w:left w:val="none" w:sz="0" w:space="0" w:color="auto"/>
            <w:bottom w:val="none" w:sz="0" w:space="0" w:color="auto"/>
            <w:right w:val="none" w:sz="0" w:space="0" w:color="auto"/>
          </w:divBdr>
        </w:div>
      </w:divsChild>
    </w:div>
    <w:div w:id="225262949">
      <w:bodyDiv w:val="1"/>
      <w:marLeft w:val="0"/>
      <w:marRight w:val="0"/>
      <w:marTop w:val="0"/>
      <w:marBottom w:val="0"/>
      <w:divBdr>
        <w:top w:val="none" w:sz="0" w:space="0" w:color="auto"/>
        <w:left w:val="none" w:sz="0" w:space="0" w:color="auto"/>
        <w:bottom w:val="none" w:sz="0" w:space="0" w:color="auto"/>
        <w:right w:val="none" w:sz="0" w:space="0" w:color="auto"/>
      </w:divBdr>
    </w:div>
    <w:div w:id="246500325">
      <w:bodyDiv w:val="1"/>
      <w:marLeft w:val="0"/>
      <w:marRight w:val="0"/>
      <w:marTop w:val="0"/>
      <w:marBottom w:val="0"/>
      <w:divBdr>
        <w:top w:val="none" w:sz="0" w:space="0" w:color="auto"/>
        <w:left w:val="none" w:sz="0" w:space="0" w:color="auto"/>
        <w:bottom w:val="none" w:sz="0" w:space="0" w:color="auto"/>
        <w:right w:val="none" w:sz="0" w:space="0" w:color="auto"/>
      </w:divBdr>
    </w:div>
    <w:div w:id="459887237">
      <w:bodyDiv w:val="1"/>
      <w:marLeft w:val="0"/>
      <w:marRight w:val="0"/>
      <w:marTop w:val="0"/>
      <w:marBottom w:val="0"/>
      <w:divBdr>
        <w:top w:val="none" w:sz="0" w:space="0" w:color="auto"/>
        <w:left w:val="none" w:sz="0" w:space="0" w:color="auto"/>
        <w:bottom w:val="none" w:sz="0" w:space="0" w:color="auto"/>
        <w:right w:val="none" w:sz="0" w:space="0" w:color="auto"/>
      </w:divBdr>
    </w:div>
    <w:div w:id="742027393">
      <w:bodyDiv w:val="1"/>
      <w:marLeft w:val="0"/>
      <w:marRight w:val="0"/>
      <w:marTop w:val="0"/>
      <w:marBottom w:val="0"/>
      <w:divBdr>
        <w:top w:val="none" w:sz="0" w:space="0" w:color="auto"/>
        <w:left w:val="none" w:sz="0" w:space="0" w:color="auto"/>
        <w:bottom w:val="none" w:sz="0" w:space="0" w:color="auto"/>
        <w:right w:val="none" w:sz="0" w:space="0" w:color="auto"/>
      </w:divBdr>
    </w:div>
    <w:div w:id="777143606">
      <w:bodyDiv w:val="1"/>
      <w:marLeft w:val="0"/>
      <w:marRight w:val="0"/>
      <w:marTop w:val="0"/>
      <w:marBottom w:val="0"/>
      <w:divBdr>
        <w:top w:val="none" w:sz="0" w:space="0" w:color="auto"/>
        <w:left w:val="none" w:sz="0" w:space="0" w:color="auto"/>
        <w:bottom w:val="none" w:sz="0" w:space="0" w:color="auto"/>
        <w:right w:val="none" w:sz="0" w:space="0" w:color="auto"/>
      </w:divBdr>
    </w:div>
    <w:div w:id="817844357">
      <w:bodyDiv w:val="1"/>
      <w:marLeft w:val="0"/>
      <w:marRight w:val="0"/>
      <w:marTop w:val="0"/>
      <w:marBottom w:val="0"/>
      <w:divBdr>
        <w:top w:val="none" w:sz="0" w:space="0" w:color="auto"/>
        <w:left w:val="none" w:sz="0" w:space="0" w:color="auto"/>
        <w:bottom w:val="none" w:sz="0" w:space="0" w:color="auto"/>
        <w:right w:val="none" w:sz="0" w:space="0" w:color="auto"/>
      </w:divBdr>
    </w:div>
    <w:div w:id="938685439">
      <w:bodyDiv w:val="1"/>
      <w:marLeft w:val="0"/>
      <w:marRight w:val="0"/>
      <w:marTop w:val="0"/>
      <w:marBottom w:val="0"/>
      <w:divBdr>
        <w:top w:val="none" w:sz="0" w:space="0" w:color="auto"/>
        <w:left w:val="none" w:sz="0" w:space="0" w:color="auto"/>
        <w:bottom w:val="none" w:sz="0" w:space="0" w:color="auto"/>
        <w:right w:val="none" w:sz="0" w:space="0" w:color="auto"/>
      </w:divBdr>
    </w:div>
    <w:div w:id="992878816">
      <w:bodyDiv w:val="1"/>
      <w:marLeft w:val="0"/>
      <w:marRight w:val="0"/>
      <w:marTop w:val="0"/>
      <w:marBottom w:val="0"/>
      <w:divBdr>
        <w:top w:val="none" w:sz="0" w:space="0" w:color="auto"/>
        <w:left w:val="none" w:sz="0" w:space="0" w:color="auto"/>
        <w:bottom w:val="none" w:sz="0" w:space="0" w:color="auto"/>
        <w:right w:val="none" w:sz="0" w:space="0" w:color="auto"/>
      </w:divBdr>
    </w:div>
    <w:div w:id="1011220841">
      <w:bodyDiv w:val="1"/>
      <w:marLeft w:val="0"/>
      <w:marRight w:val="0"/>
      <w:marTop w:val="0"/>
      <w:marBottom w:val="0"/>
      <w:divBdr>
        <w:top w:val="none" w:sz="0" w:space="0" w:color="auto"/>
        <w:left w:val="none" w:sz="0" w:space="0" w:color="auto"/>
        <w:bottom w:val="none" w:sz="0" w:space="0" w:color="auto"/>
        <w:right w:val="none" w:sz="0" w:space="0" w:color="auto"/>
      </w:divBdr>
    </w:div>
    <w:div w:id="1122649992">
      <w:bodyDiv w:val="1"/>
      <w:marLeft w:val="0"/>
      <w:marRight w:val="0"/>
      <w:marTop w:val="0"/>
      <w:marBottom w:val="0"/>
      <w:divBdr>
        <w:top w:val="none" w:sz="0" w:space="0" w:color="auto"/>
        <w:left w:val="none" w:sz="0" w:space="0" w:color="auto"/>
        <w:bottom w:val="none" w:sz="0" w:space="0" w:color="auto"/>
        <w:right w:val="none" w:sz="0" w:space="0" w:color="auto"/>
      </w:divBdr>
    </w:div>
    <w:div w:id="1155881323">
      <w:bodyDiv w:val="1"/>
      <w:marLeft w:val="0"/>
      <w:marRight w:val="0"/>
      <w:marTop w:val="0"/>
      <w:marBottom w:val="0"/>
      <w:divBdr>
        <w:top w:val="none" w:sz="0" w:space="0" w:color="auto"/>
        <w:left w:val="none" w:sz="0" w:space="0" w:color="auto"/>
        <w:bottom w:val="none" w:sz="0" w:space="0" w:color="auto"/>
        <w:right w:val="none" w:sz="0" w:space="0" w:color="auto"/>
      </w:divBdr>
    </w:div>
    <w:div w:id="1186363723">
      <w:bodyDiv w:val="1"/>
      <w:marLeft w:val="0"/>
      <w:marRight w:val="0"/>
      <w:marTop w:val="0"/>
      <w:marBottom w:val="0"/>
      <w:divBdr>
        <w:top w:val="none" w:sz="0" w:space="0" w:color="auto"/>
        <w:left w:val="none" w:sz="0" w:space="0" w:color="auto"/>
        <w:bottom w:val="none" w:sz="0" w:space="0" w:color="auto"/>
        <w:right w:val="none" w:sz="0" w:space="0" w:color="auto"/>
      </w:divBdr>
    </w:div>
    <w:div w:id="1255088167">
      <w:bodyDiv w:val="1"/>
      <w:marLeft w:val="0"/>
      <w:marRight w:val="0"/>
      <w:marTop w:val="0"/>
      <w:marBottom w:val="0"/>
      <w:divBdr>
        <w:top w:val="none" w:sz="0" w:space="0" w:color="auto"/>
        <w:left w:val="none" w:sz="0" w:space="0" w:color="auto"/>
        <w:bottom w:val="none" w:sz="0" w:space="0" w:color="auto"/>
        <w:right w:val="none" w:sz="0" w:space="0" w:color="auto"/>
      </w:divBdr>
    </w:div>
    <w:div w:id="1366176180">
      <w:bodyDiv w:val="1"/>
      <w:marLeft w:val="0"/>
      <w:marRight w:val="0"/>
      <w:marTop w:val="0"/>
      <w:marBottom w:val="0"/>
      <w:divBdr>
        <w:top w:val="none" w:sz="0" w:space="0" w:color="auto"/>
        <w:left w:val="none" w:sz="0" w:space="0" w:color="auto"/>
        <w:bottom w:val="none" w:sz="0" w:space="0" w:color="auto"/>
        <w:right w:val="none" w:sz="0" w:space="0" w:color="auto"/>
      </w:divBdr>
    </w:div>
    <w:div w:id="1452356813">
      <w:bodyDiv w:val="1"/>
      <w:marLeft w:val="0"/>
      <w:marRight w:val="0"/>
      <w:marTop w:val="0"/>
      <w:marBottom w:val="0"/>
      <w:divBdr>
        <w:top w:val="none" w:sz="0" w:space="0" w:color="auto"/>
        <w:left w:val="none" w:sz="0" w:space="0" w:color="auto"/>
        <w:bottom w:val="none" w:sz="0" w:space="0" w:color="auto"/>
        <w:right w:val="none" w:sz="0" w:space="0" w:color="auto"/>
      </w:divBdr>
    </w:div>
    <w:div w:id="1471511261">
      <w:bodyDiv w:val="1"/>
      <w:marLeft w:val="0"/>
      <w:marRight w:val="0"/>
      <w:marTop w:val="0"/>
      <w:marBottom w:val="0"/>
      <w:divBdr>
        <w:top w:val="none" w:sz="0" w:space="0" w:color="auto"/>
        <w:left w:val="none" w:sz="0" w:space="0" w:color="auto"/>
        <w:bottom w:val="none" w:sz="0" w:space="0" w:color="auto"/>
        <w:right w:val="none" w:sz="0" w:space="0" w:color="auto"/>
      </w:divBdr>
    </w:div>
    <w:div w:id="1475944819">
      <w:bodyDiv w:val="1"/>
      <w:marLeft w:val="0"/>
      <w:marRight w:val="0"/>
      <w:marTop w:val="0"/>
      <w:marBottom w:val="0"/>
      <w:divBdr>
        <w:top w:val="none" w:sz="0" w:space="0" w:color="auto"/>
        <w:left w:val="none" w:sz="0" w:space="0" w:color="auto"/>
        <w:bottom w:val="none" w:sz="0" w:space="0" w:color="auto"/>
        <w:right w:val="none" w:sz="0" w:space="0" w:color="auto"/>
      </w:divBdr>
    </w:div>
    <w:div w:id="1530606573">
      <w:bodyDiv w:val="1"/>
      <w:marLeft w:val="0"/>
      <w:marRight w:val="0"/>
      <w:marTop w:val="0"/>
      <w:marBottom w:val="0"/>
      <w:divBdr>
        <w:top w:val="none" w:sz="0" w:space="0" w:color="auto"/>
        <w:left w:val="none" w:sz="0" w:space="0" w:color="auto"/>
        <w:bottom w:val="none" w:sz="0" w:space="0" w:color="auto"/>
        <w:right w:val="none" w:sz="0" w:space="0" w:color="auto"/>
      </w:divBdr>
      <w:divsChild>
        <w:div w:id="114063867">
          <w:marLeft w:val="720"/>
          <w:marRight w:val="0"/>
          <w:marTop w:val="240"/>
          <w:marBottom w:val="40"/>
          <w:divBdr>
            <w:top w:val="none" w:sz="0" w:space="0" w:color="auto"/>
            <w:left w:val="none" w:sz="0" w:space="0" w:color="auto"/>
            <w:bottom w:val="none" w:sz="0" w:space="0" w:color="auto"/>
            <w:right w:val="none" w:sz="0" w:space="0" w:color="auto"/>
          </w:divBdr>
        </w:div>
        <w:div w:id="364138559">
          <w:marLeft w:val="605"/>
          <w:marRight w:val="0"/>
          <w:marTop w:val="40"/>
          <w:marBottom w:val="80"/>
          <w:divBdr>
            <w:top w:val="none" w:sz="0" w:space="0" w:color="auto"/>
            <w:left w:val="none" w:sz="0" w:space="0" w:color="auto"/>
            <w:bottom w:val="none" w:sz="0" w:space="0" w:color="auto"/>
            <w:right w:val="none" w:sz="0" w:space="0" w:color="auto"/>
          </w:divBdr>
        </w:div>
        <w:div w:id="790200279">
          <w:marLeft w:val="893"/>
          <w:marRight w:val="0"/>
          <w:marTop w:val="40"/>
          <w:marBottom w:val="80"/>
          <w:divBdr>
            <w:top w:val="none" w:sz="0" w:space="0" w:color="auto"/>
            <w:left w:val="none" w:sz="0" w:space="0" w:color="auto"/>
            <w:bottom w:val="none" w:sz="0" w:space="0" w:color="auto"/>
            <w:right w:val="none" w:sz="0" w:space="0" w:color="auto"/>
          </w:divBdr>
        </w:div>
        <w:div w:id="1832283766">
          <w:marLeft w:val="893"/>
          <w:marRight w:val="0"/>
          <w:marTop w:val="40"/>
          <w:marBottom w:val="80"/>
          <w:divBdr>
            <w:top w:val="none" w:sz="0" w:space="0" w:color="auto"/>
            <w:left w:val="none" w:sz="0" w:space="0" w:color="auto"/>
            <w:bottom w:val="none" w:sz="0" w:space="0" w:color="auto"/>
            <w:right w:val="none" w:sz="0" w:space="0" w:color="auto"/>
          </w:divBdr>
        </w:div>
        <w:div w:id="633021282">
          <w:marLeft w:val="1080"/>
          <w:marRight w:val="0"/>
          <w:marTop w:val="40"/>
          <w:marBottom w:val="80"/>
          <w:divBdr>
            <w:top w:val="none" w:sz="0" w:space="0" w:color="auto"/>
            <w:left w:val="none" w:sz="0" w:space="0" w:color="auto"/>
            <w:bottom w:val="none" w:sz="0" w:space="0" w:color="auto"/>
            <w:right w:val="none" w:sz="0" w:space="0" w:color="auto"/>
          </w:divBdr>
        </w:div>
        <w:div w:id="777410323">
          <w:marLeft w:val="1080"/>
          <w:marRight w:val="0"/>
          <w:marTop w:val="40"/>
          <w:marBottom w:val="80"/>
          <w:divBdr>
            <w:top w:val="none" w:sz="0" w:space="0" w:color="auto"/>
            <w:left w:val="none" w:sz="0" w:space="0" w:color="auto"/>
            <w:bottom w:val="none" w:sz="0" w:space="0" w:color="auto"/>
            <w:right w:val="none" w:sz="0" w:space="0" w:color="auto"/>
          </w:divBdr>
        </w:div>
        <w:div w:id="395981990">
          <w:marLeft w:val="720"/>
          <w:marRight w:val="0"/>
          <w:marTop w:val="240"/>
          <w:marBottom w:val="40"/>
          <w:divBdr>
            <w:top w:val="none" w:sz="0" w:space="0" w:color="auto"/>
            <w:left w:val="none" w:sz="0" w:space="0" w:color="auto"/>
            <w:bottom w:val="none" w:sz="0" w:space="0" w:color="auto"/>
            <w:right w:val="none" w:sz="0" w:space="0" w:color="auto"/>
          </w:divBdr>
        </w:div>
        <w:div w:id="884566900">
          <w:marLeft w:val="605"/>
          <w:marRight w:val="0"/>
          <w:marTop w:val="40"/>
          <w:marBottom w:val="80"/>
          <w:divBdr>
            <w:top w:val="none" w:sz="0" w:space="0" w:color="auto"/>
            <w:left w:val="none" w:sz="0" w:space="0" w:color="auto"/>
            <w:bottom w:val="none" w:sz="0" w:space="0" w:color="auto"/>
            <w:right w:val="none" w:sz="0" w:space="0" w:color="auto"/>
          </w:divBdr>
        </w:div>
        <w:div w:id="1106849999">
          <w:marLeft w:val="605"/>
          <w:marRight w:val="0"/>
          <w:marTop w:val="40"/>
          <w:marBottom w:val="80"/>
          <w:divBdr>
            <w:top w:val="none" w:sz="0" w:space="0" w:color="auto"/>
            <w:left w:val="none" w:sz="0" w:space="0" w:color="auto"/>
            <w:bottom w:val="none" w:sz="0" w:space="0" w:color="auto"/>
            <w:right w:val="none" w:sz="0" w:space="0" w:color="auto"/>
          </w:divBdr>
        </w:div>
        <w:div w:id="1430464805">
          <w:marLeft w:val="605"/>
          <w:marRight w:val="0"/>
          <w:marTop w:val="40"/>
          <w:marBottom w:val="80"/>
          <w:divBdr>
            <w:top w:val="none" w:sz="0" w:space="0" w:color="auto"/>
            <w:left w:val="none" w:sz="0" w:space="0" w:color="auto"/>
            <w:bottom w:val="none" w:sz="0" w:space="0" w:color="auto"/>
            <w:right w:val="none" w:sz="0" w:space="0" w:color="auto"/>
          </w:divBdr>
        </w:div>
        <w:div w:id="1051149548">
          <w:marLeft w:val="720"/>
          <w:marRight w:val="0"/>
          <w:marTop w:val="240"/>
          <w:marBottom w:val="40"/>
          <w:divBdr>
            <w:top w:val="none" w:sz="0" w:space="0" w:color="auto"/>
            <w:left w:val="none" w:sz="0" w:space="0" w:color="auto"/>
            <w:bottom w:val="none" w:sz="0" w:space="0" w:color="auto"/>
            <w:right w:val="none" w:sz="0" w:space="0" w:color="auto"/>
          </w:divBdr>
        </w:div>
        <w:div w:id="1211844888">
          <w:marLeft w:val="605"/>
          <w:marRight w:val="0"/>
          <w:marTop w:val="40"/>
          <w:marBottom w:val="80"/>
          <w:divBdr>
            <w:top w:val="none" w:sz="0" w:space="0" w:color="auto"/>
            <w:left w:val="none" w:sz="0" w:space="0" w:color="auto"/>
            <w:bottom w:val="none" w:sz="0" w:space="0" w:color="auto"/>
            <w:right w:val="none" w:sz="0" w:space="0" w:color="auto"/>
          </w:divBdr>
        </w:div>
        <w:div w:id="393240435">
          <w:marLeft w:val="605"/>
          <w:marRight w:val="0"/>
          <w:marTop w:val="40"/>
          <w:marBottom w:val="80"/>
          <w:divBdr>
            <w:top w:val="none" w:sz="0" w:space="0" w:color="auto"/>
            <w:left w:val="none" w:sz="0" w:space="0" w:color="auto"/>
            <w:bottom w:val="none" w:sz="0" w:space="0" w:color="auto"/>
            <w:right w:val="none" w:sz="0" w:space="0" w:color="auto"/>
          </w:divBdr>
        </w:div>
      </w:divsChild>
    </w:div>
    <w:div w:id="1580820845">
      <w:bodyDiv w:val="1"/>
      <w:marLeft w:val="0"/>
      <w:marRight w:val="0"/>
      <w:marTop w:val="0"/>
      <w:marBottom w:val="0"/>
      <w:divBdr>
        <w:top w:val="none" w:sz="0" w:space="0" w:color="auto"/>
        <w:left w:val="none" w:sz="0" w:space="0" w:color="auto"/>
        <w:bottom w:val="none" w:sz="0" w:space="0" w:color="auto"/>
        <w:right w:val="none" w:sz="0" w:space="0" w:color="auto"/>
      </w:divBdr>
    </w:div>
    <w:div w:id="1677608021">
      <w:bodyDiv w:val="1"/>
      <w:marLeft w:val="0"/>
      <w:marRight w:val="0"/>
      <w:marTop w:val="0"/>
      <w:marBottom w:val="0"/>
      <w:divBdr>
        <w:top w:val="none" w:sz="0" w:space="0" w:color="auto"/>
        <w:left w:val="none" w:sz="0" w:space="0" w:color="auto"/>
        <w:bottom w:val="none" w:sz="0" w:space="0" w:color="auto"/>
        <w:right w:val="none" w:sz="0" w:space="0" w:color="auto"/>
      </w:divBdr>
    </w:div>
    <w:div w:id="1680303783">
      <w:bodyDiv w:val="1"/>
      <w:marLeft w:val="0"/>
      <w:marRight w:val="0"/>
      <w:marTop w:val="0"/>
      <w:marBottom w:val="0"/>
      <w:divBdr>
        <w:top w:val="none" w:sz="0" w:space="0" w:color="auto"/>
        <w:left w:val="none" w:sz="0" w:space="0" w:color="auto"/>
        <w:bottom w:val="none" w:sz="0" w:space="0" w:color="auto"/>
        <w:right w:val="none" w:sz="0" w:space="0" w:color="auto"/>
      </w:divBdr>
    </w:div>
    <w:div w:id="1888181544">
      <w:bodyDiv w:val="1"/>
      <w:marLeft w:val="0"/>
      <w:marRight w:val="0"/>
      <w:marTop w:val="0"/>
      <w:marBottom w:val="0"/>
      <w:divBdr>
        <w:top w:val="none" w:sz="0" w:space="0" w:color="auto"/>
        <w:left w:val="none" w:sz="0" w:space="0" w:color="auto"/>
        <w:bottom w:val="none" w:sz="0" w:space="0" w:color="auto"/>
        <w:right w:val="none" w:sz="0" w:space="0" w:color="auto"/>
      </w:divBdr>
    </w:div>
    <w:div w:id="1930773511">
      <w:bodyDiv w:val="1"/>
      <w:marLeft w:val="0"/>
      <w:marRight w:val="0"/>
      <w:marTop w:val="0"/>
      <w:marBottom w:val="0"/>
      <w:divBdr>
        <w:top w:val="none" w:sz="0" w:space="0" w:color="auto"/>
        <w:left w:val="none" w:sz="0" w:space="0" w:color="auto"/>
        <w:bottom w:val="none" w:sz="0" w:space="0" w:color="auto"/>
        <w:right w:val="none" w:sz="0" w:space="0" w:color="auto"/>
      </w:divBdr>
    </w:div>
    <w:div w:id="2097631166">
      <w:bodyDiv w:val="1"/>
      <w:marLeft w:val="0"/>
      <w:marRight w:val="0"/>
      <w:marTop w:val="0"/>
      <w:marBottom w:val="0"/>
      <w:divBdr>
        <w:top w:val="none" w:sz="0" w:space="0" w:color="auto"/>
        <w:left w:val="none" w:sz="0" w:space="0" w:color="auto"/>
        <w:bottom w:val="none" w:sz="0" w:space="0" w:color="auto"/>
        <w:right w:val="none" w:sz="0" w:space="0" w:color="auto"/>
      </w:divBdr>
      <w:divsChild>
        <w:div w:id="917864179">
          <w:marLeft w:val="446"/>
          <w:marRight w:val="0"/>
          <w:marTop w:val="0"/>
          <w:marBottom w:val="0"/>
          <w:divBdr>
            <w:top w:val="none" w:sz="0" w:space="0" w:color="auto"/>
            <w:left w:val="none" w:sz="0" w:space="0" w:color="auto"/>
            <w:bottom w:val="none" w:sz="0" w:space="0" w:color="auto"/>
            <w:right w:val="none" w:sz="0" w:space="0" w:color="auto"/>
          </w:divBdr>
        </w:div>
        <w:div w:id="1925068721">
          <w:marLeft w:val="446"/>
          <w:marRight w:val="0"/>
          <w:marTop w:val="0"/>
          <w:marBottom w:val="0"/>
          <w:divBdr>
            <w:top w:val="none" w:sz="0" w:space="0" w:color="auto"/>
            <w:left w:val="none" w:sz="0" w:space="0" w:color="auto"/>
            <w:bottom w:val="none" w:sz="0" w:space="0" w:color="auto"/>
            <w:right w:val="none" w:sz="0" w:space="0" w:color="auto"/>
          </w:divBdr>
        </w:div>
        <w:div w:id="904796178">
          <w:marLeft w:val="1166"/>
          <w:marRight w:val="0"/>
          <w:marTop w:val="0"/>
          <w:marBottom w:val="0"/>
          <w:divBdr>
            <w:top w:val="none" w:sz="0" w:space="0" w:color="auto"/>
            <w:left w:val="none" w:sz="0" w:space="0" w:color="auto"/>
            <w:bottom w:val="none" w:sz="0" w:space="0" w:color="auto"/>
            <w:right w:val="none" w:sz="0" w:space="0" w:color="auto"/>
          </w:divBdr>
        </w:div>
        <w:div w:id="945888329">
          <w:marLeft w:val="1166"/>
          <w:marRight w:val="0"/>
          <w:marTop w:val="0"/>
          <w:marBottom w:val="0"/>
          <w:divBdr>
            <w:top w:val="none" w:sz="0" w:space="0" w:color="auto"/>
            <w:left w:val="none" w:sz="0" w:space="0" w:color="auto"/>
            <w:bottom w:val="none" w:sz="0" w:space="0" w:color="auto"/>
            <w:right w:val="none" w:sz="0" w:space="0" w:color="auto"/>
          </w:divBdr>
        </w:div>
        <w:div w:id="1817726229">
          <w:marLeft w:val="1166"/>
          <w:marRight w:val="0"/>
          <w:marTop w:val="0"/>
          <w:marBottom w:val="0"/>
          <w:divBdr>
            <w:top w:val="none" w:sz="0" w:space="0" w:color="auto"/>
            <w:left w:val="none" w:sz="0" w:space="0" w:color="auto"/>
            <w:bottom w:val="none" w:sz="0" w:space="0" w:color="auto"/>
            <w:right w:val="none" w:sz="0" w:space="0" w:color="auto"/>
          </w:divBdr>
        </w:div>
        <w:div w:id="407771096">
          <w:marLeft w:val="1166"/>
          <w:marRight w:val="0"/>
          <w:marTop w:val="0"/>
          <w:marBottom w:val="0"/>
          <w:divBdr>
            <w:top w:val="none" w:sz="0" w:space="0" w:color="auto"/>
            <w:left w:val="none" w:sz="0" w:space="0" w:color="auto"/>
            <w:bottom w:val="none" w:sz="0" w:space="0" w:color="auto"/>
            <w:right w:val="none" w:sz="0" w:space="0" w:color="auto"/>
          </w:divBdr>
        </w:div>
        <w:div w:id="849030111">
          <w:marLeft w:val="1166"/>
          <w:marRight w:val="0"/>
          <w:marTop w:val="0"/>
          <w:marBottom w:val="0"/>
          <w:divBdr>
            <w:top w:val="none" w:sz="0" w:space="0" w:color="auto"/>
            <w:left w:val="none" w:sz="0" w:space="0" w:color="auto"/>
            <w:bottom w:val="none" w:sz="0" w:space="0" w:color="auto"/>
            <w:right w:val="none" w:sz="0" w:space="0" w:color="auto"/>
          </w:divBdr>
        </w:div>
        <w:div w:id="1525825575">
          <w:marLeft w:val="1166"/>
          <w:marRight w:val="0"/>
          <w:marTop w:val="0"/>
          <w:marBottom w:val="0"/>
          <w:divBdr>
            <w:top w:val="none" w:sz="0" w:space="0" w:color="auto"/>
            <w:left w:val="none" w:sz="0" w:space="0" w:color="auto"/>
            <w:bottom w:val="none" w:sz="0" w:space="0" w:color="auto"/>
            <w:right w:val="none" w:sz="0" w:space="0" w:color="auto"/>
          </w:divBdr>
        </w:div>
        <w:div w:id="656112504">
          <w:marLeft w:val="1166"/>
          <w:marRight w:val="0"/>
          <w:marTop w:val="0"/>
          <w:marBottom w:val="0"/>
          <w:divBdr>
            <w:top w:val="none" w:sz="0" w:space="0" w:color="auto"/>
            <w:left w:val="none" w:sz="0" w:space="0" w:color="auto"/>
            <w:bottom w:val="none" w:sz="0" w:space="0" w:color="auto"/>
            <w:right w:val="none" w:sz="0" w:space="0" w:color="auto"/>
          </w:divBdr>
        </w:div>
        <w:div w:id="77479336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chart" Target="charts/chart14.xml"/><Relationship Id="rId21" Type="http://schemas.openxmlformats.org/officeDocument/2006/relationships/chart" Target="charts/chart2.xml"/><Relationship Id="rId34" Type="http://schemas.openxmlformats.org/officeDocument/2006/relationships/image" Target="media/image8.jpeg"/><Relationship Id="rId42" Type="http://schemas.openxmlformats.org/officeDocument/2006/relationships/image" Target="media/image14.tiff"/><Relationship Id="rId47" Type="http://schemas.openxmlformats.org/officeDocument/2006/relationships/chart" Target="charts/chart18.xml"/><Relationship Id="rId50" Type="http://schemas.openxmlformats.org/officeDocument/2006/relationships/image" Target="media/image16.jpeg"/><Relationship Id="rId55" Type="http://schemas.openxmlformats.org/officeDocument/2006/relationships/chart" Target="charts/chart24.xml"/><Relationship Id="rId63" Type="http://schemas.openxmlformats.org/officeDocument/2006/relationships/hyperlink" Target="https://www.burlingtonvt.gov/sites/default/files/DPW/TransportationPlan/BTP_Final20110328.pdf" TargetMode="External"/><Relationship Id="rId68" Type="http://schemas.openxmlformats.org/officeDocument/2006/relationships/chart" Target="charts/chart28.xml"/><Relationship Id="rId76" Type="http://schemas.openxmlformats.org/officeDocument/2006/relationships/hyperlink" Target="http://www.vtlawhelp.org" TargetMode="External"/><Relationship Id="rId84"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www.vtlegalaid.org/sites/default/files/Rental%20Discrimination%20Report%202014.pdf" TargetMode="External"/><Relationship Id="rId29" Type="http://schemas.openxmlformats.org/officeDocument/2006/relationships/chart" Target="charts/chart10.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image" Target="media/image15.jpeg"/><Relationship Id="rId53" Type="http://schemas.openxmlformats.org/officeDocument/2006/relationships/chart" Target="charts/chart22.xml"/><Relationship Id="rId58" Type="http://schemas.openxmlformats.org/officeDocument/2006/relationships/hyperlink" Target="http://ridegmt.com/" TargetMode="External"/><Relationship Id="rId66" Type="http://schemas.openxmlformats.org/officeDocument/2006/relationships/hyperlink" Target="file:///C:\Users\gnanton\Downloads\PlanBTVWalkBike_MasterPlan_final%20(2).pdf" TargetMode="External"/><Relationship Id="rId74" Type="http://schemas.openxmlformats.org/officeDocument/2006/relationships/image" Target="media/image26.jpeg"/><Relationship Id="rId79" Type="http://schemas.openxmlformats.org/officeDocument/2006/relationships/hyperlink" Target="http://www.vtlawhelp.org"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0.jpeg"/><Relationship Id="rId82"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urveygizmo.com"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9.jpeg"/><Relationship Id="rId43" Type="http://schemas.openxmlformats.org/officeDocument/2006/relationships/chart" Target="charts/chart15.xml"/><Relationship Id="rId48" Type="http://schemas.openxmlformats.org/officeDocument/2006/relationships/chart" Target="charts/chart19.xml"/><Relationship Id="rId56" Type="http://schemas.openxmlformats.org/officeDocument/2006/relationships/image" Target="media/image18.jpeg"/><Relationship Id="rId64" Type="http://schemas.openxmlformats.org/officeDocument/2006/relationships/hyperlink" Target="https://www.burlingtonvt.gov/sites/default/files/PZ/planBTV/MDP11_pdf/MDP14%20Complete.pdf" TargetMode="External"/><Relationship Id="rId69" Type="http://schemas.openxmlformats.org/officeDocument/2006/relationships/image" Target="media/image21.jpeg"/><Relationship Id="rId77" Type="http://schemas.openxmlformats.org/officeDocument/2006/relationships/hyperlink" Target="https://vtlawhelp.org/discriminationfair-housing" TargetMode="Externa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image" Target="media/image24.jpe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burlingtonvt.gov/sites/default/files/CEDO/About_Us/Housing%20Action%20Plan.pdf" TargetMode="External"/><Relationship Id="rId25" Type="http://schemas.openxmlformats.org/officeDocument/2006/relationships/chart" Target="charts/chart6.xml"/><Relationship Id="rId33" Type="http://schemas.openxmlformats.org/officeDocument/2006/relationships/image" Target="media/image7.jpeg"/><Relationship Id="rId38" Type="http://schemas.openxmlformats.org/officeDocument/2006/relationships/chart" Target="charts/chart13.xml"/><Relationship Id="rId46" Type="http://schemas.openxmlformats.org/officeDocument/2006/relationships/chart" Target="charts/chart17.xml"/><Relationship Id="rId59" Type="http://schemas.openxmlformats.org/officeDocument/2006/relationships/chart" Target="charts/chart25.xml"/><Relationship Id="rId67" Type="http://schemas.openxmlformats.org/officeDocument/2006/relationships/chart" Target="charts/chart27.xml"/><Relationship Id="rId20"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chart" Target="charts/chart23.xml"/><Relationship Id="rId62" Type="http://schemas.openxmlformats.org/officeDocument/2006/relationships/hyperlink" Target="http://ridegmt.com/wp-content/uploads/NextGenTransitPlanReviewofPreviousPlans.pdf" TargetMode="External"/><Relationship Id="rId70" Type="http://schemas.openxmlformats.org/officeDocument/2006/relationships/image" Target="media/image22.jpeg"/><Relationship Id="rId75" Type="http://schemas.openxmlformats.org/officeDocument/2006/relationships/hyperlink" Target="http://hrc.vermont.gov/about-us" TargetMode="External"/><Relationship Id="rId83" Type="http://schemas.openxmlformats.org/officeDocument/2006/relationships/footer" Target="footer2.xm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vhfa.org/documents/cedo_2010.pdf"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0.jpeg"/><Relationship Id="rId49" Type="http://schemas.openxmlformats.org/officeDocument/2006/relationships/chart" Target="charts/chart20.xml"/><Relationship Id="rId57" Type="http://schemas.openxmlformats.org/officeDocument/2006/relationships/image" Target="media/image19.jpeg"/><Relationship Id="rId10" Type="http://schemas.openxmlformats.org/officeDocument/2006/relationships/endnotes" Target="endnotes.xml"/><Relationship Id="rId31" Type="http://schemas.openxmlformats.org/officeDocument/2006/relationships/chart" Target="charts/chart12.xml"/><Relationship Id="rId44" Type="http://schemas.openxmlformats.org/officeDocument/2006/relationships/chart" Target="charts/chart16.xml"/><Relationship Id="rId52" Type="http://schemas.openxmlformats.org/officeDocument/2006/relationships/chart" Target="charts/chart21.xml"/><Relationship Id="rId60" Type="http://schemas.openxmlformats.org/officeDocument/2006/relationships/chart" Target="charts/chart26.xml"/><Relationship Id="rId65" Type="http://schemas.openxmlformats.org/officeDocument/2006/relationships/hyperlink" Target="https://www.burlingtonvt.gov/sites/default/files/CEDO/Legacy_Project/Legacy%20Action%20Plan.pdf" TargetMode="External"/><Relationship Id="rId73" Type="http://schemas.openxmlformats.org/officeDocument/2006/relationships/image" Target="media/image25.jpeg"/><Relationship Id="rId78" Type="http://schemas.openxmlformats.org/officeDocument/2006/relationships/hyperlink" Target="http://www.vtlawhelp.org" TargetMode="External"/><Relationship Id="rId81" Type="http://schemas.openxmlformats.org/officeDocument/2006/relationships/header" Target="header2.xml"/><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middleman\AppData\Roaming\Microsoft\Templates\Report%20design%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ob001\CEDO\Admin\CDBG\AFFH\Data%20Tables,%20Maps,%20and%20Charts\Jesse%20Graphs\Charts.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ob001\CEDO\Admin\CDBG\AFFH\Data%20Tables,%20Maps,%20and%20Charts\Housing\Foreclosures%202013.xls"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Users\middleman\Downloads\AFFHT_ALL_4346cecf-7f73-11e7-bc99-005056be057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middleman\Downloads\AFFHT_ALL_4346cecf-7f73-11e7-bc99-005056be057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Users\middleman\Desktop\HUD%20Data%20Internship\InternshipData\AFH%20demographics\5.5.4%20Disparities%20in%20Opportunity\Tables\FORMATTED-AFFH%20Table%2012%20-%20Opportunity%20Indicators.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Users\middleman\Desktop\HUD%20Data%20Internship\InternshipData\AFH%20demographics\5.5.4%20Disparities%20in%20Opportunity\Tables\FORMATTED-AFFH%20Table%2012%20-%20Opportunity%20Indicator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michael.middleman\Desktop\HUD_TableMaster.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ichael.middleman\Desktop\HUD_TableMaster.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michael.middleman\Desktop\HUD_TableMaste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michael.middleman\Desktop\HUD_TableMaster.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michael.middleman\Desktop\HUD_TableMaster.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michael.middleman\Desktop\HUD_TableMaster.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michael.middleman\Desktop\HUD_TableMaster.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michael.middleman\Desktop\HUD_TableMaster.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michael.middleman\Desktop\HUD_TableMaster.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michael.middleman\Desktop\HUD_TableMaster.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michael.middleman\Desktop\HUD_TableMaster.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michael.middleman\Desktop\HUD_TableMaster.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ob001\CEDO\Admin\CDBG\AFFH\Data%20Tables,%20Maps,%20and%20Charts\Jesse%20Graphs\Chart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ob001\CEDO\Admin\CDBG\AFFH\Data%20Tables,%20Maps,%20and%20Charts\Jesse%20Graphs\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ob001\CEDO\Admin\CDBG\AFFH\Data%20Tables,%20Maps,%20and%20Charts\Jesse%20Graphs\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oleObject" Target="file:///\\Cob001\CEDO\Admin\CDBG\AFFH\Data%20Tables,%20Maps,%20and%20Charts\Jesse%20Graphs\Charts.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sng" strike="noStrike" kern="1200" spc="0" baseline="0">
                <a:solidFill>
                  <a:schemeClr val="tx1">
                    <a:lumMod val="65000"/>
                    <a:lumOff val="35000"/>
                  </a:schemeClr>
                </a:solidFill>
                <a:latin typeface="+mn-lt"/>
                <a:ea typeface="+mn-ea"/>
                <a:cs typeface="+mn-cs"/>
              </a:defRPr>
            </a:pPr>
            <a:r>
              <a:rPr lang="en-US" sz="1200" b="0" u="sng"/>
              <a:t>Age</a:t>
            </a:r>
            <a:r>
              <a:rPr lang="en-US" sz="1200" b="0" u="sng" baseline="0"/>
              <a:t> Demographic Trends in Burlingotn, VT</a:t>
            </a:r>
            <a:endParaRPr lang="en-US" sz="1200" b="0" u="sng"/>
          </a:p>
        </c:rich>
      </c:tx>
      <c:layout>
        <c:manualLayout>
          <c:xMode val="edge"/>
          <c:yMode val="edge"/>
          <c:x val="0.31557350785697202"/>
          <c:y val="2.70931204022032E-2"/>
        </c:manualLayout>
      </c:layout>
      <c:overlay val="0"/>
      <c:spPr>
        <a:noFill/>
        <a:ln>
          <a:noFill/>
        </a:ln>
        <a:effectLst/>
      </c:spPr>
      <c:txPr>
        <a:bodyPr rot="0" spcFirstLastPara="1" vertOverflow="ellipsis" vert="horz" wrap="square" anchor="ctr" anchorCtr="1"/>
        <a:lstStyle/>
        <a:p>
          <a:pPr>
            <a:defRPr sz="1200" b="0"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732103975403203E-2"/>
          <c:y val="0.110024768030757"/>
          <c:w val="0.92899016126507405"/>
          <c:h val="0.73365302576614499"/>
        </c:manualLayout>
      </c:layout>
      <c:barChart>
        <c:barDir val="col"/>
        <c:grouping val="clustered"/>
        <c:varyColors val="0"/>
        <c:ser>
          <c:idx val="0"/>
          <c:order val="0"/>
          <c:tx>
            <c:strRef>
              <c:f>'U:\CEDO\[AFFH Table 2 - Demographic Trends and Charts for Presentation.xlsx]Table 2'!$C$28</c:f>
              <c:strCache>
                <c:ptCount val="1"/>
                <c:pt idx="0">
                  <c:v>1990</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'[4]Table 2'!$B$46:$B$48</c:f>
              <c:strCache>
                <c:ptCount val="3"/>
                <c:pt idx="0">
                  <c:v>Under 18</c:v>
                </c:pt>
                <c:pt idx="1">
                  <c:v>18-64</c:v>
                </c:pt>
                <c:pt idx="2">
                  <c:v>65+</c:v>
                </c:pt>
              </c:strCache>
            </c:strRef>
          </c:cat>
          <c:val>
            <c:numRef>
              <c:f>'[4]Table 2'!$C$46:$C$48</c:f>
              <c:numCache>
                <c:formatCode>General</c:formatCode>
                <c:ptCount val="3"/>
                <c:pt idx="0">
                  <c:v>0.1598</c:v>
                </c:pt>
                <c:pt idx="1">
                  <c:v>0.73460000000000003</c:v>
                </c:pt>
                <c:pt idx="2">
                  <c:v>0.1056</c:v>
                </c:pt>
              </c:numCache>
            </c:numRef>
          </c:val>
          <c:extLst xmlns:c16r2="http://schemas.microsoft.com/office/drawing/2015/06/chart">
            <c:ext xmlns:c16="http://schemas.microsoft.com/office/drawing/2014/chart" uri="{C3380CC4-5D6E-409C-BE32-E72D297353CC}">
              <c16:uniqueId val="{00000000-0C2D-4FB6-A9BD-66AA8DBA2923}"/>
            </c:ext>
          </c:extLst>
        </c:ser>
        <c:ser>
          <c:idx val="1"/>
          <c:order val="1"/>
          <c:tx>
            <c:strRef>
              <c:f>'U:\CEDO\[AFFH Table 2 - Demographic Trends and Charts for Presentation.xlsx]Table 2'!$D$28</c:f>
              <c:strCache>
                <c:ptCount val="1"/>
                <c:pt idx="0">
                  <c:v>2000</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'[4]Table 2'!$B$46:$B$48</c:f>
              <c:strCache>
                <c:ptCount val="3"/>
                <c:pt idx="0">
                  <c:v>Under 18</c:v>
                </c:pt>
                <c:pt idx="1">
                  <c:v>18-64</c:v>
                </c:pt>
                <c:pt idx="2">
                  <c:v>65+</c:v>
                </c:pt>
              </c:strCache>
            </c:strRef>
          </c:cat>
          <c:val>
            <c:numRef>
              <c:f>'[4]Table 2'!$D$46:$D$48</c:f>
              <c:numCache>
                <c:formatCode>General</c:formatCode>
                <c:ptCount val="3"/>
                <c:pt idx="0">
                  <c:v>0.1731</c:v>
                </c:pt>
                <c:pt idx="1">
                  <c:v>0.72170000000000001</c:v>
                </c:pt>
                <c:pt idx="2">
                  <c:v>0.1053</c:v>
                </c:pt>
              </c:numCache>
            </c:numRef>
          </c:val>
          <c:extLst xmlns:c16r2="http://schemas.microsoft.com/office/drawing/2015/06/chart">
            <c:ext xmlns:c16="http://schemas.microsoft.com/office/drawing/2014/chart" uri="{C3380CC4-5D6E-409C-BE32-E72D297353CC}">
              <c16:uniqueId val="{00000001-0C2D-4FB6-A9BD-66AA8DBA2923}"/>
            </c:ext>
          </c:extLst>
        </c:ser>
        <c:ser>
          <c:idx val="2"/>
          <c:order val="2"/>
          <c:tx>
            <c:strRef>
              <c:f>'U:\CEDO\[AFFH Table 2 - Demographic Trends and Charts for Presentation.xlsx]Table 2'!$E$28</c:f>
              <c:strCache>
                <c:ptCount val="1"/>
                <c:pt idx="0">
                  <c:v>2010</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'[4]Table 2'!$B$46:$B$48</c:f>
              <c:strCache>
                <c:ptCount val="3"/>
                <c:pt idx="0">
                  <c:v>Under 18</c:v>
                </c:pt>
                <c:pt idx="1">
                  <c:v>18-64</c:v>
                </c:pt>
                <c:pt idx="2">
                  <c:v>65+</c:v>
                </c:pt>
              </c:strCache>
            </c:strRef>
          </c:cat>
          <c:val>
            <c:numRef>
              <c:f>'[4]Table 2'!$E$46:$E$48</c:f>
              <c:numCache>
                <c:formatCode>General</c:formatCode>
                <c:ptCount val="3"/>
                <c:pt idx="0">
                  <c:v>0.1351</c:v>
                </c:pt>
                <c:pt idx="1">
                  <c:v>0.77100000000000002</c:v>
                </c:pt>
                <c:pt idx="2">
                  <c:v>9.4E-2</c:v>
                </c:pt>
              </c:numCache>
            </c:numRef>
          </c:val>
          <c:extLst xmlns:c16r2="http://schemas.microsoft.com/office/drawing/2015/06/chart">
            <c:ext xmlns:c16="http://schemas.microsoft.com/office/drawing/2014/chart" uri="{C3380CC4-5D6E-409C-BE32-E72D297353CC}">
              <c16:uniqueId val="{00000002-0C2D-4FB6-A9BD-66AA8DBA2923}"/>
            </c:ext>
          </c:extLst>
        </c:ser>
        <c:dLbls>
          <c:showLegendKey val="0"/>
          <c:showVal val="0"/>
          <c:showCatName val="0"/>
          <c:showSerName val="0"/>
          <c:showPercent val="0"/>
          <c:showBubbleSize val="0"/>
        </c:dLbls>
        <c:gapWidth val="219"/>
        <c:overlap val="-27"/>
        <c:axId val="191659368"/>
        <c:axId val="191659760"/>
      </c:barChart>
      <c:catAx>
        <c:axId val="19165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91659760"/>
        <c:crosses val="autoZero"/>
        <c:auto val="1"/>
        <c:lblAlgn val="ctr"/>
        <c:lblOffset val="100"/>
        <c:noMultiLvlLbl val="0"/>
      </c:catAx>
      <c:valAx>
        <c:axId val="191659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91659368"/>
        <c:crosses val="autoZero"/>
        <c:crossBetween val="between"/>
      </c:valAx>
      <c:spPr>
        <a:noFill/>
        <a:ln>
          <a:noFill/>
        </a:ln>
        <a:effectLst/>
      </c:spPr>
    </c:plotArea>
    <c:legend>
      <c:legendPos val="b"/>
      <c:layout>
        <c:manualLayout>
          <c:xMode val="edge"/>
          <c:yMode val="edge"/>
          <c:x val="0.50725653611480404"/>
          <c:y val="0.93997678459206702"/>
          <c:w val="0.34046511231550602"/>
          <c:h val="5.0718420760785199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0"/>
              <a:t>Monthly</a:t>
            </a:r>
            <a:r>
              <a:rPr lang="en-US" sz="1200" b="0" baseline="0"/>
              <a:t> Change in Tax Revenues, January 2008-January 2016</a:t>
            </a:r>
          </a:p>
        </c:rich>
      </c:tx>
      <c:layout>
        <c:manualLayout>
          <c:xMode val="edge"/>
          <c:yMode val="edge"/>
          <c:x val="0.155224274850259"/>
          <c:y val="3.5016049022468597E-2"/>
        </c:manualLayout>
      </c:layout>
      <c:overlay val="0"/>
    </c:title>
    <c:autoTitleDeleted val="0"/>
    <c:plotArea>
      <c:layout>
        <c:manualLayout>
          <c:layoutTarget val="inner"/>
          <c:xMode val="edge"/>
          <c:yMode val="edge"/>
          <c:x val="0.104253987482334"/>
          <c:y val="0.16548818897637799"/>
          <c:w val="0.86395063597819499"/>
          <c:h val="0.77211886014248199"/>
        </c:manualLayout>
      </c:layout>
      <c:barChart>
        <c:barDir val="col"/>
        <c:grouping val="clustered"/>
        <c:varyColors val="0"/>
        <c:ser>
          <c:idx val="0"/>
          <c:order val="0"/>
          <c:tx>
            <c:strRef>
              <c:f>'2016 chart'!$B$23</c:f>
              <c:strCache>
                <c:ptCount val="1"/>
                <c:pt idx="0">
                  <c:v>Burlington Meals, Rooms and Alcohol, % Change from the Previous January</c:v>
                </c:pt>
              </c:strCache>
            </c:strRef>
          </c:tx>
          <c:invertIfNegative val="0"/>
          <c:cat>
            <c:numRef>
              <c:f>'2016 chart'!$A$24:$A$32</c:f>
              <c:numCache>
                <c:formatCode>mmm\-yy</c:formatCode>
                <c:ptCount val="9"/>
                <c:pt idx="0">
                  <c:v>39448</c:v>
                </c:pt>
                <c:pt idx="1">
                  <c:v>39814</c:v>
                </c:pt>
                <c:pt idx="2">
                  <c:v>40179</c:v>
                </c:pt>
                <c:pt idx="3">
                  <c:v>40544</c:v>
                </c:pt>
                <c:pt idx="4">
                  <c:v>40909</c:v>
                </c:pt>
                <c:pt idx="5">
                  <c:v>41275</c:v>
                </c:pt>
                <c:pt idx="6">
                  <c:v>41640</c:v>
                </c:pt>
                <c:pt idx="7">
                  <c:v>42005</c:v>
                </c:pt>
                <c:pt idx="8">
                  <c:v>42370</c:v>
                </c:pt>
              </c:numCache>
            </c:numRef>
          </c:cat>
          <c:val>
            <c:numRef>
              <c:f>'2016 chart'!$B$24:$B$32</c:f>
              <c:numCache>
                <c:formatCode>0.00%</c:formatCode>
                <c:ptCount val="9"/>
                <c:pt idx="0">
                  <c:v>9.7000000000000003E-2</c:v>
                </c:pt>
                <c:pt idx="1">
                  <c:v>-5.3199999999999997E-2</c:v>
                </c:pt>
                <c:pt idx="2">
                  <c:v>2.4500000000000001E-2</c:v>
                </c:pt>
                <c:pt idx="3">
                  <c:v>6.3799999999999996E-2</c:v>
                </c:pt>
                <c:pt idx="4">
                  <c:v>0.1081</c:v>
                </c:pt>
                <c:pt idx="5">
                  <c:v>7.5200000000000003E-2</c:v>
                </c:pt>
                <c:pt idx="6">
                  <c:v>8.1299999999999997E-2</c:v>
                </c:pt>
                <c:pt idx="7">
                  <c:v>9.5799999999999996E-2</c:v>
                </c:pt>
                <c:pt idx="8">
                  <c:v>9.5299999999999996E-2</c:v>
                </c:pt>
              </c:numCache>
            </c:numRef>
          </c:val>
          <c:extLst xmlns:c16r2="http://schemas.microsoft.com/office/drawing/2015/06/chart">
            <c:ext xmlns:c16="http://schemas.microsoft.com/office/drawing/2014/chart" uri="{C3380CC4-5D6E-409C-BE32-E72D297353CC}">
              <c16:uniqueId val="{00000000-9000-4004-982C-7ADD2BBB527D}"/>
            </c:ext>
          </c:extLst>
        </c:ser>
        <c:ser>
          <c:idx val="1"/>
          <c:order val="1"/>
          <c:tx>
            <c:strRef>
              <c:f>'2016 chart'!$C$23</c:f>
              <c:strCache>
                <c:ptCount val="1"/>
                <c:pt idx="0">
                  <c:v>Sales and Use Gross Receipts, % Change from the Previous January</c:v>
                </c:pt>
              </c:strCache>
            </c:strRef>
          </c:tx>
          <c:invertIfNegative val="0"/>
          <c:cat>
            <c:numRef>
              <c:f>'2016 chart'!$A$24:$A$32</c:f>
              <c:numCache>
                <c:formatCode>mmm\-yy</c:formatCode>
                <c:ptCount val="9"/>
                <c:pt idx="0">
                  <c:v>39448</c:v>
                </c:pt>
                <c:pt idx="1">
                  <c:v>39814</c:v>
                </c:pt>
                <c:pt idx="2">
                  <c:v>40179</c:v>
                </c:pt>
                <c:pt idx="3">
                  <c:v>40544</c:v>
                </c:pt>
                <c:pt idx="4">
                  <c:v>40909</c:v>
                </c:pt>
                <c:pt idx="5">
                  <c:v>41275</c:v>
                </c:pt>
                <c:pt idx="6">
                  <c:v>41640</c:v>
                </c:pt>
                <c:pt idx="7">
                  <c:v>42005</c:v>
                </c:pt>
                <c:pt idx="8">
                  <c:v>42370</c:v>
                </c:pt>
              </c:numCache>
            </c:numRef>
          </c:cat>
          <c:val>
            <c:numRef>
              <c:f>'2016 chart'!$C$24:$C$32</c:f>
              <c:numCache>
                <c:formatCode>0.00%</c:formatCode>
                <c:ptCount val="9"/>
                <c:pt idx="0">
                  <c:v>3.5200000000000002E-2</c:v>
                </c:pt>
                <c:pt idx="1">
                  <c:v>-0.13600000000000001</c:v>
                </c:pt>
                <c:pt idx="2">
                  <c:v>-1.18E-2</c:v>
                </c:pt>
                <c:pt idx="3">
                  <c:v>0.3488</c:v>
                </c:pt>
                <c:pt idx="4">
                  <c:v>3.1199999999999999E-2</c:v>
                </c:pt>
                <c:pt idx="5">
                  <c:v>0.1021</c:v>
                </c:pt>
                <c:pt idx="6">
                  <c:v>3.5700000000000003E-2</c:v>
                </c:pt>
                <c:pt idx="7">
                  <c:v>3.0499999999999999E-2</c:v>
                </c:pt>
                <c:pt idx="8">
                  <c:v>0.12920000000000001</c:v>
                </c:pt>
              </c:numCache>
            </c:numRef>
          </c:val>
          <c:extLst xmlns:c16r2="http://schemas.microsoft.com/office/drawing/2015/06/chart">
            <c:ext xmlns:c16="http://schemas.microsoft.com/office/drawing/2014/chart" uri="{C3380CC4-5D6E-409C-BE32-E72D297353CC}">
              <c16:uniqueId val="{00000001-9000-4004-982C-7ADD2BBB527D}"/>
            </c:ext>
          </c:extLst>
        </c:ser>
        <c:dLbls>
          <c:showLegendKey val="0"/>
          <c:showVal val="0"/>
          <c:showCatName val="0"/>
          <c:showSerName val="0"/>
          <c:showPercent val="0"/>
          <c:showBubbleSize val="0"/>
        </c:dLbls>
        <c:gapWidth val="150"/>
        <c:axId val="193636400"/>
        <c:axId val="193636792"/>
      </c:barChart>
      <c:dateAx>
        <c:axId val="193636400"/>
        <c:scaling>
          <c:orientation val="minMax"/>
        </c:scaling>
        <c:delete val="0"/>
        <c:axPos val="b"/>
        <c:numFmt formatCode="mmm\-yy" sourceLinked="0"/>
        <c:majorTickMark val="out"/>
        <c:minorTickMark val="none"/>
        <c:tickLblPos val="nextTo"/>
        <c:crossAx val="193636792"/>
        <c:crosses val="autoZero"/>
        <c:auto val="1"/>
        <c:lblOffset val="100"/>
        <c:baseTimeUnit val="years"/>
      </c:dateAx>
      <c:valAx>
        <c:axId val="193636792"/>
        <c:scaling>
          <c:orientation val="minMax"/>
        </c:scaling>
        <c:delete val="0"/>
        <c:axPos val="l"/>
        <c:majorGridlines/>
        <c:numFmt formatCode="0.00%" sourceLinked="1"/>
        <c:majorTickMark val="out"/>
        <c:minorTickMark val="none"/>
        <c:tickLblPos val="nextTo"/>
        <c:crossAx val="193636400"/>
        <c:crosses val="autoZero"/>
        <c:crossBetween val="between"/>
      </c:valAx>
    </c:plotArea>
    <c:legend>
      <c:legendPos val="r"/>
      <c:layout>
        <c:manualLayout>
          <c:xMode val="edge"/>
          <c:yMode val="edge"/>
          <c:x val="0.64128154653745195"/>
          <c:y val="0.17893438320210001"/>
          <c:w val="0.307436402180497"/>
          <c:h val="0.34522609673790799"/>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en-US"/>
              <a:t>Rental Vacancy Rates 
Source: Allen &amp; Brooks Report and Census</a:t>
            </a:r>
          </a:p>
        </c:rich>
      </c:tx>
      <c:layout>
        <c:manualLayout>
          <c:xMode val="edge"/>
          <c:yMode val="edge"/>
          <c:x val="0.31805157593123201"/>
          <c:y val="3.4383954154727801E-2"/>
        </c:manualLayout>
      </c:layout>
      <c:overlay val="0"/>
      <c:spPr>
        <a:noFill/>
        <a:ln w="25400">
          <a:noFill/>
        </a:ln>
      </c:spPr>
    </c:title>
    <c:autoTitleDeleted val="0"/>
    <c:plotArea>
      <c:layout>
        <c:manualLayout>
          <c:layoutTarget val="inner"/>
          <c:xMode val="edge"/>
          <c:yMode val="edge"/>
          <c:x val="9.7898758357211096E-2"/>
          <c:y val="0.191022268348262"/>
          <c:w val="0.86138670166229203"/>
          <c:h val="0.65146613120351304"/>
        </c:manualLayout>
      </c:layout>
      <c:lineChart>
        <c:grouping val="standard"/>
        <c:varyColors val="0"/>
        <c:ser>
          <c:idx val="0"/>
          <c:order val="0"/>
          <c:tx>
            <c:strRef>
              <c:f>Sheet1!$C$2</c:f>
              <c:strCache>
                <c:ptCount val="1"/>
                <c:pt idx="0">
                  <c:v>Chittenden County</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numRef>
              <c:f>Sheet1!$B$3:$B$43</c:f>
              <c:numCache>
                <c:formatCode>mmm\-yy</c:formatCode>
                <c:ptCount val="41"/>
                <c:pt idx="0">
                  <c:v>35034</c:v>
                </c:pt>
                <c:pt idx="1">
                  <c:v>35217</c:v>
                </c:pt>
                <c:pt idx="2">
                  <c:v>35400</c:v>
                </c:pt>
                <c:pt idx="3">
                  <c:v>35582</c:v>
                </c:pt>
                <c:pt idx="4">
                  <c:v>35765</c:v>
                </c:pt>
                <c:pt idx="5">
                  <c:v>35947</c:v>
                </c:pt>
                <c:pt idx="6">
                  <c:v>36130</c:v>
                </c:pt>
                <c:pt idx="7">
                  <c:v>36312</c:v>
                </c:pt>
                <c:pt idx="8">
                  <c:v>36495</c:v>
                </c:pt>
                <c:pt idx="9">
                  <c:v>36678</c:v>
                </c:pt>
                <c:pt idx="10">
                  <c:v>36861</c:v>
                </c:pt>
                <c:pt idx="11" formatCode="[$-409]mmm\-yy;@">
                  <c:v>37043</c:v>
                </c:pt>
                <c:pt idx="12" formatCode="[$-409]mmm\-yy;@">
                  <c:v>37226</c:v>
                </c:pt>
                <c:pt idx="13" formatCode="[$-409]mmm\-yy;@">
                  <c:v>37409</c:v>
                </c:pt>
                <c:pt idx="14" formatCode="[$-409]mmm\-yy;@">
                  <c:v>37592</c:v>
                </c:pt>
                <c:pt idx="15" formatCode="[$-409]mmm\-yy;@">
                  <c:v>37775</c:v>
                </c:pt>
                <c:pt idx="16" formatCode="[$-409]mmm\-yy;@">
                  <c:v>37958</c:v>
                </c:pt>
                <c:pt idx="17" formatCode="[$-409]mmm\-yy;@">
                  <c:v>37046</c:v>
                </c:pt>
                <c:pt idx="18" formatCode="[$-409]mmm\-yy;@">
                  <c:v>38325</c:v>
                </c:pt>
                <c:pt idx="19" formatCode="[$-409]mmm\-yy;@">
                  <c:v>38508</c:v>
                </c:pt>
                <c:pt idx="20" formatCode="[$-409]mmm\-yy;@">
                  <c:v>38691</c:v>
                </c:pt>
                <c:pt idx="21" formatCode="[$-409]mmm\-yy;@">
                  <c:v>38874</c:v>
                </c:pt>
                <c:pt idx="22" formatCode="[$-409]mmm\-yy;@">
                  <c:v>39057</c:v>
                </c:pt>
                <c:pt idx="23" formatCode="[$-409]mmm\-yy;@">
                  <c:v>39240</c:v>
                </c:pt>
                <c:pt idx="24" formatCode="[$-409]mmm\-yy;@">
                  <c:v>39423</c:v>
                </c:pt>
                <c:pt idx="25" formatCode="[$-409]mmm\-yy;@">
                  <c:v>39607</c:v>
                </c:pt>
                <c:pt idx="26" formatCode="[$-409]mmm\-yy;@">
                  <c:v>39790</c:v>
                </c:pt>
                <c:pt idx="27" formatCode="[$-409]mmm\-yy;@">
                  <c:v>39973</c:v>
                </c:pt>
                <c:pt idx="28" formatCode="[$-409]mmm\-yy;@">
                  <c:v>40156</c:v>
                </c:pt>
                <c:pt idx="29">
                  <c:v>40330</c:v>
                </c:pt>
                <c:pt idx="30">
                  <c:v>40513</c:v>
                </c:pt>
                <c:pt idx="31">
                  <c:v>40695</c:v>
                </c:pt>
                <c:pt idx="32">
                  <c:v>40878</c:v>
                </c:pt>
                <c:pt idx="33">
                  <c:v>41061</c:v>
                </c:pt>
                <c:pt idx="34" formatCode="[$-409]mmm\-yy;@">
                  <c:v>41255</c:v>
                </c:pt>
                <c:pt idx="35" formatCode="[$-409]mmm\-yy;@">
                  <c:v>41455</c:v>
                </c:pt>
                <c:pt idx="36" formatCode="[$-409]mmm\-yy;@">
                  <c:v>41639</c:v>
                </c:pt>
                <c:pt idx="37" formatCode="[$-409]mmm\-yy;@">
                  <c:v>41804</c:v>
                </c:pt>
                <c:pt idx="38" formatCode="[$-409]mmm\-yy;@">
                  <c:v>42004</c:v>
                </c:pt>
                <c:pt idx="39" formatCode="[$-409]mmm\-yy;@">
                  <c:v>42185</c:v>
                </c:pt>
                <c:pt idx="40" formatCode="[$-409]mmm\-yy;@">
                  <c:v>42369</c:v>
                </c:pt>
              </c:numCache>
            </c:numRef>
          </c:cat>
          <c:val>
            <c:numRef>
              <c:f>Sheet1!$C$3:$C$43</c:f>
              <c:numCache>
                <c:formatCode>0.00%</c:formatCode>
                <c:ptCount val="41"/>
                <c:pt idx="0">
                  <c:v>1.2E-2</c:v>
                </c:pt>
                <c:pt idx="1">
                  <c:v>6.0000000000000001E-3</c:v>
                </c:pt>
                <c:pt idx="2">
                  <c:v>6.0000000000000001E-3</c:v>
                </c:pt>
                <c:pt idx="3">
                  <c:v>0.01</c:v>
                </c:pt>
                <c:pt idx="4">
                  <c:v>0.01</c:v>
                </c:pt>
                <c:pt idx="5">
                  <c:v>8.9999999999999993E-3</c:v>
                </c:pt>
                <c:pt idx="6">
                  <c:v>7.0000000000000001E-3</c:v>
                </c:pt>
                <c:pt idx="7">
                  <c:v>6.0000000000000001E-3</c:v>
                </c:pt>
                <c:pt idx="8">
                  <c:v>2E-3</c:v>
                </c:pt>
                <c:pt idx="9">
                  <c:v>6.0000000000000001E-3</c:v>
                </c:pt>
                <c:pt idx="10">
                  <c:v>7.0000000000000001E-3</c:v>
                </c:pt>
                <c:pt idx="11">
                  <c:v>3.0000000000000001E-3</c:v>
                </c:pt>
                <c:pt idx="12">
                  <c:v>1.4999999999999999E-2</c:v>
                </c:pt>
                <c:pt idx="13">
                  <c:v>8.9999999999999993E-3</c:v>
                </c:pt>
                <c:pt idx="14">
                  <c:v>0.02</c:v>
                </c:pt>
                <c:pt idx="15">
                  <c:v>2.7E-2</c:v>
                </c:pt>
                <c:pt idx="16">
                  <c:v>2.7E-2</c:v>
                </c:pt>
                <c:pt idx="17">
                  <c:v>1.2999999999999999E-2</c:v>
                </c:pt>
                <c:pt idx="18">
                  <c:v>2.5000000000000001E-2</c:v>
                </c:pt>
                <c:pt idx="19">
                  <c:v>1.4999999999999999E-2</c:v>
                </c:pt>
                <c:pt idx="20">
                  <c:v>2.5000000000000001E-2</c:v>
                </c:pt>
                <c:pt idx="21">
                  <c:v>1.4E-2</c:v>
                </c:pt>
                <c:pt idx="22">
                  <c:v>1.7999999999999999E-2</c:v>
                </c:pt>
                <c:pt idx="23">
                  <c:v>0.02</c:v>
                </c:pt>
                <c:pt idx="24">
                  <c:v>1.2999999999999999E-2</c:v>
                </c:pt>
                <c:pt idx="25">
                  <c:v>0.01</c:v>
                </c:pt>
                <c:pt idx="26">
                  <c:v>0.02</c:v>
                </c:pt>
                <c:pt idx="27">
                  <c:v>1.4E-2</c:v>
                </c:pt>
                <c:pt idx="28">
                  <c:v>2.7E-2</c:v>
                </c:pt>
                <c:pt idx="29">
                  <c:v>1.7000000000000001E-2</c:v>
                </c:pt>
                <c:pt idx="30">
                  <c:v>1.4E-2</c:v>
                </c:pt>
                <c:pt idx="31">
                  <c:v>0.01</c:v>
                </c:pt>
                <c:pt idx="32">
                  <c:v>1.2999999999999999E-2</c:v>
                </c:pt>
                <c:pt idx="33">
                  <c:v>8.9999999999999993E-3</c:v>
                </c:pt>
                <c:pt idx="34">
                  <c:v>1.7000000000000001E-2</c:v>
                </c:pt>
                <c:pt idx="35">
                  <c:v>1.2E-2</c:v>
                </c:pt>
                <c:pt idx="36">
                  <c:v>1.7999999999999999E-2</c:v>
                </c:pt>
                <c:pt idx="37">
                  <c:v>8.9999999999999993E-3</c:v>
                </c:pt>
                <c:pt idx="38">
                  <c:v>1.7000000000000001E-2</c:v>
                </c:pt>
                <c:pt idx="39">
                  <c:v>2.8000000000000001E-2</c:v>
                </c:pt>
                <c:pt idx="40">
                  <c:v>0.03</c:v>
                </c:pt>
              </c:numCache>
            </c:numRef>
          </c:val>
          <c:smooth val="0"/>
          <c:extLst xmlns:c16r2="http://schemas.microsoft.com/office/drawing/2015/06/chart">
            <c:ext xmlns:c16="http://schemas.microsoft.com/office/drawing/2014/chart" uri="{C3380CC4-5D6E-409C-BE32-E72D297353CC}">
              <c16:uniqueId val="{00000000-1E88-4809-AA88-E6186D894EE7}"/>
            </c:ext>
          </c:extLst>
        </c:ser>
        <c:ser>
          <c:idx val="1"/>
          <c:order val="1"/>
          <c:tx>
            <c:strRef>
              <c:f>Sheet1!$D$2</c:f>
              <c:strCache>
                <c:ptCount val="1"/>
                <c:pt idx="0">
                  <c:v>Northeast</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numRef>
              <c:f>Sheet1!$B$3:$B$43</c:f>
              <c:numCache>
                <c:formatCode>mmm\-yy</c:formatCode>
                <c:ptCount val="41"/>
                <c:pt idx="0">
                  <c:v>35034</c:v>
                </c:pt>
                <c:pt idx="1">
                  <c:v>35217</c:v>
                </c:pt>
                <c:pt idx="2">
                  <c:v>35400</c:v>
                </c:pt>
                <c:pt idx="3">
                  <c:v>35582</c:v>
                </c:pt>
                <c:pt idx="4">
                  <c:v>35765</c:v>
                </c:pt>
                <c:pt idx="5">
                  <c:v>35947</c:v>
                </c:pt>
                <c:pt idx="6">
                  <c:v>36130</c:v>
                </c:pt>
                <c:pt idx="7">
                  <c:v>36312</c:v>
                </c:pt>
                <c:pt idx="8">
                  <c:v>36495</c:v>
                </c:pt>
                <c:pt idx="9">
                  <c:v>36678</c:v>
                </c:pt>
                <c:pt idx="10">
                  <c:v>36861</c:v>
                </c:pt>
                <c:pt idx="11" formatCode="[$-409]mmm\-yy;@">
                  <c:v>37043</c:v>
                </c:pt>
                <c:pt idx="12" formatCode="[$-409]mmm\-yy;@">
                  <c:v>37226</c:v>
                </c:pt>
                <c:pt idx="13" formatCode="[$-409]mmm\-yy;@">
                  <c:v>37409</c:v>
                </c:pt>
                <c:pt idx="14" formatCode="[$-409]mmm\-yy;@">
                  <c:v>37592</c:v>
                </c:pt>
                <c:pt idx="15" formatCode="[$-409]mmm\-yy;@">
                  <c:v>37775</c:v>
                </c:pt>
                <c:pt idx="16" formatCode="[$-409]mmm\-yy;@">
                  <c:v>37958</c:v>
                </c:pt>
                <c:pt idx="17" formatCode="[$-409]mmm\-yy;@">
                  <c:v>37046</c:v>
                </c:pt>
                <c:pt idx="18" formatCode="[$-409]mmm\-yy;@">
                  <c:v>38325</c:v>
                </c:pt>
                <c:pt idx="19" formatCode="[$-409]mmm\-yy;@">
                  <c:v>38508</c:v>
                </c:pt>
                <c:pt idx="20" formatCode="[$-409]mmm\-yy;@">
                  <c:v>38691</c:v>
                </c:pt>
                <c:pt idx="21" formatCode="[$-409]mmm\-yy;@">
                  <c:v>38874</c:v>
                </c:pt>
                <c:pt idx="22" formatCode="[$-409]mmm\-yy;@">
                  <c:v>39057</c:v>
                </c:pt>
                <c:pt idx="23" formatCode="[$-409]mmm\-yy;@">
                  <c:v>39240</c:v>
                </c:pt>
                <c:pt idx="24" formatCode="[$-409]mmm\-yy;@">
                  <c:v>39423</c:v>
                </c:pt>
                <c:pt idx="25" formatCode="[$-409]mmm\-yy;@">
                  <c:v>39607</c:v>
                </c:pt>
                <c:pt idx="26" formatCode="[$-409]mmm\-yy;@">
                  <c:v>39790</c:v>
                </c:pt>
                <c:pt idx="27" formatCode="[$-409]mmm\-yy;@">
                  <c:v>39973</c:v>
                </c:pt>
                <c:pt idx="28" formatCode="[$-409]mmm\-yy;@">
                  <c:v>40156</c:v>
                </c:pt>
                <c:pt idx="29">
                  <c:v>40330</c:v>
                </c:pt>
                <c:pt idx="30">
                  <c:v>40513</c:v>
                </c:pt>
                <c:pt idx="31">
                  <c:v>40695</c:v>
                </c:pt>
                <c:pt idx="32">
                  <c:v>40878</c:v>
                </c:pt>
                <c:pt idx="33">
                  <c:v>41061</c:v>
                </c:pt>
                <c:pt idx="34" formatCode="[$-409]mmm\-yy;@">
                  <c:v>41255</c:v>
                </c:pt>
                <c:pt idx="35" formatCode="[$-409]mmm\-yy;@">
                  <c:v>41455</c:v>
                </c:pt>
                <c:pt idx="36" formatCode="[$-409]mmm\-yy;@">
                  <c:v>41639</c:v>
                </c:pt>
                <c:pt idx="37" formatCode="[$-409]mmm\-yy;@">
                  <c:v>41804</c:v>
                </c:pt>
                <c:pt idx="38" formatCode="[$-409]mmm\-yy;@">
                  <c:v>42004</c:v>
                </c:pt>
                <c:pt idx="39" formatCode="[$-409]mmm\-yy;@">
                  <c:v>42185</c:v>
                </c:pt>
                <c:pt idx="40" formatCode="[$-409]mmm\-yy;@">
                  <c:v>42369</c:v>
                </c:pt>
              </c:numCache>
            </c:numRef>
          </c:cat>
          <c:val>
            <c:numRef>
              <c:f>Sheet1!$D$3:$D$43</c:f>
              <c:numCache>
                <c:formatCode>0.00%</c:formatCode>
                <c:ptCount val="41"/>
                <c:pt idx="0">
                  <c:v>6.9000000000000006E-2</c:v>
                </c:pt>
                <c:pt idx="1">
                  <c:v>7.5999999999999998E-2</c:v>
                </c:pt>
                <c:pt idx="2">
                  <c:v>7.0999999999999994E-2</c:v>
                </c:pt>
                <c:pt idx="3">
                  <c:v>6.7000000000000004E-2</c:v>
                </c:pt>
                <c:pt idx="4">
                  <c:v>6.9000000000000006E-2</c:v>
                </c:pt>
                <c:pt idx="5">
                  <c:v>7.1999999999999995E-2</c:v>
                </c:pt>
                <c:pt idx="6">
                  <c:v>6.0999999999999999E-2</c:v>
                </c:pt>
                <c:pt idx="7">
                  <c:v>7.0000000000000007E-2</c:v>
                </c:pt>
                <c:pt idx="8">
                  <c:v>5.2999999999999999E-2</c:v>
                </c:pt>
                <c:pt idx="9">
                  <c:v>5.8000000000000003E-2</c:v>
                </c:pt>
                <c:pt idx="10">
                  <c:v>5.2999999999999999E-2</c:v>
                </c:pt>
                <c:pt idx="11">
                  <c:v>5.2999999999999999E-2</c:v>
                </c:pt>
                <c:pt idx="12">
                  <c:v>5.3999999999999999E-2</c:v>
                </c:pt>
                <c:pt idx="13">
                  <c:v>5.6000000000000001E-2</c:v>
                </c:pt>
                <c:pt idx="14">
                  <c:v>5.6000000000000001E-2</c:v>
                </c:pt>
                <c:pt idx="15">
                  <c:v>6.8000000000000005E-2</c:v>
                </c:pt>
                <c:pt idx="16">
                  <c:v>6.9000000000000006E-2</c:v>
                </c:pt>
                <c:pt idx="17">
                  <c:v>7.0000000000000007E-2</c:v>
                </c:pt>
                <c:pt idx="18">
                  <c:v>6.8000000000000005E-2</c:v>
                </c:pt>
                <c:pt idx="19">
                  <c:v>6.0999999999999999E-2</c:v>
                </c:pt>
                <c:pt idx="20">
                  <c:v>6.7000000000000004E-2</c:v>
                </c:pt>
                <c:pt idx="21">
                  <c:v>6.9000000000000006E-2</c:v>
                </c:pt>
                <c:pt idx="22">
                  <c:v>6.5000000000000002E-2</c:v>
                </c:pt>
                <c:pt idx="23">
                  <c:v>7.3999999999999996E-2</c:v>
                </c:pt>
                <c:pt idx="24">
                  <c:v>6.6000000000000003E-2</c:v>
                </c:pt>
                <c:pt idx="25">
                  <c:v>7.3999999999999996E-2</c:v>
                </c:pt>
                <c:pt idx="26">
                  <c:v>6.3E-2</c:v>
                </c:pt>
                <c:pt idx="27">
                  <c:v>7.0999999999999994E-2</c:v>
                </c:pt>
                <c:pt idx="28">
                  <c:v>7.1999999999999995E-2</c:v>
                </c:pt>
                <c:pt idx="29">
                  <c:v>0.08</c:v>
                </c:pt>
                <c:pt idx="30">
                  <c:v>7.3999999999999996E-2</c:v>
                </c:pt>
                <c:pt idx="31">
                  <c:v>6.8000000000000005E-2</c:v>
                </c:pt>
                <c:pt idx="32">
                  <c:v>6.8000000000000005E-2</c:v>
                </c:pt>
                <c:pt idx="33">
                  <c:v>6.7000000000000004E-2</c:v>
                </c:pt>
                <c:pt idx="34">
                  <c:v>7.4999999999999997E-2</c:v>
                </c:pt>
                <c:pt idx="35">
                  <c:v>7.2999999999999995E-2</c:v>
                </c:pt>
                <c:pt idx="36">
                  <c:v>6.7000000000000004E-2</c:v>
                </c:pt>
                <c:pt idx="37">
                  <c:v>5.8000000000000003E-2</c:v>
                </c:pt>
                <c:pt idx="38">
                  <c:v>5.8000000000000003E-2</c:v>
                </c:pt>
                <c:pt idx="39">
                  <c:v>5.3999999999999999E-2</c:v>
                </c:pt>
                <c:pt idx="40">
                  <c:v>5.5E-2</c:v>
                </c:pt>
              </c:numCache>
            </c:numRef>
          </c:val>
          <c:smooth val="0"/>
          <c:extLst xmlns:c16r2="http://schemas.microsoft.com/office/drawing/2015/06/chart">
            <c:ext xmlns:c16="http://schemas.microsoft.com/office/drawing/2014/chart" uri="{C3380CC4-5D6E-409C-BE32-E72D297353CC}">
              <c16:uniqueId val="{00000001-1E88-4809-AA88-E6186D894EE7}"/>
            </c:ext>
          </c:extLst>
        </c:ser>
        <c:ser>
          <c:idx val="2"/>
          <c:order val="2"/>
          <c:tx>
            <c:strRef>
              <c:f>Sheet1!$E$2</c:f>
              <c:strCache>
                <c:ptCount val="1"/>
                <c:pt idx="0">
                  <c:v>National MSA</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Sheet1!$B$3:$B$43</c:f>
              <c:numCache>
                <c:formatCode>mmm\-yy</c:formatCode>
                <c:ptCount val="41"/>
                <c:pt idx="0">
                  <c:v>35034</c:v>
                </c:pt>
                <c:pt idx="1">
                  <c:v>35217</c:v>
                </c:pt>
                <c:pt idx="2">
                  <c:v>35400</c:v>
                </c:pt>
                <c:pt idx="3">
                  <c:v>35582</c:v>
                </c:pt>
                <c:pt idx="4">
                  <c:v>35765</c:v>
                </c:pt>
                <c:pt idx="5">
                  <c:v>35947</c:v>
                </c:pt>
                <c:pt idx="6">
                  <c:v>36130</c:v>
                </c:pt>
                <c:pt idx="7">
                  <c:v>36312</c:v>
                </c:pt>
                <c:pt idx="8">
                  <c:v>36495</c:v>
                </c:pt>
                <c:pt idx="9">
                  <c:v>36678</c:v>
                </c:pt>
                <c:pt idx="10">
                  <c:v>36861</c:v>
                </c:pt>
                <c:pt idx="11" formatCode="[$-409]mmm\-yy;@">
                  <c:v>37043</c:v>
                </c:pt>
                <c:pt idx="12" formatCode="[$-409]mmm\-yy;@">
                  <c:v>37226</c:v>
                </c:pt>
                <c:pt idx="13" formatCode="[$-409]mmm\-yy;@">
                  <c:v>37409</c:v>
                </c:pt>
                <c:pt idx="14" formatCode="[$-409]mmm\-yy;@">
                  <c:v>37592</c:v>
                </c:pt>
                <c:pt idx="15" formatCode="[$-409]mmm\-yy;@">
                  <c:v>37775</c:v>
                </c:pt>
                <c:pt idx="16" formatCode="[$-409]mmm\-yy;@">
                  <c:v>37958</c:v>
                </c:pt>
                <c:pt idx="17" formatCode="[$-409]mmm\-yy;@">
                  <c:v>37046</c:v>
                </c:pt>
                <c:pt idx="18" formatCode="[$-409]mmm\-yy;@">
                  <c:v>38325</c:v>
                </c:pt>
                <c:pt idx="19" formatCode="[$-409]mmm\-yy;@">
                  <c:v>38508</c:v>
                </c:pt>
                <c:pt idx="20" formatCode="[$-409]mmm\-yy;@">
                  <c:v>38691</c:v>
                </c:pt>
                <c:pt idx="21" formatCode="[$-409]mmm\-yy;@">
                  <c:v>38874</c:v>
                </c:pt>
                <c:pt idx="22" formatCode="[$-409]mmm\-yy;@">
                  <c:v>39057</c:v>
                </c:pt>
                <c:pt idx="23" formatCode="[$-409]mmm\-yy;@">
                  <c:v>39240</c:v>
                </c:pt>
                <c:pt idx="24" formatCode="[$-409]mmm\-yy;@">
                  <c:v>39423</c:v>
                </c:pt>
                <c:pt idx="25" formatCode="[$-409]mmm\-yy;@">
                  <c:v>39607</c:v>
                </c:pt>
                <c:pt idx="26" formatCode="[$-409]mmm\-yy;@">
                  <c:v>39790</c:v>
                </c:pt>
                <c:pt idx="27" formatCode="[$-409]mmm\-yy;@">
                  <c:v>39973</c:v>
                </c:pt>
                <c:pt idx="28" formatCode="[$-409]mmm\-yy;@">
                  <c:v>40156</c:v>
                </c:pt>
                <c:pt idx="29">
                  <c:v>40330</c:v>
                </c:pt>
                <c:pt idx="30">
                  <c:v>40513</c:v>
                </c:pt>
                <c:pt idx="31">
                  <c:v>40695</c:v>
                </c:pt>
                <c:pt idx="32">
                  <c:v>40878</c:v>
                </c:pt>
                <c:pt idx="33">
                  <c:v>41061</c:v>
                </c:pt>
                <c:pt idx="34" formatCode="[$-409]mmm\-yy;@">
                  <c:v>41255</c:v>
                </c:pt>
                <c:pt idx="35" formatCode="[$-409]mmm\-yy;@">
                  <c:v>41455</c:v>
                </c:pt>
                <c:pt idx="36" formatCode="[$-409]mmm\-yy;@">
                  <c:v>41639</c:v>
                </c:pt>
                <c:pt idx="37" formatCode="[$-409]mmm\-yy;@">
                  <c:v>41804</c:v>
                </c:pt>
                <c:pt idx="38" formatCode="[$-409]mmm\-yy;@">
                  <c:v>42004</c:v>
                </c:pt>
                <c:pt idx="39" formatCode="[$-409]mmm\-yy;@">
                  <c:v>42185</c:v>
                </c:pt>
                <c:pt idx="40" formatCode="[$-409]mmm\-yy;@">
                  <c:v>42369</c:v>
                </c:pt>
              </c:numCache>
            </c:numRef>
          </c:cat>
          <c:val>
            <c:numRef>
              <c:f>Sheet1!$E$3:$E$43</c:f>
              <c:numCache>
                <c:formatCode>0.00%</c:formatCode>
                <c:ptCount val="41"/>
                <c:pt idx="0">
                  <c:v>7.6999999999999999E-2</c:v>
                </c:pt>
                <c:pt idx="1">
                  <c:v>7.4999999999999997E-2</c:v>
                </c:pt>
                <c:pt idx="2">
                  <c:v>7.5999999999999998E-2</c:v>
                </c:pt>
                <c:pt idx="3">
                  <c:v>7.8E-2</c:v>
                </c:pt>
                <c:pt idx="4">
                  <c:v>7.4999999999999997E-2</c:v>
                </c:pt>
                <c:pt idx="5">
                  <c:v>7.8E-2</c:v>
                </c:pt>
                <c:pt idx="6">
                  <c:v>7.4999999999999997E-2</c:v>
                </c:pt>
                <c:pt idx="7">
                  <c:v>7.9000000000000001E-2</c:v>
                </c:pt>
                <c:pt idx="8">
                  <c:v>7.6999999999999999E-2</c:v>
                </c:pt>
                <c:pt idx="9">
                  <c:v>7.5999999999999998E-2</c:v>
                </c:pt>
                <c:pt idx="10">
                  <c:v>7.4999999999999997E-2</c:v>
                </c:pt>
                <c:pt idx="11">
                  <c:v>7.9000000000000001E-2</c:v>
                </c:pt>
                <c:pt idx="12">
                  <c:v>8.4000000000000005E-2</c:v>
                </c:pt>
                <c:pt idx="13">
                  <c:v>8.1000000000000003E-2</c:v>
                </c:pt>
                <c:pt idx="14">
                  <c:v>9.0999999999999998E-2</c:v>
                </c:pt>
                <c:pt idx="15">
                  <c:v>9.4E-2</c:v>
                </c:pt>
                <c:pt idx="16">
                  <c:v>0.10100000000000001</c:v>
                </c:pt>
                <c:pt idx="17">
                  <c:v>0.10199999999999999</c:v>
                </c:pt>
                <c:pt idx="18">
                  <c:v>0.10100000000000001</c:v>
                </c:pt>
                <c:pt idx="19">
                  <c:v>9.7000000000000003E-2</c:v>
                </c:pt>
                <c:pt idx="20">
                  <c:v>9.4E-2</c:v>
                </c:pt>
                <c:pt idx="21">
                  <c:v>9.5000000000000001E-2</c:v>
                </c:pt>
                <c:pt idx="22">
                  <c:v>9.9000000000000005E-2</c:v>
                </c:pt>
                <c:pt idx="23">
                  <c:v>9.6000000000000002E-2</c:v>
                </c:pt>
                <c:pt idx="24">
                  <c:v>9.6000000000000002E-2</c:v>
                </c:pt>
                <c:pt idx="25">
                  <c:v>0.1</c:v>
                </c:pt>
                <c:pt idx="26">
                  <c:v>0.10100000000000001</c:v>
                </c:pt>
                <c:pt idx="27">
                  <c:v>0.107</c:v>
                </c:pt>
                <c:pt idx="28">
                  <c:v>0.107</c:v>
                </c:pt>
                <c:pt idx="29">
                  <c:v>0.107</c:v>
                </c:pt>
                <c:pt idx="30">
                  <c:v>9.7000000000000003E-2</c:v>
                </c:pt>
                <c:pt idx="31">
                  <c:v>8.7999999999999995E-2</c:v>
                </c:pt>
                <c:pt idx="32">
                  <c:v>8.5999999999999993E-2</c:v>
                </c:pt>
                <c:pt idx="33">
                  <c:v>8.5000000000000006E-2</c:v>
                </c:pt>
                <c:pt idx="34">
                  <c:v>8.5999999999999993E-2</c:v>
                </c:pt>
                <c:pt idx="35">
                  <c:v>8.2000000000000003E-2</c:v>
                </c:pt>
                <c:pt idx="36">
                  <c:v>8.2000000000000003E-2</c:v>
                </c:pt>
                <c:pt idx="37">
                  <c:v>7.4999999999999997E-2</c:v>
                </c:pt>
                <c:pt idx="38">
                  <c:v>7.0000000000000007E-2</c:v>
                </c:pt>
                <c:pt idx="39">
                  <c:v>6.8000000000000005E-2</c:v>
                </c:pt>
                <c:pt idx="40">
                  <c:v>7.0000000000000007E-2</c:v>
                </c:pt>
              </c:numCache>
            </c:numRef>
          </c:val>
          <c:smooth val="0"/>
          <c:extLst xmlns:c16r2="http://schemas.microsoft.com/office/drawing/2015/06/chart">
            <c:ext xmlns:c16="http://schemas.microsoft.com/office/drawing/2014/chart" uri="{C3380CC4-5D6E-409C-BE32-E72D297353CC}">
              <c16:uniqueId val="{00000002-1E88-4809-AA88-E6186D894EE7}"/>
            </c:ext>
          </c:extLst>
        </c:ser>
        <c:ser>
          <c:idx val="3"/>
          <c:order val="3"/>
          <c:tx>
            <c:strRef>
              <c:f>Sheet1!$F$2</c:f>
              <c:strCache>
                <c:ptCount val="1"/>
                <c:pt idx="0">
                  <c:v>Balanced Rate</c:v>
                </c:pt>
              </c:strCache>
            </c:strRef>
          </c:tx>
          <c:spPr>
            <a:ln w="12700">
              <a:solidFill>
                <a:srgbClr val="00FFFF"/>
              </a:solidFill>
              <a:prstDash val="solid"/>
            </a:ln>
          </c:spPr>
          <c:marker>
            <c:symbol val="x"/>
            <c:size val="5"/>
            <c:spPr>
              <a:noFill/>
              <a:ln>
                <a:solidFill>
                  <a:srgbClr val="00FFFF"/>
                </a:solidFill>
                <a:prstDash val="solid"/>
              </a:ln>
            </c:spPr>
          </c:marker>
          <c:cat>
            <c:numRef>
              <c:f>Sheet1!$B$3:$B$43</c:f>
              <c:numCache>
                <c:formatCode>mmm\-yy</c:formatCode>
                <c:ptCount val="41"/>
                <c:pt idx="0">
                  <c:v>35034</c:v>
                </c:pt>
                <c:pt idx="1">
                  <c:v>35217</c:v>
                </c:pt>
                <c:pt idx="2">
                  <c:v>35400</c:v>
                </c:pt>
                <c:pt idx="3">
                  <c:v>35582</c:v>
                </c:pt>
                <c:pt idx="4">
                  <c:v>35765</c:v>
                </c:pt>
                <c:pt idx="5">
                  <c:v>35947</c:v>
                </c:pt>
                <c:pt idx="6">
                  <c:v>36130</c:v>
                </c:pt>
                <c:pt idx="7">
                  <c:v>36312</c:v>
                </c:pt>
                <c:pt idx="8">
                  <c:v>36495</c:v>
                </c:pt>
                <c:pt idx="9">
                  <c:v>36678</c:v>
                </c:pt>
                <c:pt idx="10">
                  <c:v>36861</c:v>
                </c:pt>
                <c:pt idx="11" formatCode="[$-409]mmm\-yy;@">
                  <c:v>37043</c:v>
                </c:pt>
                <c:pt idx="12" formatCode="[$-409]mmm\-yy;@">
                  <c:v>37226</c:v>
                </c:pt>
                <c:pt idx="13" formatCode="[$-409]mmm\-yy;@">
                  <c:v>37409</c:v>
                </c:pt>
                <c:pt idx="14" formatCode="[$-409]mmm\-yy;@">
                  <c:v>37592</c:v>
                </c:pt>
                <c:pt idx="15" formatCode="[$-409]mmm\-yy;@">
                  <c:v>37775</c:v>
                </c:pt>
                <c:pt idx="16" formatCode="[$-409]mmm\-yy;@">
                  <c:v>37958</c:v>
                </c:pt>
                <c:pt idx="17" formatCode="[$-409]mmm\-yy;@">
                  <c:v>37046</c:v>
                </c:pt>
                <c:pt idx="18" formatCode="[$-409]mmm\-yy;@">
                  <c:v>38325</c:v>
                </c:pt>
                <c:pt idx="19" formatCode="[$-409]mmm\-yy;@">
                  <c:v>38508</c:v>
                </c:pt>
                <c:pt idx="20" formatCode="[$-409]mmm\-yy;@">
                  <c:v>38691</c:v>
                </c:pt>
                <c:pt idx="21" formatCode="[$-409]mmm\-yy;@">
                  <c:v>38874</c:v>
                </c:pt>
                <c:pt idx="22" formatCode="[$-409]mmm\-yy;@">
                  <c:v>39057</c:v>
                </c:pt>
                <c:pt idx="23" formatCode="[$-409]mmm\-yy;@">
                  <c:v>39240</c:v>
                </c:pt>
                <c:pt idx="24" formatCode="[$-409]mmm\-yy;@">
                  <c:v>39423</c:v>
                </c:pt>
                <c:pt idx="25" formatCode="[$-409]mmm\-yy;@">
                  <c:v>39607</c:v>
                </c:pt>
                <c:pt idx="26" formatCode="[$-409]mmm\-yy;@">
                  <c:v>39790</c:v>
                </c:pt>
                <c:pt idx="27" formatCode="[$-409]mmm\-yy;@">
                  <c:v>39973</c:v>
                </c:pt>
                <c:pt idx="28" formatCode="[$-409]mmm\-yy;@">
                  <c:v>40156</c:v>
                </c:pt>
                <c:pt idx="29">
                  <c:v>40330</c:v>
                </c:pt>
                <c:pt idx="30">
                  <c:v>40513</c:v>
                </c:pt>
                <c:pt idx="31">
                  <c:v>40695</c:v>
                </c:pt>
                <c:pt idx="32">
                  <c:v>40878</c:v>
                </c:pt>
                <c:pt idx="33">
                  <c:v>41061</c:v>
                </c:pt>
                <c:pt idx="34" formatCode="[$-409]mmm\-yy;@">
                  <c:v>41255</c:v>
                </c:pt>
                <c:pt idx="35" formatCode="[$-409]mmm\-yy;@">
                  <c:v>41455</c:v>
                </c:pt>
                <c:pt idx="36" formatCode="[$-409]mmm\-yy;@">
                  <c:v>41639</c:v>
                </c:pt>
                <c:pt idx="37" formatCode="[$-409]mmm\-yy;@">
                  <c:v>41804</c:v>
                </c:pt>
                <c:pt idx="38" formatCode="[$-409]mmm\-yy;@">
                  <c:v>42004</c:v>
                </c:pt>
                <c:pt idx="39" formatCode="[$-409]mmm\-yy;@">
                  <c:v>42185</c:v>
                </c:pt>
                <c:pt idx="40" formatCode="[$-409]mmm\-yy;@">
                  <c:v>42369</c:v>
                </c:pt>
              </c:numCache>
            </c:numRef>
          </c:cat>
          <c:val>
            <c:numRef>
              <c:f>Sheet1!$F$3:$F$43</c:f>
              <c:numCache>
                <c:formatCode>0.00%</c:formatCode>
                <c:ptCount val="41"/>
                <c:pt idx="0">
                  <c:v>0.04</c:v>
                </c:pt>
                <c:pt idx="1">
                  <c:v>0.04</c:v>
                </c:pt>
                <c:pt idx="2">
                  <c:v>0.04</c:v>
                </c:pt>
                <c:pt idx="3">
                  <c:v>0.04</c:v>
                </c:pt>
                <c:pt idx="4">
                  <c:v>0.04</c:v>
                </c:pt>
                <c:pt idx="5">
                  <c:v>0.04</c:v>
                </c:pt>
                <c:pt idx="6">
                  <c:v>0.04</c:v>
                </c:pt>
                <c:pt idx="7">
                  <c:v>0.04</c:v>
                </c:pt>
                <c:pt idx="8">
                  <c:v>0.04</c:v>
                </c:pt>
                <c:pt idx="9">
                  <c:v>0.04</c:v>
                </c:pt>
                <c:pt idx="10">
                  <c:v>0.04</c:v>
                </c:pt>
                <c:pt idx="11">
                  <c:v>0.04</c:v>
                </c:pt>
                <c:pt idx="12">
                  <c:v>0.04</c:v>
                </c:pt>
                <c:pt idx="13">
                  <c:v>0.04</c:v>
                </c:pt>
                <c:pt idx="14">
                  <c:v>0.04</c:v>
                </c:pt>
                <c:pt idx="15">
                  <c:v>0.04</c:v>
                </c:pt>
                <c:pt idx="16">
                  <c:v>0.04</c:v>
                </c:pt>
                <c:pt idx="17">
                  <c:v>0.04</c:v>
                </c:pt>
                <c:pt idx="18">
                  <c:v>0.04</c:v>
                </c:pt>
                <c:pt idx="19">
                  <c:v>0.04</c:v>
                </c:pt>
                <c:pt idx="20">
                  <c:v>0.04</c:v>
                </c:pt>
                <c:pt idx="21">
                  <c:v>0.04</c:v>
                </c:pt>
                <c:pt idx="22">
                  <c:v>0.04</c:v>
                </c:pt>
                <c:pt idx="23">
                  <c:v>0.04</c:v>
                </c:pt>
                <c:pt idx="24">
                  <c:v>0.04</c:v>
                </c:pt>
                <c:pt idx="25">
                  <c:v>0.04</c:v>
                </c:pt>
                <c:pt idx="26">
                  <c:v>0.04</c:v>
                </c:pt>
                <c:pt idx="27">
                  <c:v>0.04</c:v>
                </c:pt>
                <c:pt idx="28">
                  <c:v>0.04</c:v>
                </c:pt>
                <c:pt idx="29">
                  <c:v>0.04</c:v>
                </c:pt>
                <c:pt idx="30">
                  <c:v>0.04</c:v>
                </c:pt>
                <c:pt idx="31">
                  <c:v>0.04</c:v>
                </c:pt>
                <c:pt idx="32">
                  <c:v>0.04</c:v>
                </c:pt>
                <c:pt idx="33">
                  <c:v>0.04</c:v>
                </c:pt>
                <c:pt idx="34">
                  <c:v>0.04</c:v>
                </c:pt>
                <c:pt idx="35">
                  <c:v>0.04</c:v>
                </c:pt>
                <c:pt idx="36">
                  <c:v>0.04</c:v>
                </c:pt>
                <c:pt idx="37">
                  <c:v>0.04</c:v>
                </c:pt>
                <c:pt idx="38">
                  <c:v>0.04</c:v>
                </c:pt>
                <c:pt idx="39">
                  <c:v>0.04</c:v>
                </c:pt>
                <c:pt idx="40">
                  <c:v>0.04</c:v>
                </c:pt>
              </c:numCache>
            </c:numRef>
          </c:val>
          <c:smooth val="0"/>
          <c:extLst xmlns:c16r2="http://schemas.microsoft.com/office/drawing/2015/06/chart">
            <c:ext xmlns:c16="http://schemas.microsoft.com/office/drawing/2014/chart" uri="{C3380CC4-5D6E-409C-BE32-E72D297353CC}">
              <c16:uniqueId val="{00000003-1E88-4809-AA88-E6186D894EE7}"/>
            </c:ext>
          </c:extLst>
        </c:ser>
        <c:dLbls>
          <c:showLegendKey val="0"/>
          <c:showVal val="0"/>
          <c:showCatName val="0"/>
          <c:showSerName val="0"/>
          <c:showPercent val="0"/>
          <c:showBubbleSize val="0"/>
        </c:dLbls>
        <c:marker val="1"/>
        <c:smooth val="0"/>
        <c:axId val="193637576"/>
        <c:axId val="193637968"/>
      </c:lineChart>
      <c:catAx>
        <c:axId val="193637576"/>
        <c:scaling>
          <c:orientation val="minMax"/>
        </c:scaling>
        <c:delete val="0"/>
        <c:axPos val="b"/>
        <c:numFmt formatCode="mmm\-yy"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193637968"/>
        <c:crosses val="autoZero"/>
        <c:auto val="0"/>
        <c:lblAlgn val="ctr"/>
        <c:lblOffset val="100"/>
        <c:tickLblSkip val="2"/>
        <c:tickMarkSkip val="1"/>
        <c:noMultiLvlLbl val="0"/>
      </c:catAx>
      <c:valAx>
        <c:axId val="193637968"/>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93637576"/>
        <c:crosses val="autoZero"/>
        <c:crossBetween val="between"/>
      </c:valAx>
      <c:spPr>
        <a:solidFill>
          <a:srgbClr val="C0C0C0"/>
        </a:solidFill>
        <a:ln w="12700">
          <a:solidFill>
            <a:srgbClr val="808080"/>
          </a:solidFill>
          <a:prstDash val="solid"/>
        </a:ln>
      </c:spPr>
    </c:plotArea>
    <c:legend>
      <c:legendPos val="r"/>
      <c:layout>
        <c:manualLayout>
          <c:xMode val="edge"/>
          <c:yMode val="edge"/>
          <c:x val="0.77580018843798404"/>
          <c:y val="0.102052228634625"/>
          <c:w val="0.21060171919770801"/>
          <c:h val="0.243553309417985"/>
        </c:manualLayout>
      </c:layout>
      <c:overlay val="0"/>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193481223501"/>
          <c:y val="0.190610388817677"/>
          <c:w val="0.84662200844651703"/>
          <c:h val="0.68551852530061597"/>
        </c:manualLayout>
      </c:layout>
      <c:barChart>
        <c:barDir val="col"/>
        <c:grouping val="clustered"/>
        <c:varyColors val="0"/>
        <c:ser>
          <c:idx val="0"/>
          <c:order val="0"/>
          <c:invertIfNegative val="0"/>
          <c:cat>
            <c:numRef>
              <c:f>'Multi-Year'!$H$2:$H$14</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'Multi-Year'!$I$2:$I$14</c:f>
              <c:numCache>
                <c:formatCode>General</c:formatCode>
                <c:ptCount val="13"/>
                <c:pt idx="0">
                  <c:v>13</c:v>
                </c:pt>
                <c:pt idx="1">
                  <c:v>13</c:v>
                </c:pt>
                <c:pt idx="2">
                  <c:v>17</c:v>
                </c:pt>
                <c:pt idx="3">
                  <c:v>17</c:v>
                </c:pt>
                <c:pt idx="4">
                  <c:v>26</c:v>
                </c:pt>
                <c:pt idx="5">
                  <c:v>36</c:v>
                </c:pt>
                <c:pt idx="6">
                  <c:v>40</c:v>
                </c:pt>
                <c:pt idx="7">
                  <c:v>32</c:v>
                </c:pt>
                <c:pt idx="8">
                  <c:v>17</c:v>
                </c:pt>
                <c:pt idx="9">
                  <c:v>16</c:v>
                </c:pt>
                <c:pt idx="10">
                  <c:v>9</c:v>
                </c:pt>
                <c:pt idx="11">
                  <c:v>8</c:v>
                </c:pt>
                <c:pt idx="12">
                  <c:v>5</c:v>
                </c:pt>
              </c:numCache>
            </c:numRef>
          </c:val>
          <c:extLst xmlns:c16r2="http://schemas.microsoft.com/office/drawing/2015/06/chart">
            <c:ext xmlns:c16="http://schemas.microsoft.com/office/drawing/2014/chart" uri="{C3380CC4-5D6E-409C-BE32-E72D297353CC}">
              <c16:uniqueId val="{00000000-8D26-4521-8AE7-1FFE4B593138}"/>
            </c:ext>
          </c:extLst>
        </c:ser>
        <c:dLbls>
          <c:showLegendKey val="0"/>
          <c:showVal val="0"/>
          <c:showCatName val="0"/>
          <c:showSerName val="0"/>
          <c:showPercent val="0"/>
          <c:showBubbleSize val="0"/>
        </c:dLbls>
        <c:gapWidth val="150"/>
        <c:axId val="193638752"/>
        <c:axId val="193639144"/>
      </c:barChart>
      <c:catAx>
        <c:axId val="193638752"/>
        <c:scaling>
          <c:orientation val="minMax"/>
        </c:scaling>
        <c:delete val="0"/>
        <c:axPos val="b"/>
        <c:numFmt formatCode="General" sourceLinked="1"/>
        <c:majorTickMark val="out"/>
        <c:minorTickMark val="none"/>
        <c:tickLblPos val="nextTo"/>
        <c:crossAx val="193639144"/>
        <c:crosses val="autoZero"/>
        <c:auto val="1"/>
        <c:lblAlgn val="ctr"/>
        <c:lblOffset val="100"/>
        <c:noMultiLvlLbl val="0"/>
      </c:catAx>
      <c:valAx>
        <c:axId val="193639144"/>
        <c:scaling>
          <c:orientation val="minMax"/>
        </c:scaling>
        <c:delete val="0"/>
        <c:axPos val="l"/>
        <c:majorGridlines/>
        <c:numFmt formatCode="General" sourceLinked="1"/>
        <c:majorTickMark val="out"/>
        <c:minorTickMark val="none"/>
        <c:tickLblPos val="nextTo"/>
        <c:crossAx val="193638752"/>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Racial/Ethnic</a:t>
            </a:r>
            <a:r>
              <a:rPr lang="en-US" baseline="0"/>
              <a:t> Dissimilarity Trends in Burlington, VT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4"/>
          <c:order val="0"/>
          <c:tx>
            <c:strRef>
              <c:f>'Table 3'!$B$5</c:f>
              <c:strCache>
                <c:ptCount val="1"/>
                <c:pt idx="0">
                  <c:v>Non-White/White</c:v>
                </c:pt>
              </c:strCache>
            </c:strRef>
          </c:tx>
          <c:spPr>
            <a:ln w="28575" cap="rnd">
              <a:solidFill>
                <a:schemeClr val="tx1"/>
              </a:solidFill>
              <a:prstDash val="dashDot"/>
              <a:round/>
            </a:ln>
            <a:effectLst/>
          </c:spPr>
          <c:marker>
            <c:symbol val="none"/>
          </c:marker>
          <c:cat>
            <c:numRef>
              <c:f>'Table 3'!$C$4:$E$4</c:f>
              <c:numCache>
                <c:formatCode>General</c:formatCode>
                <c:ptCount val="3"/>
                <c:pt idx="0">
                  <c:v>1990</c:v>
                </c:pt>
                <c:pt idx="1">
                  <c:v>2000</c:v>
                </c:pt>
                <c:pt idx="2">
                  <c:v>2010</c:v>
                </c:pt>
              </c:numCache>
            </c:numRef>
          </c:cat>
          <c:val>
            <c:numRef>
              <c:f>'Table 3'!$C$5:$E$5</c:f>
              <c:numCache>
                <c:formatCode>0.00</c:formatCode>
                <c:ptCount val="3"/>
                <c:pt idx="0">
                  <c:v>12.369999890000001</c:v>
                </c:pt>
                <c:pt idx="1">
                  <c:v>17.170000080000001</c:v>
                </c:pt>
                <c:pt idx="2">
                  <c:v>18.850000380000001</c:v>
                </c:pt>
              </c:numCache>
            </c:numRef>
          </c:val>
          <c:smooth val="0"/>
        </c:ser>
        <c:ser>
          <c:idx val="5"/>
          <c:order val="1"/>
          <c:tx>
            <c:strRef>
              <c:f>'Table 3'!$B$6</c:f>
              <c:strCache>
                <c:ptCount val="1"/>
                <c:pt idx="0">
                  <c:v>Black/White</c:v>
                </c:pt>
              </c:strCache>
            </c:strRef>
          </c:tx>
          <c:spPr>
            <a:ln w="28575" cap="rnd">
              <a:solidFill>
                <a:schemeClr val="accent6"/>
              </a:solidFill>
              <a:round/>
            </a:ln>
            <a:effectLst/>
          </c:spPr>
          <c:marker>
            <c:symbol val="none"/>
          </c:marker>
          <c:cat>
            <c:numRef>
              <c:f>'Table 3'!$C$4:$E$4</c:f>
              <c:numCache>
                <c:formatCode>General</c:formatCode>
                <c:ptCount val="3"/>
                <c:pt idx="0">
                  <c:v>1990</c:v>
                </c:pt>
                <c:pt idx="1">
                  <c:v>2000</c:v>
                </c:pt>
                <c:pt idx="2">
                  <c:v>2010</c:v>
                </c:pt>
              </c:numCache>
            </c:numRef>
          </c:cat>
          <c:val>
            <c:numRef>
              <c:f>'Table 3'!$C$6:$E$6</c:f>
              <c:numCache>
                <c:formatCode>0.00</c:formatCode>
                <c:ptCount val="3"/>
                <c:pt idx="0">
                  <c:v>9.4799995400000032</c:v>
                </c:pt>
                <c:pt idx="1">
                  <c:v>21.379999160000001</c:v>
                </c:pt>
                <c:pt idx="2">
                  <c:v>27.459999079999999</c:v>
                </c:pt>
              </c:numCache>
            </c:numRef>
          </c:val>
          <c:smooth val="0"/>
        </c:ser>
        <c:ser>
          <c:idx val="6"/>
          <c:order val="2"/>
          <c:tx>
            <c:strRef>
              <c:f>'Table 3'!$B$7</c:f>
              <c:strCache>
                <c:ptCount val="1"/>
                <c:pt idx="0">
                  <c:v>Hispanic/White </c:v>
                </c:pt>
              </c:strCache>
            </c:strRef>
          </c:tx>
          <c:spPr>
            <a:ln w="28575" cap="rnd">
              <a:solidFill>
                <a:schemeClr val="accent1">
                  <a:lumMod val="60000"/>
                </a:schemeClr>
              </a:solidFill>
              <a:round/>
            </a:ln>
            <a:effectLst/>
          </c:spPr>
          <c:marker>
            <c:symbol val="none"/>
          </c:marker>
          <c:cat>
            <c:numRef>
              <c:f>'Table 3'!$C$4:$E$4</c:f>
              <c:numCache>
                <c:formatCode>General</c:formatCode>
                <c:ptCount val="3"/>
                <c:pt idx="0">
                  <c:v>1990</c:v>
                </c:pt>
                <c:pt idx="1">
                  <c:v>2000</c:v>
                </c:pt>
                <c:pt idx="2">
                  <c:v>2010</c:v>
                </c:pt>
              </c:numCache>
            </c:numRef>
          </c:cat>
          <c:val>
            <c:numRef>
              <c:f>'Table 3'!$C$7:$E$7</c:f>
              <c:numCache>
                <c:formatCode>0.00</c:formatCode>
                <c:ptCount val="3"/>
                <c:pt idx="0">
                  <c:v>17.719999309999999</c:v>
                </c:pt>
                <c:pt idx="1">
                  <c:v>11.44999981</c:v>
                </c:pt>
                <c:pt idx="2">
                  <c:v>11.22999954</c:v>
                </c:pt>
              </c:numCache>
            </c:numRef>
          </c:val>
          <c:smooth val="0"/>
        </c:ser>
        <c:ser>
          <c:idx val="7"/>
          <c:order val="3"/>
          <c:tx>
            <c:strRef>
              <c:f>'Table 3'!$B$8</c:f>
              <c:strCache>
                <c:ptCount val="1"/>
                <c:pt idx="0">
                  <c:v>Asian or Pacific Islander/White</c:v>
                </c:pt>
              </c:strCache>
            </c:strRef>
          </c:tx>
          <c:spPr>
            <a:ln w="28575" cap="rnd">
              <a:solidFill>
                <a:schemeClr val="accent2">
                  <a:lumMod val="60000"/>
                </a:schemeClr>
              </a:solidFill>
              <a:round/>
            </a:ln>
            <a:effectLst/>
          </c:spPr>
          <c:marker>
            <c:symbol val="none"/>
          </c:marker>
          <c:cat>
            <c:numRef>
              <c:f>'Table 3'!$C$4:$E$4</c:f>
              <c:numCache>
                <c:formatCode>General</c:formatCode>
                <c:ptCount val="3"/>
                <c:pt idx="0">
                  <c:v>1990</c:v>
                </c:pt>
                <c:pt idx="1">
                  <c:v>2000</c:v>
                </c:pt>
                <c:pt idx="2">
                  <c:v>2010</c:v>
                </c:pt>
              </c:numCache>
            </c:numRef>
          </c:cat>
          <c:val>
            <c:numRef>
              <c:f>'Table 3'!$C$8:$E$8</c:f>
              <c:numCache>
                <c:formatCode>0.00</c:formatCode>
                <c:ptCount val="3"/>
                <c:pt idx="0">
                  <c:v>15.869999890000001</c:v>
                </c:pt>
                <c:pt idx="1">
                  <c:v>19.159999849999991</c:v>
                </c:pt>
                <c:pt idx="2">
                  <c:v>20.739999770000001</c:v>
                </c:pt>
              </c:numCache>
            </c:numRef>
          </c:val>
          <c:smooth val="0"/>
        </c:ser>
        <c:ser>
          <c:idx val="0"/>
          <c:order val="4"/>
          <c:tx>
            <c:strRef>
              <c:f>'Table 3'!$B$5</c:f>
              <c:strCache>
                <c:ptCount val="1"/>
                <c:pt idx="0">
                  <c:v>Non-White/White</c:v>
                </c:pt>
              </c:strCache>
            </c:strRef>
          </c:tx>
          <c:spPr>
            <a:ln w="28575" cap="rnd">
              <a:solidFill>
                <a:schemeClr val="tx1"/>
              </a:solidFill>
              <a:prstDash val="dashDot"/>
              <a:round/>
            </a:ln>
            <a:effectLst/>
          </c:spPr>
          <c:marker>
            <c:symbol val="none"/>
          </c:marker>
          <c:cat>
            <c:numRef>
              <c:f>'Table 3'!$C$4:$E$4</c:f>
              <c:numCache>
                <c:formatCode>General</c:formatCode>
                <c:ptCount val="3"/>
                <c:pt idx="0">
                  <c:v>1990</c:v>
                </c:pt>
                <c:pt idx="1">
                  <c:v>2000</c:v>
                </c:pt>
                <c:pt idx="2">
                  <c:v>2010</c:v>
                </c:pt>
              </c:numCache>
            </c:numRef>
          </c:cat>
          <c:val>
            <c:numRef>
              <c:f>'Table 3'!$C$5:$E$5</c:f>
              <c:numCache>
                <c:formatCode>0.00</c:formatCode>
                <c:ptCount val="3"/>
                <c:pt idx="0">
                  <c:v>12.369999890000001</c:v>
                </c:pt>
                <c:pt idx="1">
                  <c:v>17.170000080000001</c:v>
                </c:pt>
                <c:pt idx="2">
                  <c:v>18.850000380000001</c:v>
                </c:pt>
              </c:numCache>
            </c:numRef>
          </c:val>
          <c:smooth val="0"/>
        </c:ser>
        <c:ser>
          <c:idx val="1"/>
          <c:order val="5"/>
          <c:tx>
            <c:strRef>
              <c:f>'Table 3'!$B$6</c:f>
              <c:strCache>
                <c:ptCount val="1"/>
                <c:pt idx="0">
                  <c:v>Black/White</c:v>
                </c:pt>
              </c:strCache>
            </c:strRef>
          </c:tx>
          <c:spPr>
            <a:ln w="28575" cap="rnd">
              <a:solidFill>
                <a:schemeClr val="accent2"/>
              </a:solidFill>
              <a:round/>
            </a:ln>
            <a:effectLst/>
          </c:spPr>
          <c:marker>
            <c:symbol val="none"/>
          </c:marker>
          <c:cat>
            <c:numRef>
              <c:f>'Table 3'!$C$4:$E$4</c:f>
              <c:numCache>
                <c:formatCode>General</c:formatCode>
                <c:ptCount val="3"/>
                <c:pt idx="0">
                  <c:v>1990</c:v>
                </c:pt>
                <c:pt idx="1">
                  <c:v>2000</c:v>
                </c:pt>
                <c:pt idx="2">
                  <c:v>2010</c:v>
                </c:pt>
              </c:numCache>
            </c:numRef>
          </c:cat>
          <c:val>
            <c:numRef>
              <c:f>'Table 3'!$C$6:$E$6</c:f>
              <c:numCache>
                <c:formatCode>0.00</c:formatCode>
                <c:ptCount val="3"/>
                <c:pt idx="0">
                  <c:v>9.4799995400000032</c:v>
                </c:pt>
                <c:pt idx="1">
                  <c:v>21.379999160000001</c:v>
                </c:pt>
                <c:pt idx="2">
                  <c:v>27.459999079999999</c:v>
                </c:pt>
              </c:numCache>
            </c:numRef>
          </c:val>
          <c:smooth val="0"/>
        </c:ser>
        <c:ser>
          <c:idx val="2"/>
          <c:order val="6"/>
          <c:tx>
            <c:strRef>
              <c:f>'Table 3'!$B$7</c:f>
              <c:strCache>
                <c:ptCount val="1"/>
                <c:pt idx="0">
                  <c:v>Hispanic/White </c:v>
                </c:pt>
              </c:strCache>
            </c:strRef>
          </c:tx>
          <c:spPr>
            <a:ln w="28575" cap="rnd">
              <a:solidFill>
                <a:schemeClr val="accent3"/>
              </a:solidFill>
              <a:round/>
            </a:ln>
            <a:effectLst/>
          </c:spPr>
          <c:marker>
            <c:symbol val="none"/>
          </c:marker>
          <c:cat>
            <c:numRef>
              <c:f>'Table 3'!$C$4:$E$4</c:f>
              <c:numCache>
                <c:formatCode>General</c:formatCode>
                <c:ptCount val="3"/>
                <c:pt idx="0">
                  <c:v>1990</c:v>
                </c:pt>
                <c:pt idx="1">
                  <c:v>2000</c:v>
                </c:pt>
                <c:pt idx="2">
                  <c:v>2010</c:v>
                </c:pt>
              </c:numCache>
            </c:numRef>
          </c:cat>
          <c:val>
            <c:numRef>
              <c:f>'Table 3'!$C$7:$E$7</c:f>
              <c:numCache>
                <c:formatCode>0.00</c:formatCode>
                <c:ptCount val="3"/>
                <c:pt idx="0">
                  <c:v>17.719999309999999</c:v>
                </c:pt>
                <c:pt idx="1">
                  <c:v>11.44999981</c:v>
                </c:pt>
                <c:pt idx="2">
                  <c:v>11.22999954</c:v>
                </c:pt>
              </c:numCache>
            </c:numRef>
          </c:val>
          <c:smooth val="0"/>
        </c:ser>
        <c:ser>
          <c:idx val="3"/>
          <c:order val="7"/>
          <c:tx>
            <c:strRef>
              <c:f>'Table 3'!$B$8</c:f>
              <c:strCache>
                <c:ptCount val="1"/>
                <c:pt idx="0">
                  <c:v>Asian or Pacific Islander/White</c:v>
                </c:pt>
              </c:strCache>
            </c:strRef>
          </c:tx>
          <c:spPr>
            <a:ln w="28575" cap="rnd">
              <a:solidFill>
                <a:schemeClr val="accent4"/>
              </a:solidFill>
              <a:round/>
            </a:ln>
            <a:effectLst/>
          </c:spPr>
          <c:marker>
            <c:symbol val="none"/>
          </c:marker>
          <c:cat>
            <c:numRef>
              <c:f>'Table 3'!$C$4:$E$4</c:f>
              <c:numCache>
                <c:formatCode>General</c:formatCode>
                <c:ptCount val="3"/>
                <c:pt idx="0">
                  <c:v>1990</c:v>
                </c:pt>
                <c:pt idx="1">
                  <c:v>2000</c:v>
                </c:pt>
                <c:pt idx="2">
                  <c:v>2010</c:v>
                </c:pt>
              </c:numCache>
            </c:numRef>
          </c:cat>
          <c:val>
            <c:numRef>
              <c:f>'Table 3'!$C$8:$E$8</c:f>
              <c:numCache>
                <c:formatCode>0.00</c:formatCode>
                <c:ptCount val="3"/>
                <c:pt idx="0">
                  <c:v>15.869999890000001</c:v>
                </c:pt>
                <c:pt idx="1">
                  <c:v>19.159999849999991</c:v>
                </c:pt>
                <c:pt idx="2">
                  <c:v>20.739999770000001</c:v>
                </c:pt>
              </c:numCache>
            </c:numRef>
          </c:val>
          <c:smooth val="0"/>
        </c:ser>
        <c:dLbls>
          <c:showLegendKey val="0"/>
          <c:showVal val="0"/>
          <c:showCatName val="0"/>
          <c:showSerName val="0"/>
          <c:showPercent val="0"/>
          <c:showBubbleSize val="0"/>
        </c:dLbls>
        <c:smooth val="0"/>
        <c:axId val="281256984"/>
        <c:axId val="281257376"/>
      </c:lineChart>
      <c:catAx>
        <c:axId val="28125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57376"/>
        <c:crosses val="autoZero"/>
        <c:auto val="1"/>
        <c:lblAlgn val="ctr"/>
        <c:lblOffset val="100"/>
        <c:noMultiLvlLbl val="0"/>
      </c:catAx>
      <c:valAx>
        <c:axId val="281257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56984"/>
        <c:crosses val="autoZero"/>
        <c:crossBetween val="between"/>
      </c:valAx>
      <c:spPr>
        <a:noFill/>
        <a:ln>
          <a:noFill/>
        </a:ln>
        <a:effectLst/>
      </c:spPr>
    </c:plotArea>
    <c:legend>
      <c:legendPos val="b"/>
      <c:legendEntry>
        <c:idx val="1"/>
        <c:delete val="1"/>
      </c:legendEntry>
      <c:legendEntry>
        <c:idx val="2"/>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Racial/Ethnic</a:t>
            </a:r>
            <a:r>
              <a:rPr lang="en-US" baseline="0"/>
              <a:t> Dissimilarity Trends in Burlington-South Burlington Region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 3'!$B$5</c:f>
              <c:strCache>
                <c:ptCount val="1"/>
                <c:pt idx="0">
                  <c:v>Non-White/White</c:v>
                </c:pt>
              </c:strCache>
            </c:strRef>
          </c:tx>
          <c:spPr>
            <a:ln w="28575" cap="rnd">
              <a:solidFill>
                <a:schemeClr val="tx1"/>
              </a:solidFill>
              <a:prstDash val="dashDot"/>
              <a:round/>
            </a:ln>
            <a:effectLst/>
          </c:spPr>
          <c:marker>
            <c:symbol val="none"/>
          </c:marker>
          <c:cat>
            <c:numRef>
              <c:f>'Table 3'!$C$4:$E$4</c:f>
              <c:numCache>
                <c:formatCode>General</c:formatCode>
                <c:ptCount val="3"/>
                <c:pt idx="0">
                  <c:v>1990</c:v>
                </c:pt>
                <c:pt idx="1">
                  <c:v>2000</c:v>
                </c:pt>
                <c:pt idx="2">
                  <c:v>2010</c:v>
                </c:pt>
              </c:numCache>
            </c:numRef>
          </c:cat>
          <c:val>
            <c:numRef>
              <c:f>'Table 3'!$G$5:$I$5</c:f>
              <c:numCache>
                <c:formatCode>0.00</c:formatCode>
                <c:ptCount val="3"/>
                <c:pt idx="0">
                  <c:v>21.690000529999999</c:v>
                </c:pt>
                <c:pt idx="1">
                  <c:v>22.479999540000001</c:v>
                </c:pt>
                <c:pt idx="2">
                  <c:v>24.29999923999998</c:v>
                </c:pt>
              </c:numCache>
            </c:numRef>
          </c:val>
          <c:smooth val="0"/>
        </c:ser>
        <c:ser>
          <c:idx val="1"/>
          <c:order val="1"/>
          <c:tx>
            <c:strRef>
              <c:f>'Table 3'!$B$6</c:f>
              <c:strCache>
                <c:ptCount val="1"/>
                <c:pt idx="0">
                  <c:v>Black/White</c:v>
                </c:pt>
              </c:strCache>
            </c:strRef>
          </c:tx>
          <c:spPr>
            <a:ln w="28575" cap="rnd">
              <a:solidFill>
                <a:schemeClr val="accent2"/>
              </a:solidFill>
              <a:round/>
            </a:ln>
            <a:effectLst/>
          </c:spPr>
          <c:marker>
            <c:symbol val="none"/>
          </c:marker>
          <c:cat>
            <c:numRef>
              <c:f>'Table 3'!$C$4:$E$4</c:f>
              <c:numCache>
                <c:formatCode>General</c:formatCode>
                <c:ptCount val="3"/>
                <c:pt idx="0">
                  <c:v>1990</c:v>
                </c:pt>
                <c:pt idx="1">
                  <c:v>2000</c:v>
                </c:pt>
                <c:pt idx="2">
                  <c:v>2010</c:v>
                </c:pt>
              </c:numCache>
            </c:numRef>
          </c:cat>
          <c:val>
            <c:numRef>
              <c:f>'Table 3'!$G$6:$I$6</c:f>
              <c:numCache>
                <c:formatCode>0.00</c:formatCode>
                <c:ptCount val="3"/>
                <c:pt idx="0">
                  <c:v>31.959999079999999</c:v>
                </c:pt>
                <c:pt idx="1">
                  <c:v>33.009998320000001</c:v>
                </c:pt>
                <c:pt idx="2">
                  <c:v>36.13999939</c:v>
                </c:pt>
              </c:numCache>
            </c:numRef>
          </c:val>
          <c:smooth val="0"/>
        </c:ser>
        <c:ser>
          <c:idx val="2"/>
          <c:order val="2"/>
          <c:tx>
            <c:strRef>
              <c:f>'Table 3'!$B$7</c:f>
              <c:strCache>
                <c:ptCount val="1"/>
                <c:pt idx="0">
                  <c:v>Hispanic/White </c:v>
                </c:pt>
              </c:strCache>
            </c:strRef>
          </c:tx>
          <c:spPr>
            <a:ln w="28575" cap="rnd">
              <a:solidFill>
                <a:schemeClr val="accent3"/>
              </a:solidFill>
              <a:round/>
            </a:ln>
            <a:effectLst/>
          </c:spPr>
          <c:marker>
            <c:symbol val="none"/>
          </c:marker>
          <c:cat>
            <c:numRef>
              <c:f>'Table 3'!$C$4:$E$4</c:f>
              <c:numCache>
                <c:formatCode>General</c:formatCode>
                <c:ptCount val="3"/>
                <c:pt idx="0">
                  <c:v>1990</c:v>
                </c:pt>
                <c:pt idx="1">
                  <c:v>2000</c:v>
                </c:pt>
                <c:pt idx="2">
                  <c:v>2010</c:v>
                </c:pt>
              </c:numCache>
            </c:numRef>
          </c:cat>
          <c:val>
            <c:numRef>
              <c:f>'Table 3'!$G$7:$I$7</c:f>
              <c:numCache>
                <c:formatCode>0.00</c:formatCode>
                <c:ptCount val="3"/>
                <c:pt idx="0">
                  <c:v>23.38999939</c:v>
                </c:pt>
                <c:pt idx="1">
                  <c:v>18.13999939</c:v>
                </c:pt>
                <c:pt idx="2">
                  <c:v>18.700000760000009</c:v>
                </c:pt>
              </c:numCache>
            </c:numRef>
          </c:val>
          <c:smooth val="0"/>
        </c:ser>
        <c:ser>
          <c:idx val="3"/>
          <c:order val="3"/>
          <c:tx>
            <c:strRef>
              <c:f>'Table 3'!$B$8</c:f>
              <c:strCache>
                <c:ptCount val="1"/>
                <c:pt idx="0">
                  <c:v>Asian or Pacific Islander/White</c:v>
                </c:pt>
              </c:strCache>
            </c:strRef>
          </c:tx>
          <c:spPr>
            <a:ln w="28575" cap="rnd">
              <a:solidFill>
                <a:schemeClr val="accent4"/>
              </a:solidFill>
              <a:round/>
            </a:ln>
            <a:effectLst/>
          </c:spPr>
          <c:marker>
            <c:symbol val="none"/>
          </c:marker>
          <c:cat>
            <c:numRef>
              <c:f>'Table 3'!$C$4:$E$4</c:f>
              <c:numCache>
                <c:formatCode>General</c:formatCode>
                <c:ptCount val="3"/>
                <c:pt idx="0">
                  <c:v>1990</c:v>
                </c:pt>
                <c:pt idx="1">
                  <c:v>2000</c:v>
                </c:pt>
                <c:pt idx="2">
                  <c:v>2010</c:v>
                </c:pt>
              </c:numCache>
            </c:numRef>
          </c:cat>
          <c:val>
            <c:numRef>
              <c:f>'Table 3'!$G$8:$I$8</c:f>
              <c:numCache>
                <c:formatCode>0.00</c:formatCode>
                <c:ptCount val="3"/>
                <c:pt idx="0">
                  <c:v>33.939998629999998</c:v>
                </c:pt>
                <c:pt idx="1">
                  <c:v>37.16999817</c:v>
                </c:pt>
                <c:pt idx="2">
                  <c:v>36.340000150000002</c:v>
                </c:pt>
              </c:numCache>
            </c:numRef>
          </c:val>
          <c:smooth val="0"/>
        </c:ser>
        <c:dLbls>
          <c:showLegendKey val="0"/>
          <c:showVal val="0"/>
          <c:showCatName val="0"/>
          <c:showSerName val="0"/>
          <c:showPercent val="0"/>
          <c:showBubbleSize val="0"/>
        </c:dLbls>
        <c:smooth val="0"/>
        <c:axId val="281258944"/>
        <c:axId val="281259336"/>
      </c:lineChart>
      <c:catAx>
        <c:axId val="28125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59336"/>
        <c:crosses val="autoZero"/>
        <c:auto val="1"/>
        <c:lblAlgn val="ctr"/>
        <c:lblOffset val="100"/>
        <c:noMultiLvlLbl val="0"/>
      </c:catAx>
      <c:valAx>
        <c:axId val="28125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25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School</a:t>
            </a:r>
            <a:r>
              <a:rPr lang="en-US" sz="1000" baseline="0"/>
              <a:t> Proficiency Index Among Different Racial and Ethnic Groups in Burlington, VT</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 12'!$M$3</c:f>
              <c:strCache>
                <c:ptCount val="1"/>
                <c:pt idx="0">
                  <c:v>General Population</c:v>
                </c:pt>
              </c:strCache>
            </c:strRef>
          </c:tx>
          <c:spPr>
            <a:solidFill>
              <a:schemeClr val="accent1"/>
            </a:solidFill>
            <a:ln>
              <a:noFill/>
            </a:ln>
            <a:effectLst/>
          </c:spPr>
          <c:invertIfNegative val="0"/>
          <c:cat>
            <c:strRef>
              <c:f>'Table 12'!$L$5:$L$9</c:f>
              <c:strCache>
                <c:ptCount val="5"/>
                <c:pt idx="0">
                  <c:v>White, Non-Hispanic</c:v>
                </c:pt>
                <c:pt idx="1">
                  <c:v>Black, Non-Hispanic </c:v>
                </c:pt>
                <c:pt idx="2">
                  <c:v>Hispanic</c:v>
                </c:pt>
                <c:pt idx="3">
                  <c:v>Asian or Pacific Islander, Non-Hispanic</c:v>
                </c:pt>
                <c:pt idx="4">
                  <c:v>Native American, Non-Hispanic</c:v>
                </c:pt>
              </c:strCache>
            </c:strRef>
          </c:cat>
          <c:val>
            <c:numRef>
              <c:f>'Table 12'!$M$5:$M$9</c:f>
              <c:numCache>
                <c:formatCode>0.00</c:formatCode>
                <c:ptCount val="5"/>
                <c:pt idx="0">
                  <c:v>41.88</c:v>
                </c:pt>
                <c:pt idx="1">
                  <c:v>35.06</c:v>
                </c:pt>
                <c:pt idx="2">
                  <c:v>43.38</c:v>
                </c:pt>
                <c:pt idx="3">
                  <c:v>33.99</c:v>
                </c:pt>
                <c:pt idx="4">
                  <c:v>40.86</c:v>
                </c:pt>
              </c:numCache>
            </c:numRef>
          </c:val>
          <c:extLst xmlns:c16r2="http://schemas.microsoft.com/office/drawing/2015/06/chart">
            <c:ext xmlns:c16="http://schemas.microsoft.com/office/drawing/2014/chart" uri="{C3380CC4-5D6E-409C-BE32-E72D297353CC}">
              <c16:uniqueId val="{00000000-B634-4314-872D-51351C0E8966}"/>
            </c:ext>
          </c:extLst>
        </c:ser>
        <c:ser>
          <c:idx val="1"/>
          <c:order val="1"/>
          <c:tx>
            <c:strRef>
              <c:f>'Table 12'!$N$3</c:f>
              <c:strCache>
                <c:ptCount val="1"/>
                <c:pt idx="0">
                  <c:v>Below Poverty Line</c:v>
                </c:pt>
              </c:strCache>
            </c:strRef>
          </c:tx>
          <c:spPr>
            <a:solidFill>
              <a:schemeClr val="accent2"/>
            </a:solidFill>
            <a:ln>
              <a:noFill/>
            </a:ln>
            <a:effectLst/>
          </c:spPr>
          <c:invertIfNegative val="0"/>
          <c:cat>
            <c:strRef>
              <c:f>'Table 12'!$L$5:$L$9</c:f>
              <c:strCache>
                <c:ptCount val="5"/>
                <c:pt idx="0">
                  <c:v>White, Non-Hispanic</c:v>
                </c:pt>
                <c:pt idx="1">
                  <c:v>Black, Non-Hispanic </c:v>
                </c:pt>
                <c:pt idx="2">
                  <c:v>Hispanic</c:v>
                </c:pt>
                <c:pt idx="3">
                  <c:v>Asian or Pacific Islander, Non-Hispanic</c:v>
                </c:pt>
                <c:pt idx="4">
                  <c:v>Native American, Non-Hispanic</c:v>
                </c:pt>
              </c:strCache>
            </c:strRef>
          </c:cat>
          <c:val>
            <c:numRef>
              <c:f>'Table 12'!$N$5:$N$9</c:f>
              <c:numCache>
                <c:formatCode>0.00</c:formatCode>
                <c:ptCount val="5"/>
                <c:pt idx="0">
                  <c:v>42.38</c:v>
                </c:pt>
                <c:pt idx="1">
                  <c:v>49.3</c:v>
                </c:pt>
                <c:pt idx="2">
                  <c:v>52.91</c:v>
                </c:pt>
                <c:pt idx="3">
                  <c:v>35.83</c:v>
                </c:pt>
                <c:pt idx="4">
                  <c:v>22.34</c:v>
                </c:pt>
              </c:numCache>
            </c:numRef>
          </c:val>
          <c:extLst xmlns:c16r2="http://schemas.microsoft.com/office/drawing/2015/06/chart">
            <c:ext xmlns:c16="http://schemas.microsoft.com/office/drawing/2014/chart" uri="{C3380CC4-5D6E-409C-BE32-E72D297353CC}">
              <c16:uniqueId val="{00000001-B634-4314-872D-51351C0E8966}"/>
            </c:ext>
          </c:extLst>
        </c:ser>
        <c:dLbls>
          <c:showLegendKey val="0"/>
          <c:showVal val="0"/>
          <c:showCatName val="0"/>
          <c:showSerName val="0"/>
          <c:showPercent val="0"/>
          <c:showBubbleSize val="0"/>
        </c:dLbls>
        <c:gapWidth val="219"/>
        <c:overlap val="-27"/>
        <c:axId val="281392888"/>
        <c:axId val="281393280"/>
      </c:barChart>
      <c:catAx>
        <c:axId val="28139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393280"/>
        <c:crosses val="autoZero"/>
        <c:auto val="1"/>
        <c:lblAlgn val="ctr"/>
        <c:lblOffset val="100"/>
        <c:noMultiLvlLbl val="0"/>
      </c:catAx>
      <c:valAx>
        <c:axId val="281393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392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School</a:t>
            </a:r>
            <a:r>
              <a:rPr lang="en-US" sz="1000" baseline="0"/>
              <a:t> Proficiency Index Among Different Racial and Ethnic Groups in the Burlington-South Burlington Region</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'Table 12'!$M$3</c:f>
              <c:strCache>
                <c:ptCount val="1"/>
                <c:pt idx="0">
                  <c:v>General Population</c:v>
                </c:pt>
              </c:strCache>
            </c:strRef>
          </c:tx>
          <c:spPr>
            <a:solidFill>
              <a:schemeClr val="accent1"/>
            </a:solidFill>
            <a:ln>
              <a:noFill/>
            </a:ln>
            <a:effectLst/>
          </c:spPr>
          <c:invertIfNegative val="0"/>
          <c:cat>
            <c:strRef>
              <c:f>'Table 12'!$L$5:$L$9</c:f>
              <c:strCache>
                <c:ptCount val="5"/>
                <c:pt idx="0">
                  <c:v>White, Non-Hispanic</c:v>
                </c:pt>
                <c:pt idx="1">
                  <c:v>Black, Non-Hispanic </c:v>
                </c:pt>
                <c:pt idx="2">
                  <c:v>Hispanic</c:v>
                </c:pt>
                <c:pt idx="3">
                  <c:v>Asian or Pacific Islander, Non-Hispanic</c:v>
                </c:pt>
                <c:pt idx="4">
                  <c:v>Native American, Non-Hispanic</c:v>
                </c:pt>
              </c:strCache>
            </c:strRef>
          </c:cat>
          <c:val>
            <c:numRef>
              <c:f>'Table 12'!$M$5:$M$9</c:f>
              <c:numCache>
                <c:formatCode>0.00</c:formatCode>
                <c:ptCount val="5"/>
                <c:pt idx="0">
                  <c:v>41.88</c:v>
                </c:pt>
                <c:pt idx="1">
                  <c:v>35.06</c:v>
                </c:pt>
                <c:pt idx="2">
                  <c:v>43.38</c:v>
                </c:pt>
                <c:pt idx="3">
                  <c:v>33.99</c:v>
                </c:pt>
                <c:pt idx="4">
                  <c:v>40.86</c:v>
                </c:pt>
              </c:numCache>
            </c:numRef>
          </c:val>
          <c:extLst xmlns:c16r2="http://schemas.microsoft.com/office/drawing/2015/06/chart">
            <c:ext xmlns:c16="http://schemas.microsoft.com/office/drawing/2014/chart" uri="{C3380CC4-5D6E-409C-BE32-E72D297353CC}">
              <c16:uniqueId val="{00000000-1FD4-4723-B82C-019176094107}"/>
            </c:ext>
          </c:extLst>
        </c:ser>
        <c:ser>
          <c:idx val="1"/>
          <c:order val="1"/>
          <c:tx>
            <c:strRef>
              <c:f>'Table 12'!$N$3</c:f>
              <c:strCache>
                <c:ptCount val="1"/>
                <c:pt idx="0">
                  <c:v>Below Poverty Line</c:v>
                </c:pt>
              </c:strCache>
            </c:strRef>
          </c:tx>
          <c:spPr>
            <a:solidFill>
              <a:schemeClr val="accent2"/>
            </a:solidFill>
            <a:ln>
              <a:noFill/>
            </a:ln>
            <a:effectLst/>
          </c:spPr>
          <c:invertIfNegative val="0"/>
          <c:cat>
            <c:strRef>
              <c:f>'Table 12'!$L$5:$L$9</c:f>
              <c:strCache>
                <c:ptCount val="5"/>
                <c:pt idx="0">
                  <c:v>White, Non-Hispanic</c:v>
                </c:pt>
                <c:pt idx="1">
                  <c:v>Black, Non-Hispanic </c:v>
                </c:pt>
                <c:pt idx="2">
                  <c:v>Hispanic</c:v>
                </c:pt>
                <c:pt idx="3">
                  <c:v>Asian or Pacific Islander, Non-Hispanic</c:v>
                </c:pt>
                <c:pt idx="4">
                  <c:v>Native American, Non-Hispanic</c:v>
                </c:pt>
              </c:strCache>
            </c:strRef>
          </c:cat>
          <c:val>
            <c:numRef>
              <c:f>'Table 12'!$N$5:$N$9</c:f>
              <c:numCache>
                <c:formatCode>0.00</c:formatCode>
                <c:ptCount val="5"/>
                <c:pt idx="0">
                  <c:v>42.38</c:v>
                </c:pt>
                <c:pt idx="1">
                  <c:v>49.3</c:v>
                </c:pt>
                <c:pt idx="2">
                  <c:v>52.91</c:v>
                </c:pt>
                <c:pt idx="3">
                  <c:v>35.83</c:v>
                </c:pt>
                <c:pt idx="4">
                  <c:v>22.34</c:v>
                </c:pt>
              </c:numCache>
            </c:numRef>
          </c:val>
          <c:extLst xmlns:c16r2="http://schemas.microsoft.com/office/drawing/2015/06/chart">
            <c:ext xmlns:c16="http://schemas.microsoft.com/office/drawing/2014/chart" uri="{C3380CC4-5D6E-409C-BE32-E72D297353CC}">
              <c16:uniqueId val="{00000001-1FD4-4723-B82C-019176094107}"/>
            </c:ext>
          </c:extLst>
        </c:ser>
        <c:dLbls>
          <c:showLegendKey val="0"/>
          <c:showVal val="0"/>
          <c:showCatName val="0"/>
          <c:showSerName val="0"/>
          <c:showPercent val="0"/>
          <c:showBubbleSize val="0"/>
        </c:dLbls>
        <c:gapWidth val="219"/>
        <c:overlap val="-27"/>
        <c:axId val="281394848"/>
        <c:axId val="281395240"/>
      </c:barChart>
      <c:catAx>
        <c:axId val="2813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395240"/>
        <c:crosses val="autoZero"/>
        <c:auto val="1"/>
        <c:lblAlgn val="ctr"/>
        <c:lblOffset val="100"/>
        <c:noMultiLvlLbl val="0"/>
      </c:catAx>
      <c:valAx>
        <c:axId val="281395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394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Labor Market Engagement Index</a:t>
            </a:r>
            <a:r>
              <a:rPr lang="en-US" sz="1000" baseline="0"/>
              <a:t> Among Racial/Ethnic Groups in Burlington, VT</a:t>
            </a:r>
            <a:endParaRPr lang="en-US" sz="1000"/>
          </a:p>
        </c:rich>
      </c:tx>
      <c:layout>
        <c:manualLayout>
          <c:xMode val="edge"/>
          <c:yMode val="edge"/>
          <c:x val="0.13246168685028401"/>
          <c:y val="3.240740740740739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76.180000309999755</c:v>
                </c:pt>
                <c:pt idx="1">
                  <c:v>69.980003359999998</c:v>
                </c:pt>
                <c:pt idx="2">
                  <c:v>76.150001529999756</c:v>
                </c:pt>
                <c:pt idx="3">
                  <c:v>72.13999939</c:v>
                </c:pt>
                <c:pt idx="4">
                  <c:v>70.730003359999998</c:v>
                </c:pt>
              </c:numCache>
            </c:numRef>
          </c:val>
          <c:extLst xmlns:c16r2="http://schemas.microsoft.com/office/drawing/2015/06/chart">
            <c:ext xmlns:c16="http://schemas.microsoft.com/office/drawing/2014/chart" uri="{C3380CC4-5D6E-409C-BE32-E72D297353CC}">
              <c16:uniqueId val="{00000000-E231-4C77-B0B1-CE89557C9D3E}"/>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74.36000061</c:v>
                </c:pt>
                <c:pt idx="1">
                  <c:v>85.449996949999999</c:v>
                </c:pt>
                <c:pt idx="2">
                  <c:v>72.300003050000001</c:v>
                </c:pt>
                <c:pt idx="3">
                  <c:v>68.5</c:v>
                </c:pt>
                <c:pt idx="4">
                  <c:v>64.669998169999786</c:v>
                </c:pt>
              </c:numCache>
            </c:numRef>
          </c:val>
          <c:extLst xmlns:c16r2="http://schemas.microsoft.com/office/drawing/2015/06/chart">
            <c:ext xmlns:c16="http://schemas.microsoft.com/office/drawing/2014/chart" uri="{C3380CC4-5D6E-409C-BE32-E72D297353CC}">
              <c16:uniqueId val="{00000001-E231-4C77-B0B1-CE89557C9D3E}"/>
            </c:ext>
          </c:extLst>
        </c:ser>
        <c:dLbls>
          <c:showLegendKey val="0"/>
          <c:showVal val="0"/>
          <c:showCatName val="0"/>
          <c:showSerName val="0"/>
          <c:showPercent val="0"/>
          <c:showBubbleSize val="0"/>
        </c:dLbls>
        <c:gapWidth val="219"/>
        <c:overlap val="-27"/>
        <c:axId val="281534392"/>
        <c:axId val="281534784"/>
      </c:barChart>
      <c:catAx>
        <c:axId val="28153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534784"/>
        <c:crosses val="autoZero"/>
        <c:auto val="1"/>
        <c:lblAlgn val="ctr"/>
        <c:lblOffset val="100"/>
        <c:noMultiLvlLbl val="0"/>
      </c:catAx>
      <c:valAx>
        <c:axId val="281534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534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Jobs</a:t>
            </a:r>
            <a:r>
              <a:rPr lang="en-US" sz="1000" baseline="0"/>
              <a:t> Proximity Index Among Racial/Ethnic Groups in Burlington, VT</a:t>
            </a:r>
            <a:endParaRPr lang="en-US" sz="1000"/>
          </a:p>
        </c:rich>
      </c:tx>
      <c:layout>
        <c:manualLayout>
          <c:xMode val="edge"/>
          <c:yMode val="edge"/>
          <c:x val="0.18646153846153801"/>
          <c:y val="4.027746699485339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59.450000759999973</c:v>
                </c:pt>
                <c:pt idx="1">
                  <c:v>55.130001069999999</c:v>
                </c:pt>
                <c:pt idx="2">
                  <c:v>63.150001529999997</c:v>
                </c:pt>
                <c:pt idx="3">
                  <c:v>52.759998320000001</c:v>
                </c:pt>
                <c:pt idx="4">
                  <c:v>62.38000106999985</c:v>
                </c:pt>
              </c:numCache>
            </c:numRef>
          </c:val>
          <c:extLst xmlns:c16r2="http://schemas.microsoft.com/office/drawing/2015/06/chart">
            <c:ext xmlns:c16="http://schemas.microsoft.com/office/drawing/2014/chart" uri="{C3380CC4-5D6E-409C-BE32-E72D297353CC}">
              <c16:uniqueId val="{00000000-98B2-4D4F-AEA5-99C71ECB7252}"/>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59.549999239999998</c:v>
                </c:pt>
                <c:pt idx="1">
                  <c:v>71.050003050000001</c:v>
                </c:pt>
                <c:pt idx="2">
                  <c:v>52.400001529999997</c:v>
                </c:pt>
                <c:pt idx="3">
                  <c:v>47.979999540000001</c:v>
                </c:pt>
                <c:pt idx="4">
                  <c:v>65.75</c:v>
                </c:pt>
              </c:numCache>
            </c:numRef>
          </c:val>
          <c:extLst xmlns:c16r2="http://schemas.microsoft.com/office/drawing/2015/06/chart">
            <c:ext xmlns:c16="http://schemas.microsoft.com/office/drawing/2014/chart" uri="{C3380CC4-5D6E-409C-BE32-E72D297353CC}">
              <c16:uniqueId val="{00000001-98B2-4D4F-AEA5-99C71ECB7252}"/>
            </c:ext>
          </c:extLst>
        </c:ser>
        <c:dLbls>
          <c:showLegendKey val="0"/>
          <c:showVal val="0"/>
          <c:showCatName val="0"/>
          <c:showSerName val="0"/>
          <c:showPercent val="0"/>
          <c:showBubbleSize val="0"/>
        </c:dLbls>
        <c:gapWidth val="219"/>
        <c:overlap val="-27"/>
        <c:axId val="281536352"/>
        <c:axId val="281536744"/>
      </c:barChart>
      <c:catAx>
        <c:axId val="2815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536744"/>
        <c:crosses val="autoZero"/>
        <c:auto val="1"/>
        <c:lblAlgn val="ctr"/>
        <c:lblOffset val="100"/>
        <c:noMultiLvlLbl val="0"/>
      </c:catAx>
      <c:valAx>
        <c:axId val="2815367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536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Labor Market Engagement Index Among Racial/Ethnic Groups in the Burlington-South Burlington Region</a:t>
            </a:r>
            <a:endParaRPr lang="en-US"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79.019996640000002</c:v>
                </c:pt>
                <c:pt idx="1">
                  <c:v>76.27999878</c:v>
                </c:pt>
                <c:pt idx="2">
                  <c:v>79.809997559999786</c:v>
                </c:pt>
                <c:pt idx="3">
                  <c:v>81.400001529999983</c:v>
                </c:pt>
                <c:pt idx="4">
                  <c:v>67.010002139999756</c:v>
                </c:pt>
              </c:numCache>
            </c:numRef>
          </c:val>
          <c:extLst xmlns:c16r2="http://schemas.microsoft.com/office/drawing/2015/06/chart">
            <c:ext xmlns:c16="http://schemas.microsoft.com/office/drawing/2014/chart" uri="{C3380CC4-5D6E-409C-BE32-E72D297353CC}">
              <c16:uniqueId val="{00000000-7CF2-41CA-86E0-BC63B0AA948B}"/>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73.019996640000002</c:v>
                </c:pt>
                <c:pt idx="1">
                  <c:v>82.989997860000003</c:v>
                </c:pt>
                <c:pt idx="2">
                  <c:v>80.769996640000002</c:v>
                </c:pt>
                <c:pt idx="3">
                  <c:v>74.13999939</c:v>
                </c:pt>
                <c:pt idx="4">
                  <c:v>62.959999080000003</c:v>
                </c:pt>
              </c:numCache>
            </c:numRef>
          </c:val>
          <c:extLst xmlns:c16r2="http://schemas.microsoft.com/office/drawing/2015/06/chart">
            <c:ext xmlns:c16="http://schemas.microsoft.com/office/drawing/2014/chart" uri="{C3380CC4-5D6E-409C-BE32-E72D297353CC}">
              <c16:uniqueId val="{00000001-7CF2-41CA-86E0-BC63B0AA948B}"/>
            </c:ext>
          </c:extLst>
        </c:ser>
        <c:dLbls>
          <c:showLegendKey val="0"/>
          <c:showVal val="0"/>
          <c:showCatName val="0"/>
          <c:showSerName val="0"/>
          <c:showPercent val="0"/>
          <c:showBubbleSize val="0"/>
        </c:dLbls>
        <c:gapWidth val="219"/>
        <c:overlap val="-27"/>
        <c:axId val="281676704"/>
        <c:axId val="281677096"/>
      </c:barChart>
      <c:catAx>
        <c:axId val="28167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677096"/>
        <c:crosses val="autoZero"/>
        <c:auto val="1"/>
        <c:lblAlgn val="ctr"/>
        <c:lblOffset val="100"/>
        <c:noMultiLvlLbl val="0"/>
      </c:catAx>
      <c:valAx>
        <c:axId val="281677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676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sng" strike="noStrike" kern="1200" spc="0" baseline="0">
                <a:solidFill>
                  <a:schemeClr val="tx1">
                    <a:lumMod val="65000"/>
                    <a:lumOff val="35000"/>
                  </a:schemeClr>
                </a:solidFill>
                <a:latin typeface="+mn-lt"/>
                <a:ea typeface="+mn-ea"/>
                <a:cs typeface="+mn-cs"/>
              </a:defRPr>
            </a:pPr>
            <a:r>
              <a:rPr lang="en-US" sz="1200" b="0" u="sng"/>
              <a:t>Gender</a:t>
            </a:r>
            <a:r>
              <a:rPr lang="en-US" sz="1200" b="1" u="sng" baseline="0"/>
              <a:t> </a:t>
            </a:r>
            <a:r>
              <a:rPr lang="en-US" sz="1200" b="0" u="sng" baseline="0"/>
              <a:t>Demographic Trends in Burlington, VT</a:t>
            </a:r>
            <a:endParaRPr lang="en-US" sz="1200" b="0" u="sng"/>
          </a:p>
        </c:rich>
      </c:tx>
      <c:layout/>
      <c:overlay val="0"/>
      <c:spPr>
        <a:noFill/>
        <a:ln>
          <a:noFill/>
        </a:ln>
        <a:effectLst/>
      </c:spPr>
      <c:txPr>
        <a:bodyPr rot="0" spcFirstLastPara="1" vertOverflow="ellipsis" vert="horz" wrap="square" anchor="ctr" anchorCtr="1"/>
        <a:lstStyle/>
        <a:p>
          <a:pPr>
            <a:defRPr sz="12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0145449086971E-2"/>
          <c:y val="0.15333624440511001"/>
          <c:w val="0.93185549228480202"/>
          <c:h val="0.62260798570563403"/>
        </c:manualLayout>
      </c:layout>
      <c:lineChart>
        <c:grouping val="standard"/>
        <c:varyColors val="0"/>
        <c:ser>
          <c:idx val="0"/>
          <c:order val="0"/>
          <c:tx>
            <c:strRef>
              <c:f>'U:\CEDO\[AFFH Table 2 - Demographic Trends and Charts for Presentation.xlsx]Table 2'!$B$42</c:f>
              <c:strCache>
                <c:ptCount val="1"/>
                <c:pt idx="0">
                  <c:v>Male</c:v>
                </c:pt>
              </c:strCache>
            </c:strRef>
          </c:tx>
          <c:spPr>
            <a:ln w="28575" cap="rnd">
              <a:solidFill>
                <a:schemeClr val="accent1"/>
              </a:solidFill>
              <a:round/>
            </a:ln>
            <a:effectLst/>
          </c:spPr>
          <c:marker>
            <c:symbol val="none"/>
          </c:marker>
          <c:dLbls>
            <c:dLbl>
              <c:idx val="0"/>
              <c:layout>
                <c:manualLayout>
                  <c:x val="-1.6463984062580601E-2"/>
                  <c:y val="-4.24072300104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08-422D-8B05-77B8711108A2}"/>
                </c:ext>
                <c:ext xmlns:c15="http://schemas.microsoft.com/office/drawing/2012/chart" uri="{CE6537A1-D6FC-4f65-9D91-7224C49458BB}">
                  <c15:layout/>
                </c:ext>
              </c:extLst>
            </c:dLbl>
            <c:dLbl>
              <c:idx val="1"/>
              <c:layout>
                <c:manualLayout>
                  <c:x val="-1.0477080767096801E-2"/>
                  <c:y val="3.2429058243256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808-422D-8B05-77B8711108A2}"/>
                </c:ext>
                <c:ext xmlns:c15="http://schemas.microsoft.com/office/drawing/2012/chart" uri="{CE6537A1-D6FC-4f65-9D91-7224C49458BB}">
                  <c15:layout/>
                </c:ext>
              </c:extLst>
            </c:dLbl>
            <c:dLbl>
              <c:idx val="2"/>
              <c:layout>
                <c:manualLayout>
                  <c:x val="-1.4380258418905301E-3"/>
                  <c:y val="4.9577448451164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08-422D-8B05-77B8711108A2}"/>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'[4]Table 2'!$C$28:$F$28</c:f>
              <c:strCache>
                <c:ptCount val="4"/>
                <c:pt idx="0">
                  <c:v>1990</c:v>
                </c:pt>
                <c:pt idx="1">
                  <c:v>2000</c:v>
                </c:pt>
                <c:pt idx="2">
                  <c:v>2010</c:v>
                </c:pt>
                <c:pt idx="3">
                  <c:v>2015 ACS</c:v>
                </c:pt>
              </c:strCache>
            </c:strRef>
          </c:cat>
          <c:val>
            <c:numRef>
              <c:f>'[4]Table 2'!$C$42:$F$42</c:f>
              <c:numCache>
                <c:formatCode>General</c:formatCode>
                <c:ptCount val="4"/>
                <c:pt idx="0">
                  <c:v>0.4642</c:v>
                </c:pt>
                <c:pt idx="1">
                  <c:v>0.48080000000000001</c:v>
                </c:pt>
                <c:pt idx="2">
                  <c:v>0.48609999999999998</c:v>
                </c:pt>
                <c:pt idx="3">
                  <c:v>0.48799999999999999</c:v>
                </c:pt>
              </c:numCache>
            </c:numRef>
          </c:val>
          <c:smooth val="0"/>
          <c:extLst xmlns:c16r2="http://schemas.microsoft.com/office/drawing/2015/06/chart">
            <c:ext xmlns:c16="http://schemas.microsoft.com/office/drawing/2014/chart" uri="{C3380CC4-5D6E-409C-BE32-E72D297353CC}">
              <c16:uniqueId val="{00000003-1808-422D-8B05-77B8711108A2}"/>
            </c:ext>
          </c:extLst>
        </c:ser>
        <c:ser>
          <c:idx val="1"/>
          <c:order val="1"/>
          <c:tx>
            <c:strRef>
              <c:f>'U:\CEDO\[AFFH Table 2 - Demographic Trends and Charts for Presentation.xlsx]Table 2'!$B$43</c:f>
              <c:strCache>
                <c:ptCount val="1"/>
                <c:pt idx="0">
                  <c:v>Female</c:v>
                </c:pt>
              </c:strCache>
            </c:strRef>
          </c:tx>
          <c:spPr>
            <a:ln w="28575" cap="rnd">
              <a:solidFill>
                <a:schemeClr val="accent2"/>
              </a:solidFill>
              <a:round/>
            </a:ln>
            <a:effectLst/>
          </c:spPr>
          <c:marker>
            <c:symbol val="none"/>
          </c:marker>
          <c:dLbls>
            <c:dLbl>
              <c:idx val="0"/>
              <c:layout>
                <c:manualLayout>
                  <c:x val="-1.7960709886451601E-2"/>
                  <c:y val="4.49017729522011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808-422D-8B05-77B8711108A2}"/>
                </c:ext>
                <c:ext xmlns:c15="http://schemas.microsoft.com/office/drawing/2012/chart" uri="{CE6537A1-D6FC-4f65-9D91-7224C49458BB}">
                  <c15:layout/>
                </c:ext>
              </c:extLst>
            </c:dLbl>
            <c:dLbl>
              <c:idx val="1"/>
              <c:layout>
                <c:manualLayout>
                  <c:x val="-2.3947613181935501E-2"/>
                  <c:y val="-6.23635735447239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08-422D-8B05-77B8711108A2}"/>
                </c:ext>
                <c:ext xmlns:c15="http://schemas.microsoft.com/office/drawing/2012/chart" uri="{CE6537A1-D6FC-4f65-9D91-7224C49458BB}">
                  <c15:layout/>
                </c:ext>
              </c:extLst>
            </c:dLbl>
            <c:dLbl>
              <c:idx val="2"/>
              <c:layout>
                <c:manualLayout>
                  <c:x val="0"/>
                  <c:y val="-2.83299705435227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808-422D-8B05-77B8711108A2}"/>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'[4]Table 2'!$C$28:$F$28</c:f>
              <c:strCache>
                <c:ptCount val="4"/>
                <c:pt idx="0">
                  <c:v>1990</c:v>
                </c:pt>
                <c:pt idx="1">
                  <c:v>2000</c:v>
                </c:pt>
                <c:pt idx="2">
                  <c:v>2010</c:v>
                </c:pt>
                <c:pt idx="3">
                  <c:v>2015 ACS</c:v>
                </c:pt>
              </c:strCache>
            </c:strRef>
          </c:cat>
          <c:val>
            <c:numRef>
              <c:f>'[4]Table 2'!$C$43:$F$43</c:f>
              <c:numCache>
                <c:formatCode>General</c:formatCode>
                <c:ptCount val="4"/>
                <c:pt idx="0">
                  <c:v>0.53580000000000005</c:v>
                </c:pt>
                <c:pt idx="1">
                  <c:v>0.51919999999999999</c:v>
                </c:pt>
                <c:pt idx="2">
                  <c:v>0.51390000000000002</c:v>
                </c:pt>
                <c:pt idx="3">
                  <c:v>0.51200000000000001</c:v>
                </c:pt>
              </c:numCache>
            </c:numRef>
          </c:val>
          <c:smooth val="0"/>
          <c:extLst xmlns:c16r2="http://schemas.microsoft.com/office/drawing/2015/06/chart">
            <c:ext xmlns:c16="http://schemas.microsoft.com/office/drawing/2014/chart" uri="{C3380CC4-5D6E-409C-BE32-E72D297353CC}">
              <c16:uniqueId val="{00000007-1808-422D-8B05-77B8711108A2}"/>
            </c:ext>
          </c:extLst>
        </c:ser>
        <c:dLbls>
          <c:showLegendKey val="0"/>
          <c:showVal val="0"/>
          <c:showCatName val="0"/>
          <c:showSerName val="0"/>
          <c:showPercent val="0"/>
          <c:showBubbleSize val="0"/>
        </c:dLbls>
        <c:smooth val="0"/>
        <c:axId val="191661328"/>
        <c:axId val="191661720"/>
      </c:lineChart>
      <c:catAx>
        <c:axId val="19166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91661720"/>
        <c:crosses val="autoZero"/>
        <c:auto val="1"/>
        <c:lblAlgn val="ctr"/>
        <c:lblOffset val="100"/>
        <c:noMultiLvlLbl val="0"/>
      </c:catAx>
      <c:valAx>
        <c:axId val="191661720"/>
        <c:scaling>
          <c:orientation val="minMax"/>
          <c:min val="0.4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91661328"/>
        <c:crosses val="autoZero"/>
        <c:crossBetween val="between"/>
      </c:valAx>
      <c:spPr>
        <a:noFill/>
        <a:ln>
          <a:noFill/>
        </a:ln>
        <a:effectLst/>
      </c:spPr>
    </c:plotArea>
    <c:legend>
      <c:legendPos val="b"/>
      <c:layout>
        <c:manualLayout>
          <c:xMode val="edge"/>
          <c:yMode val="edge"/>
          <c:x val="0.35397806043475299"/>
          <c:y val="0.92739174535454005"/>
          <c:w val="0.30913772797631101"/>
          <c:h val="7.26080972409508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Jobs Proximity Index Among Racial/Ethnic Groups in the Burlington-South Burlington Region </a:t>
            </a:r>
            <a:endParaRPr lang="en-US" sz="1000"/>
          </a:p>
        </c:rich>
      </c:tx>
      <c:layout>
        <c:manualLayout>
          <c:xMode val="edge"/>
          <c:yMode val="edge"/>
          <c:x val="0.121465058145854"/>
          <c:y val="3.7119309175563699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59.450000759999973</c:v>
                </c:pt>
                <c:pt idx="1">
                  <c:v>55.130001069999999</c:v>
                </c:pt>
                <c:pt idx="2">
                  <c:v>63.150001529999997</c:v>
                </c:pt>
                <c:pt idx="3">
                  <c:v>52.759998320000001</c:v>
                </c:pt>
                <c:pt idx="4">
                  <c:v>62.38000106999985</c:v>
                </c:pt>
              </c:numCache>
            </c:numRef>
          </c:val>
          <c:extLst xmlns:c16r2="http://schemas.microsoft.com/office/drawing/2015/06/chart">
            <c:ext xmlns:c16="http://schemas.microsoft.com/office/drawing/2014/chart" uri="{C3380CC4-5D6E-409C-BE32-E72D297353CC}">
              <c16:uniqueId val="{00000000-E93E-4CB7-B4D6-8C51DF994949}"/>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51.490001679999999</c:v>
                </c:pt>
                <c:pt idx="1">
                  <c:v>55.83000183</c:v>
                </c:pt>
                <c:pt idx="2">
                  <c:v>43.83000183</c:v>
                </c:pt>
                <c:pt idx="3">
                  <c:v>53.58000183</c:v>
                </c:pt>
                <c:pt idx="4">
                  <c:v>44.13999939</c:v>
                </c:pt>
              </c:numCache>
            </c:numRef>
          </c:val>
          <c:extLst xmlns:c16r2="http://schemas.microsoft.com/office/drawing/2015/06/chart">
            <c:ext xmlns:c16="http://schemas.microsoft.com/office/drawing/2014/chart" uri="{C3380CC4-5D6E-409C-BE32-E72D297353CC}">
              <c16:uniqueId val="{00000001-E93E-4CB7-B4D6-8C51DF994949}"/>
            </c:ext>
          </c:extLst>
        </c:ser>
        <c:dLbls>
          <c:showLegendKey val="0"/>
          <c:showVal val="0"/>
          <c:showCatName val="0"/>
          <c:showSerName val="0"/>
          <c:showPercent val="0"/>
          <c:showBubbleSize val="0"/>
        </c:dLbls>
        <c:gapWidth val="219"/>
        <c:overlap val="-27"/>
        <c:axId val="281678664"/>
        <c:axId val="281679056"/>
      </c:barChart>
      <c:catAx>
        <c:axId val="28167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679056"/>
        <c:crosses val="autoZero"/>
        <c:auto val="1"/>
        <c:lblAlgn val="ctr"/>
        <c:lblOffset val="100"/>
        <c:noMultiLvlLbl val="0"/>
      </c:catAx>
      <c:valAx>
        <c:axId val="281679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678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Transit Trips Index Among Racial/Ethnic Groups in Burlington, VT</a:t>
            </a:r>
            <a:endParaRPr lang="en-US" sz="1000"/>
          </a:p>
        </c:rich>
      </c:tx>
      <c:layout>
        <c:manualLayout>
          <c:xMode val="edge"/>
          <c:yMode val="edge"/>
          <c:x val="0.21366761391240899"/>
          <c:y val="3.7036945678277103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65.440002440000001</c:v>
                </c:pt>
                <c:pt idx="1">
                  <c:v>65.959999080000003</c:v>
                </c:pt>
                <c:pt idx="2">
                  <c:v>65.669998169999786</c:v>
                </c:pt>
                <c:pt idx="3">
                  <c:v>65.589996339999786</c:v>
                </c:pt>
                <c:pt idx="4">
                  <c:v>68.680000309999755</c:v>
                </c:pt>
              </c:numCache>
            </c:numRef>
          </c:val>
          <c:extLst xmlns:c16r2="http://schemas.microsoft.com/office/drawing/2015/06/chart">
            <c:ext xmlns:c16="http://schemas.microsoft.com/office/drawing/2014/chart" uri="{C3380CC4-5D6E-409C-BE32-E72D297353CC}">
              <c16:uniqueId val="{00000000-694B-4AC1-A49D-0DC72B15B537}"/>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71.690002440000001</c:v>
                </c:pt>
                <c:pt idx="1">
                  <c:v>65.77999878</c:v>
                </c:pt>
                <c:pt idx="2">
                  <c:v>66.300003050000001</c:v>
                </c:pt>
                <c:pt idx="3">
                  <c:v>68.819999690000003</c:v>
                </c:pt>
                <c:pt idx="4">
                  <c:v>76.330001829999787</c:v>
                </c:pt>
              </c:numCache>
            </c:numRef>
          </c:val>
          <c:extLst xmlns:c16r2="http://schemas.microsoft.com/office/drawing/2015/06/chart">
            <c:ext xmlns:c16="http://schemas.microsoft.com/office/drawing/2014/chart" uri="{C3380CC4-5D6E-409C-BE32-E72D297353CC}">
              <c16:uniqueId val="{00000001-694B-4AC1-A49D-0DC72B15B537}"/>
            </c:ext>
          </c:extLst>
        </c:ser>
        <c:dLbls>
          <c:showLegendKey val="0"/>
          <c:showVal val="0"/>
          <c:showCatName val="0"/>
          <c:showSerName val="0"/>
          <c:showPercent val="0"/>
          <c:showBubbleSize val="0"/>
        </c:dLbls>
        <c:gapWidth val="219"/>
        <c:overlap val="-27"/>
        <c:axId val="281795864"/>
        <c:axId val="281796256"/>
      </c:barChart>
      <c:catAx>
        <c:axId val="28179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796256"/>
        <c:crosses val="autoZero"/>
        <c:auto val="1"/>
        <c:lblAlgn val="ctr"/>
        <c:lblOffset val="100"/>
        <c:noMultiLvlLbl val="0"/>
      </c:catAx>
      <c:valAx>
        <c:axId val="281796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79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Low Transportation Cost Index Among Racial/Ethnic Groups in Burlington, VT</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80.309997559999786</c:v>
                </c:pt>
                <c:pt idx="1">
                  <c:v>81.180000309999755</c:v>
                </c:pt>
                <c:pt idx="2">
                  <c:v>81.22000122</c:v>
                </c:pt>
                <c:pt idx="3">
                  <c:v>80.260002139999756</c:v>
                </c:pt>
                <c:pt idx="4">
                  <c:v>84.069999690000003</c:v>
                </c:pt>
              </c:numCache>
            </c:numRef>
          </c:val>
          <c:extLst xmlns:c16r2="http://schemas.microsoft.com/office/drawing/2015/06/chart">
            <c:ext xmlns:c16="http://schemas.microsoft.com/office/drawing/2014/chart" uri="{C3380CC4-5D6E-409C-BE32-E72D297353CC}">
              <c16:uniqueId val="{00000000-57AC-4B89-B49C-B8F7B49107C7}"/>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85.370002749999784</c:v>
                </c:pt>
                <c:pt idx="1">
                  <c:v>82.63999939</c:v>
                </c:pt>
                <c:pt idx="2">
                  <c:v>81.669998169999786</c:v>
                </c:pt>
                <c:pt idx="3">
                  <c:v>83.11000061</c:v>
                </c:pt>
                <c:pt idx="4">
                  <c:v>90.669998169999786</c:v>
                </c:pt>
              </c:numCache>
            </c:numRef>
          </c:val>
          <c:extLst xmlns:c16r2="http://schemas.microsoft.com/office/drawing/2015/06/chart">
            <c:ext xmlns:c16="http://schemas.microsoft.com/office/drawing/2014/chart" uri="{C3380CC4-5D6E-409C-BE32-E72D297353CC}">
              <c16:uniqueId val="{00000001-57AC-4B89-B49C-B8F7B49107C7}"/>
            </c:ext>
          </c:extLst>
        </c:ser>
        <c:dLbls>
          <c:showLegendKey val="0"/>
          <c:showVal val="0"/>
          <c:showCatName val="0"/>
          <c:showSerName val="0"/>
          <c:showPercent val="0"/>
          <c:showBubbleSize val="0"/>
        </c:dLbls>
        <c:gapWidth val="219"/>
        <c:overlap val="-27"/>
        <c:axId val="281797824"/>
        <c:axId val="281798216"/>
      </c:barChart>
      <c:catAx>
        <c:axId val="28179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1798216"/>
        <c:crosses val="autoZero"/>
        <c:auto val="1"/>
        <c:lblAlgn val="ctr"/>
        <c:lblOffset val="100"/>
        <c:noMultiLvlLbl val="0"/>
      </c:catAx>
      <c:valAx>
        <c:axId val="281798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79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Transit Trips Index Among Racial/Ethnic Groups in the Burlington-South Burlington Region</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37.770000459999999</c:v>
                </c:pt>
                <c:pt idx="1">
                  <c:v>54.909999850000013</c:v>
                </c:pt>
                <c:pt idx="2">
                  <c:v>44.959999080000003</c:v>
                </c:pt>
                <c:pt idx="3">
                  <c:v>50.369998930000001</c:v>
                </c:pt>
                <c:pt idx="4">
                  <c:v>35.72000122</c:v>
                </c:pt>
              </c:numCache>
            </c:numRef>
          </c:val>
          <c:extLst xmlns:c16r2="http://schemas.microsoft.com/office/drawing/2015/06/chart">
            <c:ext xmlns:c16="http://schemas.microsoft.com/office/drawing/2014/chart" uri="{C3380CC4-5D6E-409C-BE32-E72D297353CC}">
              <c16:uniqueId val="{00000000-4C41-414E-9280-AE520CDA86A8}"/>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49.83000183</c:v>
                </c:pt>
                <c:pt idx="1">
                  <c:v>60.540000919999997</c:v>
                </c:pt>
                <c:pt idx="2">
                  <c:v>48.310001369999974</c:v>
                </c:pt>
                <c:pt idx="3">
                  <c:v>61.939998629999998</c:v>
                </c:pt>
                <c:pt idx="4">
                  <c:v>48.33000183</c:v>
                </c:pt>
              </c:numCache>
            </c:numRef>
          </c:val>
          <c:extLst xmlns:c16r2="http://schemas.microsoft.com/office/drawing/2015/06/chart">
            <c:ext xmlns:c16="http://schemas.microsoft.com/office/drawing/2014/chart" uri="{C3380CC4-5D6E-409C-BE32-E72D297353CC}">
              <c16:uniqueId val="{00000001-4C41-414E-9280-AE520CDA86A8}"/>
            </c:ext>
          </c:extLst>
        </c:ser>
        <c:dLbls>
          <c:showLegendKey val="0"/>
          <c:showVal val="0"/>
          <c:showCatName val="0"/>
          <c:showSerName val="0"/>
          <c:showPercent val="0"/>
          <c:showBubbleSize val="0"/>
        </c:dLbls>
        <c:gapWidth val="219"/>
        <c:overlap val="-27"/>
        <c:axId val="194039568"/>
        <c:axId val="194039960"/>
      </c:barChart>
      <c:catAx>
        <c:axId val="19403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4039960"/>
        <c:crosses val="autoZero"/>
        <c:auto val="1"/>
        <c:lblAlgn val="ctr"/>
        <c:lblOffset val="100"/>
        <c:noMultiLvlLbl val="0"/>
      </c:catAx>
      <c:valAx>
        <c:axId val="1940399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03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Low Transportation Cost Index Among Racial/Ethnic Groups in the Burlington-South Burlington Region</a:t>
            </a:r>
            <a:endParaRPr lang="en-US" sz="1000"/>
          </a:p>
        </c:rich>
      </c:tx>
      <c:layout>
        <c:manualLayout>
          <c:xMode val="edge"/>
          <c:yMode val="edge"/>
          <c:x val="0.119416666666667"/>
          <c:y val="5.555555555555549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62.049999239999998</c:v>
                </c:pt>
                <c:pt idx="1">
                  <c:v>74.47000122</c:v>
                </c:pt>
                <c:pt idx="2">
                  <c:v>67.550003050000001</c:v>
                </c:pt>
                <c:pt idx="3">
                  <c:v>71.519996640000002</c:v>
                </c:pt>
                <c:pt idx="4">
                  <c:v>58.599998470000003</c:v>
                </c:pt>
              </c:numCache>
            </c:numRef>
          </c:val>
          <c:extLst xmlns:c16r2="http://schemas.microsoft.com/office/drawing/2015/06/chart">
            <c:ext xmlns:c16="http://schemas.microsoft.com/office/drawing/2014/chart" uri="{C3380CC4-5D6E-409C-BE32-E72D297353CC}">
              <c16:uniqueId val="{00000000-6ADC-47BF-9AE8-3A5EA0466BBB}"/>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69.849998470000003</c:v>
                </c:pt>
                <c:pt idx="1">
                  <c:v>77.379997249999846</c:v>
                </c:pt>
                <c:pt idx="2">
                  <c:v>67.63999939</c:v>
                </c:pt>
                <c:pt idx="3">
                  <c:v>79.709999080000003</c:v>
                </c:pt>
                <c:pt idx="4">
                  <c:v>67.959999080000003</c:v>
                </c:pt>
              </c:numCache>
            </c:numRef>
          </c:val>
          <c:extLst xmlns:c16r2="http://schemas.microsoft.com/office/drawing/2015/06/chart">
            <c:ext xmlns:c16="http://schemas.microsoft.com/office/drawing/2014/chart" uri="{C3380CC4-5D6E-409C-BE32-E72D297353CC}">
              <c16:uniqueId val="{00000001-6ADC-47BF-9AE8-3A5EA0466BBB}"/>
            </c:ext>
          </c:extLst>
        </c:ser>
        <c:dLbls>
          <c:showLegendKey val="0"/>
          <c:showVal val="0"/>
          <c:showCatName val="0"/>
          <c:showSerName val="0"/>
          <c:showPercent val="0"/>
          <c:showBubbleSize val="0"/>
        </c:dLbls>
        <c:gapWidth val="219"/>
        <c:overlap val="-27"/>
        <c:axId val="194041528"/>
        <c:axId val="194041920"/>
      </c:barChart>
      <c:catAx>
        <c:axId val="194041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4041920"/>
        <c:crosses val="autoZero"/>
        <c:auto val="1"/>
        <c:lblAlgn val="ctr"/>
        <c:lblOffset val="100"/>
        <c:noMultiLvlLbl val="0"/>
      </c:catAx>
      <c:valAx>
        <c:axId val="194041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041528"/>
        <c:crosses val="autoZero"/>
        <c:crossBetween val="between"/>
      </c:valAx>
      <c:spPr>
        <a:noFill/>
        <a:ln>
          <a:noFill/>
        </a:ln>
        <a:effectLst/>
      </c:spPr>
    </c:plotArea>
    <c:legend>
      <c:legendPos val="b"/>
      <c:layout>
        <c:manualLayout>
          <c:xMode val="edge"/>
          <c:yMode val="edge"/>
          <c:x val="0.288199335685838"/>
          <c:y val="0.86110781709515205"/>
          <c:w val="0.40924879007992698"/>
          <c:h val="8.869137969199629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Low Poverty Index Among Racial/Ethnic Groups in Burlington, VT</a:t>
            </a:r>
            <a:endParaRPr lang="en-US"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52.13999939</c:v>
                </c:pt>
                <c:pt idx="1">
                  <c:v>39.819999690000003</c:v>
                </c:pt>
                <c:pt idx="2">
                  <c:v>50.299999239999998</c:v>
                </c:pt>
                <c:pt idx="3">
                  <c:v>43.97000122</c:v>
                </c:pt>
                <c:pt idx="4">
                  <c:v>38.709999080000003</c:v>
                </c:pt>
              </c:numCache>
            </c:numRef>
          </c:val>
          <c:extLst xmlns:c16r2="http://schemas.microsoft.com/office/drawing/2015/06/chart">
            <c:ext xmlns:c16="http://schemas.microsoft.com/office/drawing/2014/chart" uri="{C3380CC4-5D6E-409C-BE32-E72D297353CC}">
              <c16:uniqueId val="{00000000-3B7C-4908-A789-06C37A791A0A}"/>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44.659999850000013</c:v>
                </c:pt>
                <c:pt idx="1">
                  <c:v>41.790000919999997</c:v>
                </c:pt>
                <c:pt idx="2">
                  <c:v>40.240001679999999</c:v>
                </c:pt>
                <c:pt idx="3">
                  <c:v>31.959999079999999</c:v>
                </c:pt>
                <c:pt idx="4">
                  <c:v>29.670000080000001</c:v>
                </c:pt>
              </c:numCache>
            </c:numRef>
          </c:val>
          <c:extLst xmlns:c16r2="http://schemas.microsoft.com/office/drawing/2015/06/chart">
            <c:ext xmlns:c16="http://schemas.microsoft.com/office/drawing/2014/chart" uri="{C3380CC4-5D6E-409C-BE32-E72D297353CC}">
              <c16:uniqueId val="{00000001-3B7C-4908-A789-06C37A791A0A}"/>
            </c:ext>
          </c:extLst>
        </c:ser>
        <c:dLbls>
          <c:showLegendKey val="0"/>
          <c:showVal val="0"/>
          <c:showCatName val="0"/>
          <c:showSerName val="0"/>
          <c:showPercent val="0"/>
          <c:showBubbleSize val="0"/>
        </c:dLbls>
        <c:gapWidth val="219"/>
        <c:overlap val="-27"/>
        <c:axId val="193979464"/>
        <c:axId val="193979856"/>
      </c:barChart>
      <c:catAx>
        <c:axId val="19397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3979856"/>
        <c:crosses val="autoZero"/>
        <c:auto val="1"/>
        <c:lblAlgn val="ctr"/>
        <c:lblOffset val="100"/>
        <c:noMultiLvlLbl val="0"/>
      </c:catAx>
      <c:valAx>
        <c:axId val="193979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79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Low Poverty Index Among Racial/Ethnic Groups in the Burlington-South Burlington Region</a:t>
            </a:r>
            <a:endParaRPr lang="en-US" sz="1200"/>
          </a:p>
        </c:rich>
      </c:tx>
      <c:layout>
        <c:manualLayout>
          <c:xMode val="edge"/>
          <c:yMode val="edge"/>
          <c:x val="0.15552777777777799"/>
          <c:y val="3.70370370370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68.230003359999998</c:v>
                </c:pt>
                <c:pt idx="1">
                  <c:v>52.540000919999997</c:v>
                </c:pt>
                <c:pt idx="2">
                  <c:v>64.339996339999786</c:v>
                </c:pt>
                <c:pt idx="3">
                  <c:v>62.689998629999998</c:v>
                </c:pt>
                <c:pt idx="4">
                  <c:v>57.16999817</c:v>
                </c:pt>
              </c:numCache>
            </c:numRef>
          </c:val>
          <c:extLst xmlns:c16r2="http://schemas.microsoft.com/office/drawing/2015/06/chart">
            <c:ext xmlns:c16="http://schemas.microsoft.com/office/drawing/2014/chart" uri="{C3380CC4-5D6E-409C-BE32-E72D297353CC}">
              <c16:uniqueId val="{00000000-8997-4C49-A950-6AE411D7E664}"/>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54.72000122</c:v>
                </c:pt>
                <c:pt idx="1">
                  <c:v>40.240001679999999</c:v>
                </c:pt>
                <c:pt idx="2">
                  <c:v>57.25</c:v>
                </c:pt>
                <c:pt idx="3">
                  <c:v>43.63999939</c:v>
                </c:pt>
                <c:pt idx="4">
                  <c:v>40.849998470000003</c:v>
                </c:pt>
              </c:numCache>
            </c:numRef>
          </c:val>
          <c:extLst xmlns:c16r2="http://schemas.microsoft.com/office/drawing/2015/06/chart">
            <c:ext xmlns:c16="http://schemas.microsoft.com/office/drawing/2014/chart" uri="{C3380CC4-5D6E-409C-BE32-E72D297353CC}">
              <c16:uniqueId val="{00000001-8997-4C49-A950-6AE411D7E664}"/>
            </c:ext>
          </c:extLst>
        </c:ser>
        <c:dLbls>
          <c:showLegendKey val="0"/>
          <c:showVal val="0"/>
          <c:showCatName val="0"/>
          <c:showSerName val="0"/>
          <c:showPercent val="0"/>
          <c:showBubbleSize val="0"/>
        </c:dLbls>
        <c:gapWidth val="219"/>
        <c:overlap val="-27"/>
        <c:axId val="193981816"/>
        <c:axId val="193982208"/>
      </c:barChart>
      <c:catAx>
        <c:axId val="19398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82208"/>
        <c:crosses val="autoZero"/>
        <c:auto val="1"/>
        <c:lblAlgn val="ctr"/>
        <c:lblOffset val="100"/>
        <c:noMultiLvlLbl val="0"/>
      </c:catAx>
      <c:valAx>
        <c:axId val="1939822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981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Environmental Health Index Among Racial/Ethnic Groups in Burlington, VT</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63.659999850000013</c:v>
                </c:pt>
                <c:pt idx="1">
                  <c:v>65.669998169999786</c:v>
                </c:pt>
                <c:pt idx="2">
                  <c:v>61.619998930000001</c:v>
                </c:pt>
                <c:pt idx="3">
                  <c:v>64.480003359999998</c:v>
                </c:pt>
                <c:pt idx="4">
                  <c:v>60.88999939</c:v>
                </c:pt>
              </c:numCache>
            </c:numRef>
          </c:val>
          <c:extLst xmlns:c16r2="http://schemas.microsoft.com/office/drawing/2015/06/chart">
            <c:ext xmlns:c16="http://schemas.microsoft.com/office/drawing/2014/chart" uri="{C3380CC4-5D6E-409C-BE32-E72D297353CC}">
              <c16:uniqueId val="{00000000-84AB-429E-9DA4-63C6437D49C7}"/>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51.91999817</c:v>
                </c:pt>
                <c:pt idx="1">
                  <c:v>69.760002139999756</c:v>
                </c:pt>
                <c:pt idx="2">
                  <c:v>63.790000919999997</c:v>
                </c:pt>
                <c:pt idx="3">
                  <c:v>61.22000122</c:v>
                </c:pt>
                <c:pt idx="4">
                  <c:v>46.33000183</c:v>
                </c:pt>
              </c:numCache>
            </c:numRef>
          </c:val>
          <c:extLst xmlns:c16r2="http://schemas.microsoft.com/office/drawing/2015/06/chart">
            <c:ext xmlns:c16="http://schemas.microsoft.com/office/drawing/2014/chart" uri="{C3380CC4-5D6E-409C-BE32-E72D297353CC}">
              <c16:uniqueId val="{00000001-84AB-429E-9DA4-63C6437D49C7}"/>
            </c:ext>
          </c:extLst>
        </c:ser>
        <c:dLbls>
          <c:showLegendKey val="0"/>
          <c:showVal val="0"/>
          <c:showCatName val="0"/>
          <c:showSerName val="0"/>
          <c:showPercent val="0"/>
          <c:showBubbleSize val="0"/>
        </c:dLbls>
        <c:gapWidth val="219"/>
        <c:overlap val="-27"/>
        <c:axId val="282023656"/>
        <c:axId val="282024048"/>
      </c:barChart>
      <c:catAx>
        <c:axId val="28202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024048"/>
        <c:crosses val="autoZero"/>
        <c:auto val="1"/>
        <c:lblAlgn val="ctr"/>
        <c:lblOffset val="100"/>
        <c:noMultiLvlLbl val="0"/>
      </c:catAx>
      <c:valAx>
        <c:axId val="282024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023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Environmental Health Index Among Racial/Ethnic Groups in the Burlington-South Burlington Region</a:t>
            </a:r>
            <a:endParaRPr lang="en-US" sz="1000"/>
          </a:p>
        </c:rich>
      </c:tx>
      <c:layout>
        <c:manualLayout>
          <c:xMode val="edge"/>
          <c:yMode val="edge"/>
          <c:x val="0.113955324661241"/>
          <c:y val="2.7777612777324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'[HUD_TableMaster.xlsx]Table 12'!$L$4</c:f>
              <c:strCache>
                <c:ptCount val="1"/>
                <c:pt idx="0">
                  <c:v>General Population</c:v>
                </c:pt>
              </c:strCache>
            </c:strRef>
          </c:tx>
          <c:spPr>
            <a:solidFill>
              <a:schemeClr val="accent1"/>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12'!$L$5:$L$9</c:f>
              <c:numCache>
                <c:formatCode>0.00</c:formatCode>
                <c:ptCount val="5"/>
                <c:pt idx="0">
                  <c:v>85.449996949999999</c:v>
                </c:pt>
                <c:pt idx="1">
                  <c:v>72.330001829999787</c:v>
                </c:pt>
                <c:pt idx="2">
                  <c:v>79.269996640000002</c:v>
                </c:pt>
                <c:pt idx="3">
                  <c:v>74.540000919999983</c:v>
                </c:pt>
                <c:pt idx="4">
                  <c:v>87.489997860000003</c:v>
                </c:pt>
              </c:numCache>
            </c:numRef>
          </c:val>
          <c:extLst xmlns:c16r2="http://schemas.microsoft.com/office/drawing/2015/06/chart">
            <c:ext xmlns:c16="http://schemas.microsoft.com/office/drawing/2014/chart" uri="{C3380CC4-5D6E-409C-BE32-E72D297353CC}">
              <c16:uniqueId val="{00000000-6968-4305-9EAB-782C0BFE0B7A}"/>
            </c:ext>
          </c:extLst>
        </c:ser>
        <c:ser>
          <c:idx val="1"/>
          <c:order val="1"/>
          <c:tx>
            <c:strRef>
              <c:f>'[HUD_TableMaster.xlsx]Table 12'!$M$4</c:f>
              <c:strCache>
                <c:ptCount val="1"/>
                <c:pt idx="0">
                  <c:v>Below Poverty Line</c:v>
                </c:pt>
              </c:strCache>
            </c:strRef>
          </c:tx>
          <c:spPr>
            <a:solidFill>
              <a:schemeClr val="accent2"/>
            </a:solidFill>
            <a:ln>
              <a:noFill/>
            </a:ln>
            <a:effectLst/>
          </c:spPr>
          <c:invertIfNegative val="0"/>
          <c:cat>
            <c:strRef>
              <c:f>'[HUD_TableMaster.xlsx]Table 12'!$K$5:$K$9</c:f>
              <c:strCache>
                <c:ptCount val="5"/>
                <c:pt idx="0">
                  <c:v>White, Non-Hispanic</c:v>
                </c:pt>
                <c:pt idx="1">
                  <c:v>Black, Non-Hispanic </c:v>
                </c:pt>
                <c:pt idx="2">
                  <c:v>Hispanic</c:v>
                </c:pt>
                <c:pt idx="3">
                  <c:v>Asian or Pacific Islander, Non-Hispanic</c:v>
                </c:pt>
                <c:pt idx="4">
                  <c:v>Native American, Non-Hispanic</c:v>
                </c:pt>
              </c:strCache>
            </c:strRef>
          </c:cat>
          <c:val>
            <c:numRef>
              <c:f>'[HUD_TableMaster.xlsx]Table 12'!$M$5:$M$9</c:f>
              <c:numCache>
                <c:formatCode>0.00</c:formatCode>
                <c:ptCount val="5"/>
                <c:pt idx="0">
                  <c:v>72.819999690000003</c:v>
                </c:pt>
                <c:pt idx="1">
                  <c:v>72.739997860000003</c:v>
                </c:pt>
                <c:pt idx="2">
                  <c:v>79.260002139999756</c:v>
                </c:pt>
                <c:pt idx="3">
                  <c:v>64.319999690000003</c:v>
                </c:pt>
                <c:pt idx="4">
                  <c:v>73.25</c:v>
                </c:pt>
              </c:numCache>
            </c:numRef>
          </c:val>
          <c:extLst xmlns:c16r2="http://schemas.microsoft.com/office/drawing/2015/06/chart">
            <c:ext xmlns:c16="http://schemas.microsoft.com/office/drawing/2014/chart" uri="{C3380CC4-5D6E-409C-BE32-E72D297353CC}">
              <c16:uniqueId val="{00000001-6968-4305-9EAB-782C0BFE0B7A}"/>
            </c:ext>
          </c:extLst>
        </c:ser>
        <c:dLbls>
          <c:showLegendKey val="0"/>
          <c:showVal val="0"/>
          <c:showCatName val="0"/>
          <c:showSerName val="0"/>
          <c:showPercent val="0"/>
          <c:showBubbleSize val="0"/>
        </c:dLbls>
        <c:gapWidth val="219"/>
        <c:overlap val="-27"/>
        <c:axId val="282026008"/>
        <c:axId val="282054832"/>
      </c:barChart>
      <c:catAx>
        <c:axId val="28202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2054832"/>
        <c:crosses val="autoZero"/>
        <c:auto val="1"/>
        <c:lblAlgn val="ctr"/>
        <c:lblOffset val="100"/>
        <c:noMultiLvlLbl val="0"/>
      </c:catAx>
      <c:valAx>
        <c:axId val="282054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202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sng" strike="noStrike" kern="1200" spc="0" baseline="0">
                <a:solidFill>
                  <a:schemeClr val="tx1">
                    <a:lumMod val="65000"/>
                    <a:lumOff val="35000"/>
                  </a:schemeClr>
                </a:solidFill>
                <a:latin typeface="+mn-lt"/>
                <a:ea typeface="+mn-ea"/>
                <a:cs typeface="+mn-cs"/>
              </a:defRPr>
            </a:pPr>
            <a:r>
              <a:rPr lang="en-US" sz="1800" b="1" u="sng"/>
              <a:t>Burlington</a:t>
            </a:r>
            <a:r>
              <a:rPr lang="en-US" sz="1800" b="1" u="sng" baseline="0"/>
              <a:t> - Families with Children</a:t>
            </a:r>
            <a:endParaRPr lang="en-US" sz="1800" b="1" u="sng"/>
          </a:p>
        </c:rich>
      </c:tx>
      <c:layout/>
      <c:overlay val="0"/>
      <c:spPr>
        <a:noFill/>
        <a:ln>
          <a:noFill/>
        </a:ln>
        <a:effectLst/>
      </c:spPr>
      <c:txPr>
        <a:bodyPr rot="0" spcFirstLastPara="1" vertOverflow="ellipsis" vert="horz" wrap="square" anchor="ctr" anchorCtr="1"/>
        <a:lstStyle/>
        <a:p>
          <a:pPr>
            <a:defRPr sz="18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410576443426622E-2"/>
          <c:y val="0.18029744713233123"/>
          <c:w val="0.93263182892623209"/>
          <c:h val="0.64162574618338686"/>
        </c:manualLayout>
      </c:layout>
      <c:lineChart>
        <c:grouping val="standard"/>
        <c:varyColors val="0"/>
        <c:ser>
          <c:idx val="0"/>
          <c:order val="0"/>
          <c:tx>
            <c:strRef>
              <c:f>'U:\CEDO\[AFFH Table 2 - Demographic Trends and Charts for Presentation.xlsx]Table 2'!$B$51</c:f>
              <c:strCache>
                <c:ptCount val="1"/>
                <c:pt idx="0">
                  <c:v>Families with children</c:v>
                </c:pt>
              </c:strCache>
            </c:strRef>
          </c:tx>
          <c:spPr>
            <a:ln w="28575" cap="rnd">
              <a:solidFill>
                <a:schemeClr val="accent1"/>
              </a:solidFill>
              <a:round/>
            </a:ln>
            <a:effectLst/>
          </c:spPr>
          <c:marker>
            <c:symbol val="none"/>
          </c:marker>
          <c:dLbls>
            <c:dLbl>
              <c:idx val="0"/>
              <c:layout>
                <c:manualLayout>
                  <c:x val="-2.5559107145923798E-2"/>
                  <c:y val="-7.75063184498736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F6-440C-8010-4CEA16341BF5}"/>
                </c:ext>
                <c:ext xmlns:c15="http://schemas.microsoft.com/office/drawing/2012/chart" uri="{CE6537A1-D6FC-4f65-9D91-7224C49458BB}">
                  <c15:layout/>
                </c:ext>
              </c:extLst>
            </c:dLbl>
            <c:dLbl>
              <c:idx val="1"/>
              <c:layout>
                <c:manualLayout>
                  <c:x val="-3.5782750004293401E-2"/>
                  <c:y val="-7.4136478517270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F6-440C-8010-4CEA16341BF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'[1]Table 2'!$C$28:$F$28</c:f>
              <c:strCache>
                <c:ptCount val="4"/>
                <c:pt idx="0">
                  <c:v>1990</c:v>
                </c:pt>
                <c:pt idx="1">
                  <c:v>2000</c:v>
                </c:pt>
                <c:pt idx="2">
                  <c:v>2010</c:v>
                </c:pt>
                <c:pt idx="3">
                  <c:v>2015 ACS</c:v>
                </c:pt>
              </c:strCache>
            </c:strRef>
          </c:cat>
          <c:val>
            <c:numRef>
              <c:f>'[1]Table 2'!$C$51:$F$51</c:f>
              <c:numCache>
                <c:formatCode>General</c:formatCode>
                <c:ptCount val="4"/>
                <c:pt idx="0">
                  <c:v>0.48960000000000004</c:v>
                </c:pt>
                <c:pt idx="1">
                  <c:v>0.47970000000000002</c:v>
                </c:pt>
                <c:pt idx="2">
                  <c:v>0.4551</c:v>
                </c:pt>
                <c:pt idx="3">
                  <c:v>0.4495849984629573</c:v>
                </c:pt>
              </c:numCache>
            </c:numRef>
          </c:val>
          <c:smooth val="0"/>
          <c:extLst xmlns:c16r2="http://schemas.microsoft.com/office/drawing/2015/06/chart">
            <c:ext xmlns:c16="http://schemas.microsoft.com/office/drawing/2014/chart" uri="{C3380CC4-5D6E-409C-BE32-E72D297353CC}">
              <c16:uniqueId val="{00000002-C3F6-440C-8010-4CEA16341BF5}"/>
            </c:ext>
          </c:extLst>
        </c:ser>
        <c:dLbls>
          <c:showLegendKey val="0"/>
          <c:showVal val="0"/>
          <c:showCatName val="0"/>
          <c:showSerName val="0"/>
          <c:showPercent val="0"/>
          <c:showBubbleSize val="0"/>
        </c:dLbls>
        <c:smooth val="0"/>
        <c:axId val="192235680"/>
        <c:axId val="192236072"/>
      </c:lineChart>
      <c:catAx>
        <c:axId val="19223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92236072"/>
        <c:crosses val="autoZero"/>
        <c:auto val="1"/>
        <c:lblAlgn val="ctr"/>
        <c:lblOffset val="100"/>
        <c:noMultiLvlLbl val="0"/>
      </c:catAx>
      <c:valAx>
        <c:axId val="192236072"/>
        <c:scaling>
          <c:orientation val="minMax"/>
          <c:min val="0.4400000000000000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92235680"/>
        <c:crosses val="autoZero"/>
        <c:crossBetween val="between"/>
        <c:majorUnit val="2.0000000000000004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sng" strike="noStrike" kern="1200" spc="0" baseline="0">
                <a:solidFill>
                  <a:schemeClr val="tx1">
                    <a:lumMod val="65000"/>
                    <a:lumOff val="35000"/>
                  </a:schemeClr>
                </a:solidFill>
                <a:latin typeface="+mn-lt"/>
                <a:ea typeface="+mn-ea"/>
                <a:cs typeface="+mn-cs"/>
              </a:defRPr>
            </a:pPr>
            <a:r>
              <a:rPr lang="en-US" sz="1200" b="0" u="sng"/>
              <a:t>Race/Ethnicity Trends for</a:t>
            </a:r>
            <a:r>
              <a:rPr lang="en-US" sz="1200" b="0" u="sng" baseline="0"/>
              <a:t> </a:t>
            </a:r>
            <a:r>
              <a:rPr lang="en-US" sz="1200" b="0" u="sng"/>
              <a:t>Burlington, VT</a:t>
            </a:r>
          </a:p>
        </c:rich>
      </c:tx>
      <c:layout/>
      <c:overlay val="0"/>
      <c:spPr>
        <a:noFill/>
        <a:ln>
          <a:noFill/>
        </a:ln>
        <a:effectLst/>
      </c:spPr>
      <c:txPr>
        <a:bodyPr rot="0" spcFirstLastPara="1" vertOverflow="ellipsis" vert="horz" wrap="square" anchor="ctr" anchorCtr="1"/>
        <a:lstStyle/>
        <a:p>
          <a:pPr>
            <a:defRPr sz="1200" b="0" i="0" u="sng"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'[1]Table 2'!$C$28</c:f>
              <c:strCache>
                <c:ptCount val="1"/>
                <c:pt idx="0">
                  <c:v>1990</c:v>
                </c:pt>
              </c:strCache>
            </c:strRef>
          </c:tx>
          <c:spPr>
            <a:solidFill>
              <a:schemeClr val="accent1"/>
            </a:solidFill>
            <a:ln>
              <a:noFill/>
            </a:ln>
            <a:effectLst/>
          </c:spPr>
          <c:invertIfNegative val="0"/>
          <c:dLbls>
            <c:dLbl>
              <c:idx val="0"/>
              <c:layout>
                <c:manualLayout>
                  <c:x val="-1.8897637795275601E-2"/>
                  <c:y val="1.263823064770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753-44D0-9EF8-E6883AFB8D19}"/>
                </c:ext>
                <c:ext xmlns:c15="http://schemas.microsoft.com/office/drawing/2012/chart" uri="{CE6537A1-D6FC-4f65-9D91-7224C49458BB}">
                  <c15:layout/>
                </c:ext>
              </c:extLst>
            </c:dLbl>
            <c:dLbl>
              <c:idx val="1"/>
              <c:layout>
                <c:manualLayout>
                  <c:x val="-1.04986876640421E-2"/>
                  <c:y val="3.1595576619272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753-44D0-9EF8-E6883AFB8D19}"/>
                </c:ext>
                <c:ext xmlns:c15="http://schemas.microsoft.com/office/drawing/2012/chart" uri="{CE6537A1-D6FC-4f65-9D91-7224C49458BB}">
                  <c15:layout/>
                </c:ext>
              </c:extLst>
            </c:dLbl>
            <c:dLbl>
              <c:idx val="2"/>
              <c:layout>
                <c:manualLayout>
                  <c:x val="-1.25984251968504E-2"/>
                  <c:y val="3.15955766192733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753-44D0-9EF8-E6883AFB8D19}"/>
                </c:ext>
                <c:ext xmlns:c15="http://schemas.microsoft.com/office/drawing/2012/chart" uri="{CE6537A1-D6FC-4f65-9D91-7224C49458BB}">
                  <c15:layout/>
                </c:ext>
              </c:extLst>
            </c:dLbl>
            <c:dLbl>
              <c:idx val="3"/>
              <c:layout>
                <c:manualLayout>
                  <c:x val="-1.8897637795275601E-2"/>
                  <c:y val="2.21169036334913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196850393700902E-2"/>
                  <c:y val="1.263823064770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753-44D0-9EF8-E6883AFB8D19}"/>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'[1]Table 2'!$B$29:$B$33</c:f>
              <c:strCache>
                <c:ptCount val="5"/>
                <c:pt idx="0">
                  <c:v>White, Non-Hispanic</c:v>
                </c:pt>
                <c:pt idx="1">
                  <c:v>Black, Non-Hispanic </c:v>
                </c:pt>
                <c:pt idx="2">
                  <c:v>Hispanic</c:v>
                </c:pt>
                <c:pt idx="3">
                  <c:v>Asian or Pacific Islander, Non-Hispanic</c:v>
                </c:pt>
                <c:pt idx="4">
                  <c:v>Native American, Non-Hispanic</c:v>
                </c:pt>
              </c:strCache>
            </c:strRef>
          </c:cat>
          <c:val>
            <c:numRef>
              <c:f>'[1]Table 2'!$C$29:$C$33</c:f>
              <c:numCache>
                <c:formatCode>General</c:formatCode>
                <c:ptCount val="5"/>
                <c:pt idx="0">
                  <c:v>0.95930000000000004</c:v>
                </c:pt>
                <c:pt idx="1">
                  <c:v>9.4999999999999998E-3</c:v>
                </c:pt>
                <c:pt idx="2">
                  <c:v>1.2200000000000001E-2</c:v>
                </c:pt>
                <c:pt idx="3">
                  <c:v>1.44E-2</c:v>
                </c:pt>
                <c:pt idx="4">
                  <c:v>2.8999999999999998E-3</c:v>
                </c:pt>
              </c:numCache>
            </c:numRef>
          </c:val>
          <c:extLst xmlns:c16r2="http://schemas.microsoft.com/office/drawing/2015/06/chart">
            <c:ext xmlns:c16="http://schemas.microsoft.com/office/drawing/2014/chart" uri="{C3380CC4-5D6E-409C-BE32-E72D297353CC}">
              <c16:uniqueId val="{00000000-D2C6-4CAF-9EEC-3F1FD7EEAB1F}"/>
            </c:ext>
          </c:extLst>
        </c:ser>
        <c:ser>
          <c:idx val="1"/>
          <c:order val="1"/>
          <c:tx>
            <c:strRef>
              <c:f>'[1]Table 2'!$D$28</c:f>
              <c:strCache>
                <c:ptCount val="1"/>
                <c:pt idx="0">
                  <c:v>2000</c:v>
                </c:pt>
              </c:strCache>
            </c:strRef>
          </c:tx>
          <c:spPr>
            <a:solidFill>
              <a:schemeClr val="accent2"/>
            </a:solidFill>
            <a:ln>
              <a:noFill/>
            </a:ln>
            <a:effectLst/>
          </c:spPr>
          <c:invertIfNegative val="0"/>
          <c:dLbls>
            <c:dLbl>
              <c:idx val="0"/>
              <c:layout>
                <c:manualLayout>
                  <c:x val="4.1994750656167996E-3"/>
                  <c:y val="3.15955766192732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753-44D0-9EF8-E6883AFB8D19}"/>
                </c:ext>
                <c:ext xmlns:c15="http://schemas.microsoft.com/office/drawing/2012/chart" uri="{CE6537A1-D6FC-4f65-9D91-7224C49458BB}">
                  <c15:layout/>
                </c:ext>
              </c:extLst>
            </c:dLbl>
            <c:dLbl>
              <c:idx val="3"/>
              <c:layout>
                <c:manualLayout>
                  <c:x val="-1.25984251968504E-2"/>
                  <c:y val="3.1595576619272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897637795275601E-2"/>
                  <c:y val="-9.47867298578198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753-44D0-9EF8-E6883AFB8D19}"/>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'[1]Table 2'!$B$29:$B$33</c:f>
              <c:strCache>
                <c:ptCount val="5"/>
                <c:pt idx="0">
                  <c:v>White, Non-Hispanic</c:v>
                </c:pt>
                <c:pt idx="1">
                  <c:v>Black, Non-Hispanic </c:v>
                </c:pt>
                <c:pt idx="2">
                  <c:v>Hispanic</c:v>
                </c:pt>
                <c:pt idx="3">
                  <c:v>Asian or Pacific Islander, Non-Hispanic</c:v>
                </c:pt>
                <c:pt idx="4">
                  <c:v>Native American, Non-Hispanic</c:v>
                </c:pt>
              </c:strCache>
            </c:strRef>
          </c:cat>
          <c:val>
            <c:numRef>
              <c:f>'[1]Table 2'!$D$29:$D$33</c:f>
              <c:numCache>
                <c:formatCode>General</c:formatCode>
                <c:ptCount val="5"/>
                <c:pt idx="0">
                  <c:v>0.91459999999999997</c:v>
                </c:pt>
                <c:pt idx="1">
                  <c:v>2.3199999999999998E-2</c:v>
                </c:pt>
                <c:pt idx="2">
                  <c:v>1.4E-2</c:v>
                </c:pt>
                <c:pt idx="3">
                  <c:v>3.15E-2</c:v>
                </c:pt>
                <c:pt idx="4">
                  <c:v>1.0699999999999999E-2</c:v>
                </c:pt>
              </c:numCache>
            </c:numRef>
          </c:val>
          <c:extLst xmlns:c16r2="http://schemas.microsoft.com/office/drawing/2015/06/chart">
            <c:ext xmlns:c16="http://schemas.microsoft.com/office/drawing/2014/chart" uri="{C3380CC4-5D6E-409C-BE32-E72D297353CC}">
              <c16:uniqueId val="{00000001-D2C6-4CAF-9EEC-3F1FD7EEAB1F}"/>
            </c:ext>
          </c:extLst>
        </c:ser>
        <c:ser>
          <c:idx val="2"/>
          <c:order val="2"/>
          <c:tx>
            <c:strRef>
              <c:f>'[1]Table 2'!$E$28</c:f>
              <c:strCache>
                <c:ptCount val="1"/>
                <c:pt idx="0">
                  <c:v>2010</c:v>
                </c:pt>
              </c:strCache>
            </c:strRef>
          </c:tx>
          <c:spPr>
            <a:solidFill>
              <a:schemeClr val="accent3"/>
            </a:solidFill>
            <a:ln>
              <a:noFill/>
            </a:ln>
            <a:effectLst/>
          </c:spPr>
          <c:invertIfNegative val="0"/>
          <c:dLbls>
            <c:dLbl>
              <c:idx val="0"/>
              <c:layout>
                <c:manualLayout>
                  <c:x val="1.4698162729658799E-2"/>
                  <c:y val="3.15955766192733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753-44D0-9EF8-E6883AFB8D19}"/>
                </c:ext>
                <c:ext xmlns:c15="http://schemas.microsoft.com/office/drawing/2012/chart" uri="{CE6537A1-D6FC-4f65-9D91-7224C49458BB}">
                  <c15:layout/>
                </c:ext>
              </c:extLst>
            </c:dLbl>
            <c:dLbl>
              <c:idx val="1"/>
              <c:layout>
                <c:manualLayout>
                  <c:x val="6.299212598425119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753-44D0-9EF8-E6883AFB8D19}"/>
                </c:ext>
                <c:ext xmlns:c15="http://schemas.microsoft.com/office/drawing/2012/chart" uri="{CE6537A1-D6FC-4f65-9D91-7224C49458BB}">
                  <c15:layout/>
                </c:ext>
              </c:extLst>
            </c:dLbl>
            <c:dLbl>
              <c:idx val="2"/>
              <c:layout>
                <c:manualLayout>
                  <c:x val="7.3492466984933199E-3"/>
                  <c:y val="-1.2638106255675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753-44D0-9EF8-E6883AFB8D19}"/>
                </c:ext>
                <c:ext xmlns:c15="http://schemas.microsoft.com/office/drawing/2012/chart" uri="{CE6537A1-D6FC-4f65-9D91-7224C49458BB}">
                  <c15:layout>
                    <c:manualLayout>
                      <c:w val="6.1070948808564299E-2"/>
                      <c:h val="5.6824768941796999E-2"/>
                    </c:manualLayout>
                  </c15:layout>
                </c:ext>
              </c:extLst>
            </c:dLbl>
            <c:dLbl>
              <c:idx val="4"/>
              <c:layout>
                <c:manualLayout>
                  <c:x val="1.0498687664042E-2"/>
                  <c:y val="-6.31911532385466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753-44D0-9EF8-E6883AFB8D19}"/>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'[1]Table 2'!$B$29:$B$33</c:f>
              <c:strCache>
                <c:ptCount val="5"/>
                <c:pt idx="0">
                  <c:v>White, Non-Hispanic</c:v>
                </c:pt>
                <c:pt idx="1">
                  <c:v>Black, Non-Hispanic </c:v>
                </c:pt>
                <c:pt idx="2">
                  <c:v>Hispanic</c:v>
                </c:pt>
                <c:pt idx="3">
                  <c:v>Asian or Pacific Islander, Non-Hispanic</c:v>
                </c:pt>
                <c:pt idx="4">
                  <c:v>Native American, Non-Hispanic</c:v>
                </c:pt>
              </c:strCache>
            </c:strRef>
          </c:cat>
          <c:val>
            <c:numRef>
              <c:f>'[1]Table 2'!$E$29:$E$33</c:f>
              <c:numCache>
                <c:formatCode>General</c:formatCode>
                <c:ptCount val="5"/>
                <c:pt idx="0">
                  <c:v>0.87290000000000001</c:v>
                </c:pt>
                <c:pt idx="1">
                  <c:v>4.4699999999999997E-2</c:v>
                </c:pt>
                <c:pt idx="2">
                  <c:v>2.7E-2</c:v>
                </c:pt>
                <c:pt idx="3">
                  <c:v>4.4200000000000003E-2</c:v>
                </c:pt>
                <c:pt idx="4">
                  <c:v>8.8000000000000005E-3</c:v>
                </c:pt>
              </c:numCache>
            </c:numRef>
          </c:val>
          <c:extLst xmlns:c16r2="http://schemas.microsoft.com/office/drawing/2015/06/chart">
            <c:ext xmlns:c16="http://schemas.microsoft.com/office/drawing/2014/chart" uri="{C3380CC4-5D6E-409C-BE32-E72D297353CC}">
              <c16:uniqueId val="{00000002-D2C6-4CAF-9EEC-3F1FD7EEAB1F}"/>
            </c:ext>
          </c:extLst>
        </c:ser>
        <c:ser>
          <c:idx val="3"/>
          <c:order val="3"/>
          <c:tx>
            <c:strRef>
              <c:f>'[1]Table 2'!$F$28</c:f>
              <c:strCache>
                <c:ptCount val="1"/>
                <c:pt idx="0">
                  <c:v>2015 ACS</c:v>
                </c:pt>
              </c:strCache>
            </c:strRef>
          </c:tx>
          <c:spPr>
            <a:solidFill>
              <a:schemeClr val="accent4"/>
            </a:solidFill>
            <a:ln>
              <a:noFill/>
            </a:ln>
            <a:effectLst/>
          </c:spPr>
          <c:invertIfNegative val="0"/>
          <c:dLbls>
            <c:dLbl>
              <c:idx val="0"/>
              <c:layout>
                <c:manualLayout>
                  <c:x val="1.4698162729658799E-2"/>
                  <c:y val="6.31911532385466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53-44D0-9EF8-E6883AFB8D19}"/>
                </c:ext>
                <c:ext xmlns:c15="http://schemas.microsoft.com/office/drawing/2012/chart" uri="{CE6537A1-D6FC-4f65-9D91-7224C49458BB}">
                  <c15:layout/>
                </c:ext>
              </c:extLst>
            </c:dLbl>
            <c:dLbl>
              <c:idx val="1"/>
              <c:layout>
                <c:manualLayout>
                  <c:x val="1.8897637795275601E-2"/>
                  <c:y val="3.15955766192733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753-44D0-9EF8-E6883AFB8D19}"/>
                </c:ext>
                <c:ext xmlns:c15="http://schemas.microsoft.com/office/drawing/2012/chart" uri="{CE6537A1-D6FC-4f65-9D91-7224C49458BB}">
                  <c15:layout/>
                </c:ext>
              </c:extLst>
            </c:dLbl>
            <c:dLbl>
              <c:idx val="2"/>
              <c:layout>
                <c:manualLayout>
                  <c:x val="1.25984251968504E-2"/>
                  <c:y val="6.31911532385453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753-44D0-9EF8-E6883AFB8D19}"/>
                </c:ext>
                <c:ext xmlns:c15="http://schemas.microsoft.com/office/drawing/2012/chart" uri="{CE6537A1-D6FC-4f65-9D91-7224C49458BB}">
                  <c15:layout/>
                </c:ext>
              </c:extLst>
            </c:dLbl>
            <c:dLbl>
              <c:idx val="3"/>
              <c:layout>
                <c:manualLayout>
                  <c:x val="1.46981627296587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753-44D0-9EF8-E6883AFB8D19}"/>
                </c:ext>
                <c:ext xmlns:c15="http://schemas.microsoft.com/office/drawing/2012/chart" uri="{CE6537A1-D6FC-4f65-9D91-7224C49458BB}">
                  <c15:layout/>
                </c:ext>
              </c:extLst>
            </c:dLbl>
            <c:dLbl>
              <c:idx val="4"/>
              <c:layout>
                <c:manualLayout>
                  <c:x val="2.9396325459317599E-2"/>
                  <c:y val="-1.57965443892973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753-44D0-9EF8-E6883AFB8D19}"/>
                </c:ext>
                <c:ext xmlns:c15="http://schemas.microsoft.com/office/drawing/2012/chart" uri="{CE6537A1-D6FC-4f65-9D91-7224C49458BB}">
                  <c15:layout>
                    <c:manualLayout>
                      <c:w val="5.8918635170603702E-2"/>
                      <c:h val="6.4060155987610501E-2"/>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'[1]Table 2'!$B$29:$B$33</c:f>
              <c:strCache>
                <c:ptCount val="5"/>
                <c:pt idx="0">
                  <c:v>White, Non-Hispanic</c:v>
                </c:pt>
                <c:pt idx="1">
                  <c:v>Black, Non-Hispanic </c:v>
                </c:pt>
                <c:pt idx="2">
                  <c:v>Hispanic</c:v>
                </c:pt>
                <c:pt idx="3">
                  <c:v>Asian or Pacific Islander, Non-Hispanic</c:v>
                </c:pt>
                <c:pt idx="4">
                  <c:v>Native American, Non-Hispanic</c:v>
                </c:pt>
              </c:strCache>
            </c:strRef>
          </c:cat>
          <c:val>
            <c:numRef>
              <c:f>'[1]Table 2'!$F$29:$F$33</c:f>
              <c:numCache>
                <c:formatCode>General</c:formatCode>
                <c:ptCount val="5"/>
                <c:pt idx="0">
                  <c:v>0.84</c:v>
                </c:pt>
                <c:pt idx="1">
                  <c:v>4.3999999999999997E-2</c:v>
                </c:pt>
                <c:pt idx="2">
                  <c:v>2.7E-2</c:v>
                </c:pt>
                <c:pt idx="3">
                  <c:v>5.8999999999999997E-2</c:v>
                </c:pt>
                <c:pt idx="4">
                  <c:v>3.0000000000000001E-3</c:v>
                </c:pt>
              </c:numCache>
            </c:numRef>
          </c:val>
          <c:extLst xmlns:c16r2="http://schemas.microsoft.com/office/drawing/2015/06/chart">
            <c:ext xmlns:c16="http://schemas.microsoft.com/office/drawing/2014/chart" uri="{C3380CC4-5D6E-409C-BE32-E72D297353CC}">
              <c16:uniqueId val="{00000003-D2C6-4CAF-9EEC-3F1FD7EEAB1F}"/>
            </c:ext>
          </c:extLst>
        </c:ser>
        <c:dLbls>
          <c:showLegendKey val="0"/>
          <c:showVal val="0"/>
          <c:showCatName val="0"/>
          <c:showSerName val="0"/>
          <c:showPercent val="0"/>
          <c:showBubbleSize val="0"/>
        </c:dLbls>
        <c:gapWidth val="219"/>
        <c:overlap val="-27"/>
        <c:axId val="192238032"/>
        <c:axId val="192238424"/>
      </c:barChart>
      <c:catAx>
        <c:axId val="19223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38424"/>
        <c:crosses val="autoZero"/>
        <c:auto val="1"/>
        <c:lblAlgn val="ctr"/>
        <c:lblOffset val="100"/>
        <c:noMultiLvlLbl val="0"/>
      </c:catAx>
      <c:valAx>
        <c:axId val="1922384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92238032"/>
        <c:crosses val="autoZero"/>
        <c:crossBetween val="between"/>
      </c:valAx>
      <c:spPr>
        <a:noFill/>
        <a:ln>
          <a:noFill/>
        </a:ln>
        <a:effectLst/>
      </c:spPr>
    </c:plotArea>
    <c:legend>
      <c:legendPos val="b"/>
      <c:layout>
        <c:manualLayout>
          <c:xMode val="edge"/>
          <c:yMode val="edge"/>
          <c:x val="0.21112356147789199"/>
          <c:y val="0.90396159424518596"/>
          <c:w val="0.57988946093276805"/>
          <c:h val="4.948812678036099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sng" strike="noStrike" kern="1200" spc="0" baseline="0">
                <a:solidFill>
                  <a:schemeClr val="tx1">
                    <a:lumMod val="65000"/>
                    <a:lumOff val="35000"/>
                  </a:schemeClr>
                </a:solidFill>
                <a:latin typeface="+mn-lt"/>
                <a:ea typeface="+mn-ea"/>
                <a:cs typeface="+mn-cs"/>
              </a:defRPr>
            </a:pPr>
            <a:r>
              <a:rPr lang="en-US" sz="1200" b="0" u="sng"/>
              <a:t>Burlington - Foreign Born</a:t>
            </a:r>
          </a:p>
        </c:rich>
      </c:tx>
      <c:layout/>
      <c:overlay val="0"/>
      <c:spPr>
        <a:noFill/>
        <a:ln>
          <a:noFill/>
        </a:ln>
        <a:effectLst/>
      </c:spPr>
      <c:txPr>
        <a:bodyPr rot="0" spcFirstLastPara="1" vertOverflow="ellipsis" vert="horz" wrap="square" anchor="ctr" anchorCtr="1"/>
        <a:lstStyle/>
        <a:p>
          <a:pPr>
            <a:defRPr sz="1200" b="0"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312149538702897E-2"/>
          <c:y val="0.16512420701278899"/>
          <c:w val="0.93275834614862596"/>
          <c:h val="0.64509094861794203"/>
        </c:manualLayout>
      </c:layout>
      <c:lineChart>
        <c:grouping val="standard"/>
        <c:varyColors val="0"/>
        <c:ser>
          <c:idx val="0"/>
          <c:order val="0"/>
          <c:tx>
            <c:strRef>
              <c:f>'[1]Table 2'!$B$36</c:f>
              <c:strCache>
                <c:ptCount val="1"/>
                <c:pt idx="0">
                  <c:v>Foreign-born</c:v>
                </c:pt>
              </c:strCache>
            </c:strRef>
          </c:tx>
          <c:spPr>
            <a:ln w="28575" cap="rnd">
              <a:solidFill>
                <a:schemeClr val="accent1"/>
              </a:solidFill>
              <a:round/>
            </a:ln>
            <a:effectLst/>
          </c:spPr>
          <c:marker>
            <c:symbol val="none"/>
          </c:marker>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dLbl>
            <c:dLbl>
              <c:idx val="1"/>
              <c:layout>
                <c:manualLayout>
                  <c:x val="-5.6278368793565903E-2"/>
                  <c:y val="-4.538577912254160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0D4-4534-AFAC-C9B01A074E28}"/>
                </c:ext>
                <c:ext xmlns:c15="http://schemas.microsoft.com/office/drawing/2012/chart" uri="{CE6537A1-D6FC-4f65-9D91-7224C49458BB}">
                  <c15:layout/>
                </c:ext>
              </c:extLst>
            </c:dLbl>
            <c:dLbl>
              <c:idx val="2"/>
              <c:layout>
                <c:manualLayout>
                  <c:x val="1.4181185073621601E-2"/>
                  <c:y val="-6.9913086666067105E-1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0D4-4534-AFAC-C9B01A074E28}"/>
                </c:ext>
                <c:ext xmlns:c15="http://schemas.microsoft.com/office/drawing/2012/chart" uri="{CE6537A1-D6FC-4f65-9D91-7224C49458BB}">
                  <c15:layout/>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'[1]Table 2'!$C$28:$F$28</c:f>
              <c:strCache>
                <c:ptCount val="4"/>
                <c:pt idx="0">
                  <c:v>1990</c:v>
                </c:pt>
                <c:pt idx="1">
                  <c:v>2000</c:v>
                </c:pt>
                <c:pt idx="2">
                  <c:v>2010</c:v>
                </c:pt>
                <c:pt idx="3">
                  <c:v>2015 ACS</c:v>
                </c:pt>
              </c:strCache>
            </c:strRef>
          </c:cat>
          <c:val>
            <c:numRef>
              <c:f>'[1]Table 2'!$C$36:$F$36</c:f>
              <c:numCache>
                <c:formatCode>General</c:formatCode>
                <c:ptCount val="4"/>
                <c:pt idx="0">
                  <c:v>4.1599999999999998E-2</c:v>
                </c:pt>
                <c:pt idx="1">
                  <c:v>8.0699999999999994E-2</c:v>
                </c:pt>
                <c:pt idx="2">
                  <c:v>8.6900000000000005E-2</c:v>
                </c:pt>
                <c:pt idx="3">
                  <c:v>0.13307733986666401</c:v>
                </c:pt>
              </c:numCache>
            </c:numRef>
          </c:val>
          <c:smooth val="0"/>
          <c:extLst xmlns:c16r2="http://schemas.microsoft.com/office/drawing/2015/06/chart">
            <c:ext xmlns:c16="http://schemas.microsoft.com/office/drawing/2014/chart" uri="{C3380CC4-5D6E-409C-BE32-E72D297353CC}">
              <c16:uniqueId val="{00000002-C0D4-4534-AFAC-C9B01A074E28}"/>
            </c:ext>
          </c:extLst>
        </c:ser>
        <c:dLbls>
          <c:showLegendKey val="0"/>
          <c:showVal val="0"/>
          <c:showCatName val="0"/>
          <c:showSerName val="0"/>
          <c:showPercent val="0"/>
          <c:showBubbleSize val="0"/>
        </c:dLbls>
        <c:smooth val="0"/>
        <c:axId val="192239208"/>
        <c:axId val="193084384"/>
      </c:lineChart>
      <c:catAx>
        <c:axId val="19223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93084384"/>
        <c:crosses val="autoZero"/>
        <c:auto val="1"/>
        <c:lblAlgn val="ctr"/>
        <c:lblOffset val="100"/>
        <c:noMultiLvlLbl val="0"/>
      </c:catAx>
      <c:valAx>
        <c:axId val="193084384"/>
        <c:scaling>
          <c:orientation val="minMax"/>
          <c:max val="0.14000000000000001"/>
          <c:min val="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92239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sng" strike="noStrike" kern="1200" spc="0" baseline="0">
                <a:solidFill>
                  <a:schemeClr val="tx1">
                    <a:lumMod val="65000"/>
                    <a:lumOff val="35000"/>
                  </a:schemeClr>
                </a:solidFill>
                <a:latin typeface="+mn-lt"/>
                <a:ea typeface="+mn-ea"/>
                <a:cs typeface="+mn-cs"/>
              </a:defRPr>
            </a:pPr>
            <a:r>
              <a:rPr lang="en-US" sz="1200" b="0" u="sng"/>
              <a:t>Foreign Born Regions</a:t>
            </a:r>
            <a:r>
              <a:rPr lang="en-US" sz="1200" b="0" u="sng" baseline="0"/>
              <a:t> of Birth for Burlington, VT</a:t>
            </a:r>
            <a:endParaRPr lang="en-US" sz="1200" b="0" u="sng"/>
          </a:p>
        </c:rich>
      </c:tx>
      <c:layout/>
      <c:overlay val="0"/>
      <c:spPr>
        <a:noFill/>
        <a:ln>
          <a:noFill/>
        </a:ln>
        <a:effectLst/>
      </c:sp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manualLayout>
          <c:layoutTarget val="inner"/>
          <c:xMode val="edge"/>
          <c:yMode val="edge"/>
          <c:x val="6.7557393077885705E-2"/>
          <c:y val="0.127184180196136"/>
          <c:w val="0.83988940653475697"/>
          <c:h val="0.71982101736948101"/>
        </c:manualLayout>
      </c:layout>
      <c:barChart>
        <c:barDir val="col"/>
        <c:grouping val="clustered"/>
        <c:varyColors val="0"/>
        <c:ser>
          <c:idx val="0"/>
          <c:order val="0"/>
          <c:tx>
            <c:v>Total</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Lit>
              <c:ptCount val="5"/>
              <c:pt idx="0">
                <c:v>  Africa:</c:v>
              </c:pt>
              <c:pt idx="1">
                <c:v>  Americas:</c:v>
              </c:pt>
              <c:pt idx="2">
                <c:v>  Asia:</c:v>
              </c:pt>
              <c:pt idx="3">
                <c:v>  Europe:</c:v>
              </c:pt>
              <c:pt idx="4">
                <c:v>  Oceania:</c:v>
              </c:pt>
            </c:strLit>
          </c:cat>
          <c:val>
            <c:numLit>
              <c:formatCode>General</c:formatCode>
              <c:ptCount val="5"/>
              <c:pt idx="0">
                <c:v>817</c:v>
              </c:pt>
              <c:pt idx="1">
                <c:v>554</c:v>
              </c:pt>
              <c:pt idx="2">
                <c:v>2211</c:v>
              </c:pt>
              <c:pt idx="3">
                <c:v>1240</c:v>
              </c:pt>
              <c:pt idx="4">
                <c:v>2</c:v>
              </c:pt>
            </c:numLit>
          </c:val>
          <c:extLst xmlns:c16r2="http://schemas.microsoft.com/office/drawing/2015/06/chart">
            <c:ext xmlns:c16="http://schemas.microsoft.com/office/drawing/2014/chart" uri="{C3380CC4-5D6E-409C-BE32-E72D297353CC}">
              <c16:uniqueId val="{00000000-1099-4E6B-A9ED-AAFD78D5CF51}"/>
            </c:ext>
          </c:extLst>
        </c:ser>
        <c:dLbls>
          <c:showLegendKey val="0"/>
          <c:showVal val="0"/>
          <c:showCatName val="0"/>
          <c:showSerName val="0"/>
          <c:showPercent val="0"/>
          <c:showBubbleSize val="0"/>
        </c:dLbls>
        <c:gapWidth val="219"/>
        <c:overlap val="-27"/>
        <c:axId val="193085168"/>
        <c:axId val="193085560"/>
      </c:barChart>
      <c:catAx>
        <c:axId val="19308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93085560"/>
        <c:crosses val="autoZero"/>
        <c:auto val="0"/>
        <c:lblAlgn val="ctr"/>
        <c:lblOffset val="100"/>
        <c:noMultiLvlLbl val="0"/>
      </c:catAx>
      <c:valAx>
        <c:axId val="193085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93085168"/>
        <c:crosses val="autoZero"/>
        <c:crossBetween val="between"/>
      </c:valAx>
      <c:spPr>
        <a:noFill/>
        <a:ln w="25400">
          <a:noFill/>
        </a:ln>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xmlns:c16r2="http://schemas.microsoft.com/office/drawing/2015/06/char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mn-lt"/>
              </a:defRPr>
            </a:pPr>
            <a:r>
              <a:rPr lang="en-US" sz="1200" b="0" i="0" baseline="0">
                <a:latin typeface="+mn-lt"/>
              </a:rPr>
              <a:t>Unemployment Rates</a:t>
            </a:r>
          </a:p>
        </c:rich>
      </c:tx>
      <c:layout>
        <c:manualLayout>
          <c:xMode val="edge"/>
          <c:yMode val="edge"/>
          <c:x val="0.41860101621912599"/>
          <c:y val="3.4821309498474902E-2"/>
        </c:manualLayout>
      </c:layout>
      <c:overlay val="0"/>
    </c:title>
    <c:autoTitleDeleted val="0"/>
    <c:plotArea>
      <c:layout>
        <c:manualLayout>
          <c:layoutTarget val="inner"/>
          <c:xMode val="edge"/>
          <c:yMode val="edge"/>
          <c:x val="0.13396977170177299"/>
          <c:y val="0.14396720634639801"/>
          <c:w val="0.83311057271687206"/>
          <c:h val="0.74429915361703403"/>
        </c:manualLayout>
      </c:layout>
      <c:lineChart>
        <c:grouping val="standard"/>
        <c:varyColors val="0"/>
        <c:ser>
          <c:idx val="0"/>
          <c:order val="0"/>
          <c:tx>
            <c:strRef>
              <c:f>Sheet1!$B$1</c:f>
              <c:strCache>
                <c:ptCount val="1"/>
                <c:pt idx="0">
                  <c:v>Burlington</c:v>
                </c:pt>
              </c:strCache>
            </c:strRef>
          </c:tx>
          <c:marker>
            <c:symbol val="none"/>
          </c:marker>
          <c:cat>
            <c:numRef>
              <c:f>Sheet1!$A$2:$A$18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formatCode="0">
                  <c:v>2012</c:v>
                </c:pt>
                <c:pt idx="13" formatCode="0">
                  <c:v>2013</c:v>
                </c:pt>
                <c:pt idx="14">
                  <c:v>2014</c:v>
                </c:pt>
                <c:pt idx="15">
                  <c:v>2015</c:v>
                </c:pt>
                <c:pt idx="16">
                  <c:v>2016</c:v>
                </c:pt>
              </c:numCache>
            </c:numRef>
          </c:cat>
          <c:val>
            <c:numRef>
              <c:f>Sheet1!$B$2:$B$18</c:f>
              <c:numCache>
                <c:formatCode>0.00%</c:formatCode>
                <c:ptCount val="17"/>
                <c:pt idx="0">
                  <c:v>2.4E-2</c:v>
                </c:pt>
                <c:pt idx="1">
                  <c:v>0.03</c:v>
                </c:pt>
                <c:pt idx="2">
                  <c:v>3.6999999999999998E-2</c:v>
                </c:pt>
                <c:pt idx="3">
                  <c:v>4.2000000000000003E-2</c:v>
                </c:pt>
                <c:pt idx="4">
                  <c:v>3.5000000000000003E-2</c:v>
                </c:pt>
                <c:pt idx="5">
                  <c:v>3.1E-2</c:v>
                </c:pt>
                <c:pt idx="6">
                  <c:v>2.9000000000000001E-2</c:v>
                </c:pt>
                <c:pt idx="7">
                  <c:v>3.1E-2</c:v>
                </c:pt>
                <c:pt idx="8">
                  <c:v>3.6999999999999998E-2</c:v>
                </c:pt>
                <c:pt idx="9">
                  <c:v>0.06</c:v>
                </c:pt>
                <c:pt idx="10">
                  <c:v>5.1999999999999998E-2</c:v>
                </c:pt>
                <c:pt idx="11">
                  <c:v>4.5999999999999999E-2</c:v>
                </c:pt>
                <c:pt idx="12">
                  <c:v>0.04</c:v>
                </c:pt>
                <c:pt idx="13">
                  <c:v>3.5999999999999997E-2</c:v>
                </c:pt>
                <c:pt idx="14">
                  <c:v>3.4000000000000002E-2</c:v>
                </c:pt>
                <c:pt idx="15">
                  <c:v>2.9000000000000001E-2</c:v>
                </c:pt>
                <c:pt idx="16">
                  <c:v>2.9000000000000001E-2</c:v>
                </c:pt>
              </c:numCache>
            </c:numRef>
          </c:val>
          <c:smooth val="0"/>
          <c:extLst xmlns:c16r2="http://schemas.microsoft.com/office/drawing/2015/06/chart">
            <c:ext xmlns:c16="http://schemas.microsoft.com/office/drawing/2014/chart" uri="{C3380CC4-5D6E-409C-BE32-E72D297353CC}">
              <c16:uniqueId val="{00000000-383D-46BB-A08F-A59BEA27B286}"/>
            </c:ext>
          </c:extLst>
        </c:ser>
        <c:ser>
          <c:idx val="1"/>
          <c:order val="1"/>
          <c:tx>
            <c:strRef>
              <c:f>Sheet1!$C$1</c:f>
              <c:strCache>
                <c:ptCount val="1"/>
                <c:pt idx="0">
                  <c:v>Vermont</c:v>
                </c:pt>
              </c:strCache>
            </c:strRef>
          </c:tx>
          <c:marker>
            <c:symbol val="none"/>
          </c:marker>
          <c:cat>
            <c:numRef>
              <c:f>Sheet1!$A$2:$A$18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formatCode="0">
                  <c:v>2012</c:v>
                </c:pt>
                <c:pt idx="13" formatCode="0">
                  <c:v>2013</c:v>
                </c:pt>
                <c:pt idx="14">
                  <c:v>2014</c:v>
                </c:pt>
                <c:pt idx="15">
                  <c:v>2015</c:v>
                </c:pt>
                <c:pt idx="16">
                  <c:v>2016</c:v>
                </c:pt>
              </c:numCache>
            </c:numRef>
          </c:cat>
          <c:val>
            <c:numRef>
              <c:f>Sheet1!$C$2:$C$18</c:f>
              <c:numCache>
                <c:formatCode>0.00%</c:formatCode>
                <c:ptCount val="17"/>
                <c:pt idx="0">
                  <c:v>2.7E-2</c:v>
                </c:pt>
                <c:pt idx="1">
                  <c:v>3.3000000000000002E-2</c:v>
                </c:pt>
                <c:pt idx="2">
                  <c:v>0.04</c:v>
                </c:pt>
                <c:pt idx="3">
                  <c:v>4.4999999999999998E-2</c:v>
                </c:pt>
                <c:pt idx="4">
                  <c:v>3.6999999999999998E-2</c:v>
                </c:pt>
                <c:pt idx="5">
                  <c:v>3.5000000000000003E-2</c:v>
                </c:pt>
                <c:pt idx="6">
                  <c:v>3.6999999999999998E-2</c:v>
                </c:pt>
                <c:pt idx="7">
                  <c:v>0.04</c:v>
                </c:pt>
                <c:pt idx="8">
                  <c:v>4.8000000000000001E-2</c:v>
                </c:pt>
                <c:pt idx="9">
                  <c:v>6.9000000000000006E-2</c:v>
                </c:pt>
                <c:pt idx="10">
                  <c:v>6.2E-2</c:v>
                </c:pt>
                <c:pt idx="11">
                  <c:v>6.4000000000000001E-2</c:v>
                </c:pt>
                <c:pt idx="12">
                  <c:v>0.05</c:v>
                </c:pt>
                <c:pt idx="13">
                  <c:v>4.3999999999999997E-2</c:v>
                </c:pt>
                <c:pt idx="14">
                  <c:v>4.1000000000000002E-2</c:v>
                </c:pt>
                <c:pt idx="15">
                  <c:v>3.5999999999999997E-2</c:v>
                </c:pt>
                <c:pt idx="16">
                  <c:v>3.2000000000000001E-2</c:v>
                </c:pt>
              </c:numCache>
            </c:numRef>
          </c:val>
          <c:smooth val="0"/>
          <c:extLst xmlns:c16r2="http://schemas.microsoft.com/office/drawing/2015/06/chart">
            <c:ext xmlns:c16="http://schemas.microsoft.com/office/drawing/2014/chart" uri="{C3380CC4-5D6E-409C-BE32-E72D297353CC}">
              <c16:uniqueId val="{00000001-383D-46BB-A08F-A59BEA27B286}"/>
            </c:ext>
          </c:extLst>
        </c:ser>
        <c:ser>
          <c:idx val="2"/>
          <c:order val="2"/>
          <c:tx>
            <c:strRef>
              <c:f>Sheet1!$D$1</c:f>
              <c:strCache>
                <c:ptCount val="1"/>
                <c:pt idx="0">
                  <c:v>U.S.</c:v>
                </c:pt>
              </c:strCache>
            </c:strRef>
          </c:tx>
          <c:marker>
            <c:symbol val="none"/>
          </c:marker>
          <c:cat>
            <c:numRef>
              <c:f>Sheet1!$A$2:$A$18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formatCode="0">
                  <c:v>2012</c:v>
                </c:pt>
                <c:pt idx="13" formatCode="0">
                  <c:v>2013</c:v>
                </c:pt>
                <c:pt idx="14">
                  <c:v>2014</c:v>
                </c:pt>
                <c:pt idx="15">
                  <c:v>2015</c:v>
                </c:pt>
                <c:pt idx="16">
                  <c:v>2016</c:v>
                </c:pt>
              </c:numCache>
            </c:numRef>
          </c:cat>
          <c:val>
            <c:numRef>
              <c:f>Sheet1!$D$2:$D$18</c:f>
              <c:numCache>
                <c:formatCode>0.00%</c:formatCode>
                <c:ptCount val="17"/>
                <c:pt idx="0">
                  <c:v>0.04</c:v>
                </c:pt>
                <c:pt idx="1">
                  <c:v>4.7E-2</c:v>
                </c:pt>
                <c:pt idx="2">
                  <c:v>5.8000000000000003E-2</c:v>
                </c:pt>
                <c:pt idx="3">
                  <c:v>0.06</c:v>
                </c:pt>
                <c:pt idx="4">
                  <c:v>5.5E-2</c:v>
                </c:pt>
                <c:pt idx="5">
                  <c:v>5.0999999999999997E-2</c:v>
                </c:pt>
                <c:pt idx="6">
                  <c:v>4.5999999999999999E-2</c:v>
                </c:pt>
                <c:pt idx="7">
                  <c:v>4.5999999999999999E-2</c:v>
                </c:pt>
                <c:pt idx="8">
                  <c:v>5.8000000000000003E-2</c:v>
                </c:pt>
                <c:pt idx="9">
                  <c:v>9.2999999999999999E-2</c:v>
                </c:pt>
                <c:pt idx="10">
                  <c:v>9.6000000000000002E-2</c:v>
                </c:pt>
                <c:pt idx="11">
                  <c:v>0.09</c:v>
                </c:pt>
                <c:pt idx="12">
                  <c:v>8.1000000000000003E-2</c:v>
                </c:pt>
                <c:pt idx="13">
                  <c:v>7.3999999999999996E-2</c:v>
                </c:pt>
                <c:pt idx="14">
                  <c:v>6.2E-2</c:v>
                </c:pt>
                <c:pt idx="15">
                  <c:v>5.6000000000000001E-2</c:v>
                </c:pt>
                <c:pt idx="16">
                  <c:v>4.9000000000000002E-2</c:v>
                </c:pt>
              </c:numCache>
            </c:numRef>
          </c:val>
          <c:smooth val="0"/>
          <c:extLst xmlns:c16r2="http://schemas.microsoft.com/office/drawing/2015/06/chart">
            <c:ext xmlns:c16="http://schemas.microsoft.com/office/drawing/2014/chart" uri="{C3380CC4-5D6E-409C-BE32-E72D297353CC}">
              <c16:uniqueId val="{00000002-383D-46BB-A08F-A59BEA27B286}"/>
            </c:ext>
          </c:extLst>
        </c:ser>
        <c:dLbls>
          <c:showLegendKey val="0"/>
          <c:showVal val="0"/>
          <c:showCatName val="0"/>
          <c:showSerName val="0"/>
          <c:showPercent val="0"/>
          <c:showBubbleSize val="0"/>
        </c:dLbls>
        <c:smooth val="0"/>
        <c:axId val="193087128"/>
        <c:axId val="193087520"/>
      </c:lineChart>
      <c:catAx>
        <c:axId val="193087128"/>
        <c:scaling>
          <c:orientation val="minMax"/>
        </c:scaling>
        <c:delete val="0"/>
        <c:axPos val="b"/>
        <c:numFmt formatCode="General" sourceLinked="1"/>
        <c:majorTickMark val="out"/>
        <c:minorTickMark val="none"/>
        <c:tickLblPos val="nextTo"/>
        <c:txPr>
          <a:bodyPr/>
          <a:lstStyle/>
          <a:p>
            <a:pPr>
              <a:defRPr sz="800"/>
            </a:pPr>
            <a:endParaRPr lang="en-US"/>
          </a:p>
        </c:txPr>
        <c:crossAx val="193087520"/>
        <c:crosses val="autoZero"/>
        <c:auto val="1"/>
        <c:lblAlgn val="ctr"/>
        <c:lblOffset val="100"/>
        <c:noMultiLvlLbl val="0"/>
      </c:catAx>
      <c:valAx>
        <c:axId val="193087520"/>
        <c:scaling>
          <c:orientation val="minMax"/>
        </c:scaling>
        <c:delete val="0"/>
        <c:axPos val="l"/>
        <c:majorGridlines/>
        <c:numFmt formatCode="0.00%" sourceLinked="1"/>
        <c:majorTickMark val="out"/>
        <c:minorTickMark val="none"/>
        <c:tickLblPos val="nextTo"/>
        <c:crossAx val="193087128"/>
        <c:crosses val="autoZero"/>
        <c:crossBetween val="between"/>
      </c:valAx>
    </c:plotArea>
    <c:legend>
      <c:legendPos val="r"/>
      <c:layout>
        <c:manualLayout>
          <c:xMode val="edge"/>
          <c:yMode val="edge"/>
          <c:x val="0.76810235390755299"/>
          <c:y val="0.13988608099380201"/>
          <c:w val="0.18325003895061101"/>
          <c:h val="0.19549095552245199"/>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0"/>
            </a:pPr>
            <a:r>
              <a:rPr lang="en-US" sz="1200" b="0"/>
              <a:t>Job Growth Trends, 2002-2016</a:t>
            </a:r>
          </a:p>
        </c:rich>
      </c:tx>
      <c:layout>
        <c:manualLayout>
          <c:xMode val="edge"/>
          <c:yMode val="edge"/>
          <c:x val="0.34170401776700998"/>
          <c:y val="4.3276661514683103E-2"/>
        </c:manualLayout>
      </c:layout>
      <c:overlay val="0"/>
    </c:title>
    <c:autoTitleDeleted val="0"/>
    <c:plotArea>
      <c:layout>
        <c:manualLayout>
          <c:layoutTarget val="inner"/>
          <c:xMode val="edge"/>
          <c:yMode val="edge"/>
          <c:x val="8.2587320815667303E-2"/>
          <c:y val="0.34442697367620401"/>
          <c:w val="0.89390840568005903"/>
          <c:h val="0.51600335893098404"/>
        </c:manualLayout>
      </c:layout>
      <c:lineChart>
        <c:grouping val="standard"/>
        <c:varyColors val="0"/>
        <c:ser>
          <c:idx val="0"/>
          <c:order val="0"/>
          <c:tx>
            <c:strRef>
              <c:f>Sheet1!$C$30</c:f>
              <c:strCache>
                <c:ptCount val="1"/>
                <c:pt idx="0">
                  <c:v>Burlington Total Employment</c:v>
                </c:pt>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Sheet1!$C$34:$C$47</c:f>
              <c:numCache>
                <c:formatCode>0.0%</c:formatCode>
                <c:ptCount val="14"/>
                <c:pt idx="0">
                  <c:v>1.26650755767701E-2</c:v>
                </c:pt>
                <c:pt idx="1">
                  <c:v>2.3756402601891699E-2</c:v>
                </c:pt>
                <c:pt idx="2">
                  <c:v>-2.4862641578931202E-3</c:v>
                </c:pt>
                <c:pt idx="3">
                  <c:v>-2.6155455720352E-3</c:v>
                </c:pt>
                <c:pt idx="4">
                  <c:v>2.3879307685187999E-2</c:v>
                </c:pt>
                <c:pt idx="5">
                  <c:v>-5.8757947389037899E-3</c:v>
                </c:pt>
                <c:pt idx="6">
                  <c:v>-2.23690591658584E-2</c:v>
                </c:pt>
                <c:pt idx="7">
                  <c:v>3.2864140881751101E-3</c:v>
                </c:pt>
                <c:pt idx="8">
                  <c:v>1.88504326328801E-3</c:v>
                </c:pt>
                <c:pt idx="9">
                  <c:v>2.3904259584836999E-2</c:v>
                </c:pt>
                <c:pt idx="10">
                  <c:v>1.15676587540668E-2</c:v>
                </c:pt>
                <c:pt idx="11">
                  <c:v>1.84633710541989E-3</c:v>
                </c:pt>
                <c:pt idx="12">
                  <c:v>2.2858331847095899E-2</c:v>
                </c:pt>
                <c:pt idx="13">
                  <c:v>3.3506727499927301E-2</c:v>
                </c:pt>
              </c:numCache>
            </c:numRef>
          </c:val>
          <c:smooth val="0"/>
          <c:extLst xmlns:c16r2="http://schemas.microsoft.com/office/drawing/2015/06/chart">
            <c:ext xmlns:c16="http://schemas.microsoft.com/office/drawing/2014/chart" uri="{C3380CC4-5D6E-409C-BE32-E72D297353CC}">
              <c16:uniqueId val="{00000000-6FD0-476E-B1BA-8F626AAD8F19}"/>
            </c:ext>
          </c:extLst>
        </c:ser>
        <c:ser>
          <c:idx val="1"/>
          <c:order val="1"/>
          <c:tx>
            <c:strRef>
              <c:f>Sheet1!$D$30</c:f>
              <c:strCache>
                <c:ptCount val="1"/>
                <c:pt idx="0">
                  <c:v>LMA Total Employment</c:v>
                </c:pt>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Sheet1!$D$34:$D$47</c:f>
              <c:numCache>
                <c:formatCode>0.0%</c:formatCode>
                <c:ptCount val="14"/>
                <c:pt idx="0">
                  <c:v>-4.2697142857142899E-3</c:v>
                </c:pt>
                <c:pt idx="1">
                  <c:v>1.43331986630918E-2</c:v>
                </c:pt>
                <c:pt idx="2">
                  <c:v>1.9824566167884199E-3</c:v>
                </c:pt>
                <c:pt idx="3">
                  <c:v>2.1592223185891899E-3</c:v>
                </c:pt>
                <c:pt idx="4">
                  <c:v>5.2737385848350702E-3</c:v>
                </c:pt>
                <c:pt idx="5">
                  <c:v>-1.7038525001793499E-4</c:v>
                </c:pt>
                <c:pt idx="6">
                  <c:v>-2.8728260967056201E-2</c:v>
                </c:pt>
                <c:pt idx="7">
                  <c:v>1.1626188937113299E-2</c:v>
                </c:pt>
                <c:pt idx="8">
                  <c:v>3.6148207651370598E-2</c:v>
                </c:pt>
                <c:pt idx="9">
                  <c:v>2.7407518346562802E-2</c:v>
                </c:pt>
                <c:pt idx="10">
                  <c:v>1.08471960212656E-2</c:v>
                </c:pt>
                <c:pt idx="11">
                  <c:v>8.9069856215803506E-3</c:v>
                </c:pt>
                <c:pt idx="12">
                  <c:v>1.5352923865977201E-2</c:v>
                </c:pt>
                <c:pt idx="13">
                  <c:v>8.2890999577678193E-3</c:v>
                </c:pt>
              </c:numCache>
            </c:numRef>
          </c:val>
          <c:smooth val="0"/>
          <c:extLst xmlns:c16r2="http://schemas.microsoft.com/office/drawing/2015/06/chart">
            <c:ext xmlns:c16="http://schemas.microsoft.com/office/drawing/2014/chart" uri="{C3380CC4-5D6E-409C-BE32-E72D297353CC}">
              <c16:uniqueId val="{00000001-6FD0-476E-B1BA-8F626AAD8F19}"/>
            </c:ext>
          </c:extLst>
        </c:ser>
        <c:ser>
          <c:idx val="2"/>
          <c:order val="2"/>
          <c:tx>
            <c:strRef>
              <c:f>Sheet1!$E$30</c:f>
              <c:strCache>
                <c:ptCount val="1"/>
                <c:pt idx="0">
                  <c:v>VT Total Employment</c:v>
                </c:pt>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Sheet1!$E$34:$E$47</c:f>
              <c:numCache>
                <c:formatCode>0.0%</c:formatCode>
                <c:ptCount val="14"/>
                <c:pt idx="0">
                  <c:v>-3.9093835359104798E-3</c:v>
                </c:pt>
                <c:pt idx="1">
                  <c:v>1.42819279073561E-2</c:v>
                </c:pt>
                <c:pt idx="2">
                  <c:v>8.2079526685896707E-3</c:v>
                </c:pt>
                <c:pt idx="3">
                  <c:v>6.7388624348294198E-3</c:v>
                </c:pt>
                <c:pt idx="4">
                  <c:v>1.54801316306289E-3</c:v>
                </c:pt>
                <c:pt idx="5">
                  <c:v>-2.8473691495461998E-3</c:v>
                </c:pt>
                <c:pt idx="6">
                  <c:v>-3.3723981571450297E-2</c:v>
                </c:pt>
                <c:pt idx="7">
                  <c:v>2.1582241680062901E-3</c:v>
                </c:pt>
                <c:pt idx="8">
                  <c:v>8.6654994351555107E-3</c:v>
                </c:pt>
                <c:pt idx="9">
                  <c:v>1.3500710563713899E-2</c:v>
                </c:pt>
                <c:pt idx="10">
                  <c:v>6.9575668547390904E-3</c:v>
                </c:pt>
                <c:pt idx="11">
                  <c:v>9.7475581372217495E-3</c:v>
                </c:pt>
                <c:pt idx="12">
                  <c:v>8.4057342868588195E-3</c:v>
                </c:pt>
                <c:pt idx="13">
                  <c:v>-9.5729924392896502E-4</c:v>
                </c:pt>
              </c:numCache>
            </c:numRef>
          </c:val>
          <c:smooth val="0"/>
          <c:extLst xmlns:c16r2="http://schemas.microsoft.com/office/drawing/2015/06/chart">
            <c:ext xmlns:c16="http://schemas.microsoft.com/office/drawing/2014/chart" uri="{C3380CC4-5D6E-409C-BE32-E72D297353CC}">
              <c16:uniqueId val="{00000002-6FD0-476E-B1BA-8F626AAD8F19}"/>
            </c:ext>
          </c:extLst>
        </c:ser>
        <c:ser>
          <c:idx val="3"/>
          <c:order val="3"/>
          <c:tx>
            <c:strRef>
              <c:f>Sheet1!$F$30</c:f>
              <c:strCache>
                <c:ptCount val="1"/>
                <c:pt idx="0">
                  <c:v>U.S. Total Employment</c:v>
                </c:pt>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Sheet1!$F$34:$F$47</c:f>
              <c:numCache>
                <c:formatCode>0.0%</c:formatCode>
                <c:ptCount val="14"/>
                <c:pt idx="0">
                  <c:v>-3.41635039634092E-3</c:v>
                </c:pt>
                <c:pt idx="1">
                  <c:v>1.1599353709726401E-2</c:v>
                </c:pt>
                <c:pt idx="2">
                  <c:v>1.7740403453712101E-2</c:v>
                </c:pt>
                <c:pt idx="3">
                  <c:v>1.7193760694127799E-2</c:v>
                </c:pt>
                <c:pt idx="4">
                  <c:v>1.1449063022434199E-2</c:v>
                </c:pt>
                <c:pt idx="5">
                  <c:v>-4.1402313811110198E-3</c:v>
                </c:pt>
                <c:pt idx="6">
                  <c:v>-4.5975940817143297E-2</c:v>
                </c:pt>
                <c:pt idx="7">
                  <c:v>1.6361039632404401E-2</c:v>
                </c:pt>
                <c:pt idx="8">
                  <c:v>-9.9526822326947793E-3</c:v>
                </c:pt>
                <c:pt idx="9">
                  <c:v>1.7571109549249099E-2</c:v>
                </c:pt>
                <c:pt idx="10">
                  <c:v>1.73404235583135E-2</c:v>
                </c:pt>
                <c:pt idx="11">
                  <c:v>1.9744763158163099E-2</c:v>
                </c:pt>
                <c:pt idx="12">
                  <c:v>2.1041688460188501E-2</c:v>
                </c:pt>
                <c:pt idx="13">
                  <c:v>3.8138067459331099E-2</c:v>
                </c:pt>
              </c:numCache>
            </c:numRef>
          </c:val>
          <c:smooth val="0"/>
          <c:extLst xmlns:c16r2="http://schemas.microsoft.com/office/drawing/2015/06/chart">
            <c:ext xmlns:c16="http://schemas.microsoft.com/office/drawing/2014/chart" uri="{C3380CC4-5D6E-409C-BE32-E72D297353CC}">
              <c16:uniqueId val="{00000003-6FD0-476E-B1BA-8F626AAD8F19}"/>
            </c:ext>
          </c:extLst>
        </c:ser>
        <c:ser>
          <c:idx val="4"/>
          <c:order val="4"/>
          <c:tx>
            <c:strRef>
              <c:f>Sheet1!$G$30</c:f>
              <c:strCache>
                <c:ptCount val="1"/>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Sheet1!$G$34:$G$47</c:f>
              <c:numCache>
                <c:formatCode>General</c:formatCode>
                <c:ptCount val="14"/>
              </c:numCache>
            </c:numRef>
          </c:val>
          <c:smooth val="0"/>
          <c:extLst xmlns:c16r2="http://schemas.microsoft.com/office/drawing/2015/06/chart">
            <c:ext xmlns:c16="http://schemas.microsoft.com/office/drawing/2014/chart" uri="{C3380CC4-5D6E-409C-BE32-E72D297353CC}">
              <c16:uniqueId val="{00000004-6FD0-476E-B1BA-8F626AAD8F19}"/>
            </c:ext>
          </c:extLst>
        </c:ser>
        <c:ser>
          <c:idx val="5"/>
          <c:order val="5"/>
          <c:tx>
            <c:strRef>
              <c:f>Sheet1!$H$30</c:f>
              <c:strCache>
                <c:ptCount val="1"/>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Sheet1!$H$34:$H$47</c:f>
              <c:numCache>
                <c:formatCode>General</c:formatCode>
                <c:ptCount val="14"/>
              </c:numCache>
            </c:numRef>
          </c:val>
          <c:smooth val="0"/>
          <c:extLst xmlns:c16r2="http://schemas.microsoft.com/office/drawing/2015/06/chart">
            <c:ext xmlns:c16="http://schemas.microsoft.com/office/drawing/2014/chart" uri="{C3380CC4-5D6E-409C-BE32-E72D297353CC}">
              <c16:uniqueId val="{00000005-6FD0-476E-B1BA-8F626AAD8F19}"/>
            </c:ext>
          </c:extLst>
        </c:ser>
        <c:ser>
          <c:idx val="6"/>
          <c:order val="6"/>
          <c:tx>
            <c:strRef>
              <c:f>Sheet1!$I$30</c:f>
              <c:strCache>
                <c:ptCount val="1"/>
                <c:pt idx="0">
                  <c:v>Burlington Private Sector Employ't</c:v>
                </c:pt>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Sheet1!$I$34:$I$47</c:f>
              <c:numCache>
                <c:formatCode>0.0%</c:formatCode>
                <c:ptCount val="14"/>
                <c:pt idx="0">
                  <c:v>5.9298972421916304E-3</c:v>
                </c:pt>
                <c:pt idx="1">
                  <c:v>1.37279444422013E-2</c:v>
                </c:pt>
                <c:pt idx="2">
                  <c:v>-1.33827219500538E-2</c:v>
                </c:pt>
                <c:pt idx="3">
                  <c:v>2.4625570223244901E-3</c:v>
                </c:pt>
                <c:pt idx="4">
                  <c:v>1.7557989690721702E-2</c:v>
                </c:pt>
                <c:pt idx="5">
                  <c:v>-9.2211492797213898E-3</c:v>
                </c:pt>
                <c:pt idx="6">
                  <c:v>-3.53904533652886E-2</c:v>
                </c:pt>
                <c:pt idx="7">
                  <c:v>4.8863306969232703E-3</c:v>
                </c:pt>
                <c:pt idx="8">
                  <c:v>2.1428277084106001E-3</c:v>
                </c:pt>
                <c:pt idx="9">
                  <c:v>3.1950326904889199E-2</c:v>
                </c:pt>
                <c:pt idx="10">
                  <c:v>1.3627669748167001E-2</c:v>
                </c:pt>
                <c:pt idx="11">
                  <c:v>1.1872002515921101E-2</c:v>
                </c:pt>
                <c:pt idx="12">
                  <c:v>2.7272727272727299E-2</c:v>
                </c:pt>
                <c:pt idx="13">
                  <c:v>4.67059980334317E-2</c:v>
                </c:pt>
              </c:numCache>
            </c:numRef>
          </c:val>
          <c:smooth val="0"/>
          <c:extLst xmlns:c16r2="http://schemas.microsoft.com/office/drawing/2015/06/chart">
            <c:ext xmlns:c16="http://schemas.microsoft.com/office/drawing/2014/chart" uri="{C3380CC4-5D6E-409C-BE32-E72D297353CC}">
              <c16:uniqueId val="{00000006-6FD0-476E-B1BA-8F626AAD8F19}"/>
            </c:ext>
          </c:extLst>
        </c:ser>
        <c:ser>
          <c:idx val="7"/>
          <c:order val="7"/>
          <c:tx>
            <c:strRef>
              <c:f>Sheet1!$J$30</c:f>
              <c:strCache>
                <c:ptCount val="1"/>
                <c:pt idx="0">
                  <c:v>LMA Private Sector Employ't</c:v>
                </c:pt>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Sheet1!$J$34:$J$47</c:f>
              <c:numCache>
                <c:formatCode>0.0%</c:formatCode>
                <c:ptCount val="14"/>
                <c:pt idx="0">
                  <c:v>-1.1427218731169799E-2</c:v>
                </c:pt>
                <c:pt idx="1">
                  <c:v>1.22341467662233E-2</c:v>
                </c:pt>
                <c:pt idx="2">
                  <c:v>-1.00002150583884E-3</c:v>
                </c:pt>
                <c:pt idx="3">
                  <c:v>9.5796781658683602E-4</c:v>
                </c:pt>
                <c:pt idx="4">
                  <c:v>3.8819708798417101E-3</c:v>
                </c:pt>
                <c:pt idx="5">
                  <c:v>-2.7957795511756199E-3</c:v>
                </c:pt>
                <c:pt idx="6">
                  <c:v>-3.8305368767052698E-2</c:v>
                </c:pt>
                <c:pt idx="7">
                  <c:v>1.3515324814583099E-2</c:v>
                </c:pt>
                <c:pt idx="8">
                  <c:v>3.6467632083581301E-2</c:v>
                </c:pt>
                <c:pt idx="9">
                  <c:v>2.4275096494305998E-2</c:v>
                </c:pt>
                <c:pt idx="10">
                  <c:v>9.5712654417107797E-3</c:v>
                </c:pt>
                <c:pt idx="11">
                  <c:v>9.4805248221116294E-3</c:v>
                </c:pt>
                <c:pt idx="12">
                  <c:v>1.5594760323507199E-2</c:v>
                </c:pt>
                <c:pt idx="13">
                  <c:v>1.0470889122912601E-2</c:v>
                </c:pt>
              </c:numCache>
            </c:numRef>
          </c:val>
          <c:smooth val="0"/>
          <c:extLst xmlns:c16r2="http://schemas.microsoft.com/office/drawing/2015/06/chart">
            <c:ext xmlns:c16="http://schemas.microsoft.com/office/drawing/2014/chart" uri="{C3380CC4-5D6E-409C-BE32-E72D297353CC}">
              <c16:uniqueId val="{00000007-6FD0-476E-B1BA-8F626AAD8F19}"/>
            </c:ext>
          </c:extLst>
        </c:ser>
        <c:ser>
          <c:idx val="8"/>
          <c:order val="8"/>
          <c:tx>
            <c:strRef>
              <c:f>Sheet1!$K$30</c:f>
              <c:strCache>
                <c:ptCount val="1"/>
                <c:pt idx="0">
                  <c:v>VT Private Sector Employment</c:v>
                </c:pt>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Sheet1!$K$34:$K$47</c:f>
              <c:numCache>
                <c:formatCode>0.0%</c:formatCode>
                <c:ptCount val="14"/>
                <c:pt idx="0">
                  <c:v>-8.0964762480377397E-3</c:v>
                </c:pt>
                <c:pt idx="1">
                  <c:v>1.45707497208943E-2</c:v>
                </c:pt>
                <c:pt idx="2">
                  <c:v>6.8441800285375699E-3</c:v>
                </c:pt>
                <c:pt idx="3">
                  <c:v>6.3572892646682E-3</c:v>
                </c:pt>
                <c:pt idx="4">
                  <c:v>6.12618346726072E-4</c:v>
                </c:pt>
                <c:pt idx="5">
                  <c:v>-5.3153847988741103E-3</c:v>
                </c:pt>
                <c:pt idx="6">
                  <c:v>-4.1719125329240603E-2</c:v>
                </c:pt>
                <c:pt idx="7">
                  <c:v>1.8935681246585101E-3</c:v>
                </c:pt>
                <c:pt idx="8">
                  <c:v>1.25055679750888E-2</c:v>
                </c:pt>
                <c:pt idx="9">
                  <c:v>1.5952832244456601E-2</c:v>
                </c:pt>
                <c:pt idx="10">
                  <c:v>7.6771470313277803E-3</c:v>
                </c:pt>
                <c:pt idx="11">
                  <c:v>1.0176952055069599E-2</c:v>
                </c:pt>
                <c:pt idx="12">
                  <c:v>1.03089914442925E-2</c:v>
                </c:pt>
                <c:pt idx="13">
                  <c:v>-6.4772293513719898E-3</c:v>
                </c:pt>
              </c:numCache>
            </c:numRef>
          </c:val>
          <c:smooth val="0"/>
          <c:extLst xmlns:c16r2="http://schemas.microsoft.com/office/drawing/2015/06/chart">
            <c:ext xmlns:c16="http://schemas.microsoft.com/office/drawing/2014/chart" uri="{C3380CC4-5D6E-409C-BE32-E72D297353CC}">
              <c16:uniqueId val="{00000008-6FD0-476E-B1BA-8F626AAD8F19}"/>
            </c:ext>
          </c:extLst>
        </c:ser>
        <c:ser>
          <c:idx val="9"/>
          <c:order val="9"/>
          <c:tx>
            <c:strRef>
              <c:f>Sheet1!$L$30</c:f>
              <c:strCache>
                <c:ptCount val="1"/>
                <c:pt idx="0">
                  <c:v>U.S. Private Sector Employment</c:v>
                </c:pt>
              </c:strCache>
            </c:strRef>
          </c:tx>
          <c:cat>
            <c:strRef>
              <c:f>Sheet1!$B$34:$B$47</c:f>
              <c:strCache>
                <c:ptCount val="14"/>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strCache>
            </c:strRef>
          </c:cat>
          <c:val>
            <c:numRef>
              <c:f>Sheet1!$L$34:$L$47</c:f>
              <c:numCache>
                <c:formatCode>0.0%</c:formatCode>
                <c:ptCount val="14"/>
                <c:pt idx="0">
                  <c:v>-4.7568408054484996E-3</c:v>
                </c:pt>
                <c:pt idx="1">
                  <c:v>1.33050543343292E-2</c:v>
                </c:pt>
                <c:pt idx="2">
                  <c:v>1.9549716192448399E-2</c:v>
                </c:pt>
                <c:pt idx="3">
                  <c:v>1.9056347877683399E-2</c:v>
                </c:pt>
                <c:pt idx="4">
                  <c:v>1.1474237966463401E-2</c:v>
                </c:pt>
                <c:pt idx="5">
                  <c:v>-7.2235940390986703E-3</c:v>
                </c:pt>
                <c:pt idx="6">
                  <c:v>-5.5142802621990998E-2</c:v>
                </c:pt>
                <c:pt idx="7">
                  <c:v>1.0667853147290501E-2</c:v>
                </c:pt>
                <c:pt idx="8">
                  <c:v>1.0793705129154001E-2</c:v>
                </c:pt>
                <c:pt idx="9">
                  <c:v>1.2618472052499E-2</c:v>
                </c:pt>
                <c:pt idx="10">
                  <c:v>2.10157074140166E-2</c:v>
                </c:pt>
                <c:pt idx="11">
                  <c:v>2.3108981051367099E-2</c:v>
                </c:pt>
                <c:pt idx="12">
                  <c:v>2.3647504307524998E-2</c:v>
                </c:pt>
                <c:pt idx="13">
                  <c:v>3.6266653272651897E-2</c:v>
                </c:pt>
              </c:numCache>
            </c:numRef>
          </c:val>
          <c:smooth val="0"/>
          <c:extLst xmlns:c16r2="http://schemas.microsoft.com/office/drawing/2015/06/chart">
            <c:ext xmlns:c16="http://schemas.microsoft.com/office/drawing/2014/chart" uri="{C3380CC4-5D6E-409C-BE32-E72D297353CC}">
              <c16:uniqueId val="{00000009-6FD0-476E-B1BA-8F626AAD8F19}"/>
            </c:ext>
          </c:extLst>
        </c:ser>
        <c:dLbls>
          <c:showLegendKey val="0"/>
          <c:showVal val="0"/>
          <c:showCatName val="0"/>
          <c:showSerName val="0"/>
          <c:showPercent val="0"/>
          <c:showBubbleSize val="0"/>
        </c:dLbls>
        <c:marker val="1"/>
        <c:smooth val="0"/>
        <c:axId val="193474520"/>
        <c:axId val="193474912"/>
      </c:lineChart>
      <c:catAx>
        <c:axId val="193474520"/>
        <c:scaling>
          <c:orientation val="minMax"/>
        </c:scaling>
        <c:delete val="0"/>
        <c:axPos val="b"/>
        <c:numFmt formatCode="General" sourceLinked="0"/>
        <c:majorTickMark val="out"/>
        <c:minorTickMark val="none"/>
        <c:tickLblPos val="low"/>
        <c:crossAx val="193474912"/>
        <c:crosses val="autoZero"/>
        <c:auto val="1"/>
        <c:lblAlgn val="ctr"/>
        <c:lblOffset val="100"/>
        <c:noMultiLvlLbl val="0"/>
      </c:catAx>
      <c:valAx>
        <c:axId val="193474912"/>
        <c:scaling>
          <c:orientation val="minMax"/>
        </c:scaling>
        <c:delete val="0"/>
        <c:axPos val="l"/>
        <c:majorGridlines/>
        <c:numFmt formatCode="0.0%" sourceLinked="1"/>
        <c:majorTickMark val="out"/>
        <c:minorTickMark val="none"/>
        <c:tickLblPos val="nextTo"/>
        <c:crossAx val="193474520"/>
        <c:crosses val="autoZero"/>
        <c:crossBetween val="between"/>
      </c:valAx>
    </c:plotArea>
    <c:legend>
      <c:legendPos val="t"/>
      <c:layout>
        <c:manualLayout>
          <c:xMode val="edge"/>
          <c:yMode val="edge"/>
          <c:x val="7.1248065145702894E-2"/>
          <c:y val="0.13417322834645701"/>
          <c:w val="0.91305942526414996"/>
          <c:h val="0.19138969684430901"/>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pPr>
            <a:r>
              <a:rPr lang="en-US" sz="1200" b="0"/>
              <a:t>Burlington's</a:t>
            </a:r>
            <a:r>
              <a:rPr lang="en-US" sz="1200" b="0" baseline="0"/>
              <a:t> Central Business District</a:t>
            </a:r>
          </a:p>
        </c:rich>
      </c:tx>
      <c:layout>
        <c:manualLayout>
          <c:xMode val="edge"/>
          <c:yMode val="edge"/>
          <c:x val="0.27696259073143498"/>
          <c:y val="2.3918676499900302E-2"/>
        </c:manualLayout>
      </c:layout>
      <c:overlay val="0"/>
    </c:title>
    <c:autoTitleDeleted val="0"/>
    <c:plotArea>
      <c:layout>
        <c:manualLayout>
          <c:layoutTarget val="inner"/>
          <c:xMode val="edge"/>
          <c:yMode val="edge"/>
          <c:x val="9.0811538004985495E-2"/>
          <c:y val="0.138539045983813"/>
          <c:w val="0.88204117701367801"/>
          <c:h val="0.65918208798745703"/>
        </c:manualLayout>
      </c:layout>
      <c:lineChart>
        <c:grouping val="standard"/>
        <c:varyColors val="0"/>
        <c:ser>
          <c:idx val="0"/>
          <c:order val="0"/>
          <c:tx>
            <c:strRef>
              <c:f>'[Chart in Microsoft Word]Sheet2'!$B$2</c:f>
              <c:strCache>
                <c:ptCount val="1"/>
                <c:pt idx="0">
                  <c:v>Office Vacancy CBD</c:v>
                </c:pt>
              </c:strCache>
            </c:strRef>
          </c:tx>
          <c:marker>
            <c:symbol val="none"/>
          </c:marker>
          <c:cat>
            <c:strRef>
              <c:f>'[Chart in Microsoft Word]Sheet2'!$A$3:$A$31</c:f>
              <c:strCache>
                <c:ptCount val="17"/>
                <c:pt idx="0">
                  <c:v>Dec 2000</c:v>
                </c:pt>
                <c:pt idx="1">
                  <c:v>Dec 2001</c:v>
                </c:pt>
                <c:pt idx="2">
                  <c:v>Dec 2002</c:v>
                </c:pt>
                <c:pt idx="3">
                  <c:v>Dec 2003</c:v>
                </c:pt>
                <c:pt idx="4">
                  <c:v>Dec 2004</c:v>
                </c:pt>
                <c:pt idx="5">
                  <c:v>Dec 2005</c:v>
                </c:pt>
                <c:pt idx="6">
                  <c:v>Dec 2006</c:v>
                </c:pt>
                <c:pt idx="7">
                  <c:v>Dec 2007</c:v>
                </c:pt>
                <c:pt idx="8">
                  <c:v>Dec 2008</c:v>
                </c:pt>
                <c:pt idx="9">
                  <c:v>Dec 2009</c:v>
                </c:pt>
                <c:pt idx="10">
                  <c:v>Dec 2010</c:v>
                </c:pt>
                <c:pt idx="11">
                  <c:v>Dec 2011</c:v>
                </c:pt>
                <c:pt idx="12">
                  <c:v>Dec 2012</c:v>
                </c:pt>
                <c:pt idx="13">
                  <c:v>Dec 2013</c:v>
                </c:pt>
                <c:pt idx="14">
                  <c:v>Dec 2014</c:v>
                </c:pt>
                <c:pt idx="15">
                  <c:v>Dec 2015</c:v>
                </c:pt>
                <c:pt idx="16">
                  <c:v>Dec 2016</c:v>
                </c:pt>
              </c:strCache>
            </c:strRef>
          </c:cat>
          <c:val>
            <c:numRef>
              <c:f>'[Chart in Microsoft Word]Sheet2'!$B$3:$B$31</c:f>
              <c:numCache>
                <c:formatCode>0.0%</c:formatCode>
                <c:ptCount val="17"/>
                <c:pt idx="0">
                  <c:v>6.4000000000000001E-2</c:v>
                </c:pt>
                <c:pt idx="1">
                  <c:v>6.2E-2</c:v>
                </c:pt>
                <c:pt idx="2">
                  <c:v>5.7000000000000002E-2</c:v>
                </c:pt>
                <c:pt idx="3">
                  <c:v>0.05</c:v>
                </c:pt>
                <c:pt idx="4">
                  <c:v>5.8999999999999997E-2</c:v>
                </c:pt>
                <c:pt idx="5">
                  <c:v>6.7000000000000004E-2</c:v>
                </c:pt>
                <c:pt idx="6">
                  <c:v>3.9E-2</c:v>
                </c:pt>
                <c:pt idx="7">
                  <c:v>0.02</c:v>
                </c:pt>
                <c:pt idx="8">
                  <c:v>4.4999999999999998E-2</c:v>
                </c:pt>
                <c:pt idx="9">
                  <c:v>5.2999999999999999E-2</c:v>
                </c:pt>
                <c:pt idx="10">
                  <c:v>8.4000000000000005E-2</c:v>
                </c:pt>
                <c:pt idx="11">
                  <c:v>9.6000000000000002E-2</c:v>
                </c:pt>
                <c:pt idx="12">
                  <c:v>9.5000000000000001E-2</c:v>
                </c:pt>
                <c:pt idx="13">
                  <c:v>7.4999999999999997E-2</c:v>
                </c:pt>
                <c:pt idx="14">
                  <c:v>6.7000000000000004E-2</c:v>
                </c:pt>
                <c:pt idx="15">
                  <c:v>6.7000000000000004E-2</c:v>
                </c:pt>
                <c:pt idx="16">
                  <c:v>8.2000000000000003E-2</c:v>
                </c:pt>
              </c:numCache>
            </c:numRef>
          </c:val>
          <c:smooth val="0"/>
          <c:extLst xmlns:c16r2="http://schemas.microsoft.com/office/drawing/2015/06/chart">
            <c:ext xmlns:c16="http://schemas.microsoft.com/office/drawing/2014/chart" uri="{C3380CC4-5D6E-409C-BE32-E72D297353CC}">
              <c16:uniqueId val="{00000000-54A1-4EE1-9A21-96C43BFE01B1}"/>
            </c:ext>
          </c:extLst>
        </c:ser>
        <c:ser>
          <c:idx val="1"/>
          <c:order val="1"/>
          <c:tx>
            <c:strRef>
              <c:f>'[Chart in Microsoft Word]Sheet2'!$C$2</c:f>
              <c:strCache>
                <c:ptCount val="1"/>
                <c:pt idx="0">
                  <c:v>County</c:v>
                </c:pt>
              </c:strCache>
            </c:strRef>
          </c:tx>
          <c:cat>
            <c:strRef>
              <c:f>'[Chart in Microsoft Word]Sheet2'!$A$3:$A$31</c:f>
              <c:strCache>
                <c:ptCount val="17"/>
                <c:pt idx="0">
                  <c:v>Dec 2000</c:v>
                </c:pt>
                <c:pt idx="1">
                  <c:v>Dec 2001</c:v>
                </c:pt>
                <c:pt idx="2">
                  <c:v>Dec 2002</c:v>
                </c:pt>
                <c:pt idx="3">
                  <c:v>Dec 2003</c:v>
                </c:pt>
                <c:pt idx="4">
                  <c:v>Dec 2004</c:v>
                </c:pt>
                <c:pt idx="5">
                  <c:v>Dec 2005</c:v>
                </c:pt>
                <c:pt idx="6">
                  <c:v>Dec 2006</c:v>
                </c:pt>
                <c:pt idx="7">
                  <c:v>Dec 2007</c:v>
                </c:pt>
                <c:pt idx="8">
                  <c:v>Dec 2008</c:v>
                </c:pt>
                <c:pt idx="9">
                  <c:v>Dec 2009</c:v>
                </c:pt>
                <c:pt idx="10">
                  <c:v>Dec 2010</c:v>
                </c:pt>
                <c:pt idx="11">
                  <c:v>Dec 2011</c:v>
                </c:pt>
                <c:pt idx="12">
                  <c:v>Dec 2012</c:v>
                </c:pt>
                <c:pt idx="13">
                  <c:v>Dec 2013</c:v>
                </c:pt>
                <c:pt idx="14">
                  <c:v>Dec 2014</c:v>
                </c:pt>
                <c:pt idx="15">
                  <c:v>Dec 2015</c:v>
                </c:pt>
                <c:pt idx="16">
                  <c:v>Dec 2016</c:v>
                </c:pt>
              </c:strCache>
            </c:strRef>
          </c:cat>
          <c:val>
            <c:numRef>
              <c:f>'[Chart in Microsoft Word]Sheet2'!$C$3:$C$31</c:f>
            </c:numRef>
          </c:val>
          <c:smooth val="0"/>
          <c:extLst xmlns:c16r2="http://schemas.microsoft.com/office/drawing/2015/06/chart">
            <c:ext xmlns:c16="http://schemas.microsoft.com/office/drawing/2014/chart" uri="{C3380CC4-5D6E-409C-BE32-E72D297353CC}">
              <c16:uniqueId val="{00000001-54A1-4EE1-9A21-96C43BFE01B1}"/>
            </c:ext>
          </c:extLst>
        </c:ser>
        <c:ser>
          <c:idx val="2"/>
          <c:order val="2"/>
          <c:tx>
            <c:strRef>
              <c:f>'[Chart in Microsoft Word]Sheet2'!$D$2</c:f>
              <c:strCache>
                <c:ptCount val="1"/>
              </c:strCache>
            </c:strRef>
          </c:tx>
          <c:cat>
            <c:strRef>
              <c:f>'[Chart in Microsoft Word]Sheet2'!$A$3:$A$31</c:f>
              <c:strCache>
                <c:ptCount val="17"/>
                <c:pt idx="0">
                  <c:v>Dec 2000</c:v>
                </c:pt>
                <c:pt idx="1">
                  <c:v>Dec 2001</c:v>
                </c:pt>
                <c:pt idx="2">
                  <c:v>Dec 2002</c:v>
                </c:pt>
                <c:pt idx="3">
                  <c:v>Dec 2003</c:v>
                </c:pt>
                <c:pt idx="4">
                  <c:v>Dec 2004</c:v>
                </c:pt>
                <c:pt idx="5">
                  <c:v>Dec 2005</c:v>
                </c:pt>
                <c:pt idx="6">
                  <c:v>Dec 2006</c:v>
                </c:pt>
                <c:pt idx="7">
                  <c:v>Dec 2007</c:v>
                </c:pt>
                <c:pt idx="8">
                  <c:v>Dec 2008</c:v>
                </c:pt>
                <c:pt idx="9">
                  <c:v>Dec 2009</c:v>
                </c:pt>
                <c:pt idx="10">
                  <c:v>Dec 2010</c:v>
                </c:pt>
                <c:pt idx="11">
                  <c:v>Dec 2011</c:v>
                </c:pt>
                <c:pt idx="12">
                  <c:v>Dec 2012</c:v>
                </c:pt>
                <c:pt idx="13">
                  <c:v>Dec 2013</c:v>
                </c:pt>
                <c:pt idx="14">
                  <c:v>Dec 2014</c:v>
                </c:pt>
                <c:pt idx="15">
                  <c:v>Dec 2015</c:v>
                </c:pt>
                <c:pt idx="16">
                  <c:v>Dec 2016</c:v>
                </c:pt>
              </c:strCache>
            </c:strRef>
          </c:cat>
          <c:val>
            <c:numRef>
              <c:f>'[Chart in Microsoft Word]Sheet2'!$D$3:$D$31</c:f>
            </c:numRef>
          </c:val>
          <c:smooth val="0"/>
          <c:extLst xmlns:c16r2="http://schemas.microsoft.com/office/drawing/2015/06/chart">
            <c:ext xmlns:c16="http://schemas.microsoft.com/office/drawing/2014/chart" uri="{C3380CC4-5D6E-409C-BE32-E72D297353CC}">
              <c16:uniqueId val="{00000002-54A1-4EE1-9A21-96C43BFE01B1}"/>
            </c:ext>
          </c:extLst>
        </c:ser>
        <c:ser>
          <c:idx val="3"/>
          <c:order val="3"/>
          <c:tx>
            <c:strRef>
              <c:f>'[Chart in Microsoft Word]Sheet2'!$E$2</c:f>
              <c:strCache>
                <c:ptCount val="1"/>
                <c:pt idx="0">
                  <c:v>Retail Vacancy CBD</c:v>
                </c:pt>
              </c:strCache>
            </c:strRef>
          </c:tx>
          <c:marker>
            <c:symbol val="none"/>
          </c:marker>
          <c:cat>
            <c:strRef>
              <c:f>'[Chart in Microsoft Word]Sheet2'!$A$3:$A$31</c:f>
              <c:strCache>
                <c:ptCount val="17"/>
                <c:pt idx="0">
                  <c:v>Dec 2000</c:v>
                </c:pt>
                <c:pt idx="1">
                  <c:v>Dec 2001</c:v>
                </c:pt>
                <c:pt idx="2">
                  <c:v>Dec 2002</c:v>
                </c:pt>
                <c:pt idx="3">
                  <c:v>Dec 2003</c:v>
                </c:pt>
                <c:pt idx="4">
                  <c:v>Dec 2004</c:v>
                </c:pt>
                <c:pt idx="5">
                  <c:v>Dec 2005</c:v>
                </c:pt>
                <c:pt idx="6">
                  <c:v>Dec 2006</c:v>
                </c:pt>
                <c:pt idx="7">
                  <c:v>Dec 2007</c:v>
                </c:pt>
                <c:pt idx="8">
                  <c:v>Dec 2008</c:v>
                </c:pt>
                <c:pt idx="9">
                  <c:v>Dec 2009</c:v>
                </c:pt>
                <c:pt idx="10">
                  <c:v>Dec 2010</c:v>
                </c:pt>
                <c:pt idx="11">
                  <c:v>Dec 2011</c:v>
                </c:pt>
                <c:pt idx="12">
                  <c:v>Dec 2012</c:v>
                </c:pt>
                <c:pt idx="13">
                  <c:v>Dec 2013</c:v>
                </c:pt>
                <c:pt idx="14">
                  <c:v>Dec 2014</c:v>
                </c:pt>
                <c:pt idx="15">
                  <c:v>Dec 2015</c:v>
                </c:pt>
                <c:pt idx="16">
                  <c:v>Dec 2016</c:v>
                </c:pt>
              </c:strCache>
            </c:strRef>
          </c:cat>
          <c:val>
            <c:numRef>
              <c:f>'[Chart in Microsoft Word]Sheet2'!$E$3:$E$31</c:f>
              <c:numCache>
                <c:formatCode>0.0%</c:formatCode>
                <c:ptCount val="17"/>
                <c:pt idx="0">
                  <c:v>0.20899999999999999</c:v>
                </c:pt>
                <c:pt idx="1">
                  <c:v>7.4999999999999997E-2</c:v>
                </c:pt>
                <c:pt idx="2">
                  <c:v>4.5999999999999999E-2</c:v>
                </c:pt>
                <c:pt idx="3">
                  <c:v>5.6000000000000001E-2</c:v>
                </c:pt>
                <c:pt idx="4">
                  <c:v>0.06</c:v>
                </c:pt>
                <c:pt idx="5">
                  <c:v>5.7000000000000002E-2</c:v>
                </c:pt>
                <c:pt idx="6">
                  <c:v>4.4999999999999998E-2</c:v>
                </c:pt>
                <c:pt idx="7">
                  <c:v>4.5999999999999999E-2</c:v>
                </c:pt>
                <c:pt idx="8">
                  <c:v>7.8E-2</c:v>
                </c:pt>
                <c:pt idx="9">
                  <c:v>7.6999999999999999E-2</c:v>
                </c:pt>
                <c:pt idx="10">
                  <c:v>0.08</c:v>
                </c:pt>
                <c:pt idx="11">
                  <c:v>9.7000000000000003E-2</c:v>
                </c:pt>
                <c:pt idx="12">
                  <c:v>6.3E-2</c:v>
                </c:pt>
                <c:pt idx="13">
                  <c:v>5.6000000000000001E-2</c:v>
                </c:pt>
                <c:pt idx="14">
                  <c:v>0.10100000000000001</c:v>
                </c:pt>
                <c:pt idx="15">
                  <c:v>0.10299999999999999</c:v>
                </c:pt>
                <c:pt idx="16">
                  <c:v>0.109</c:v>
                </c:pt>
              </c:numCache>
            </c:numRef>
          </c:val>
          <c:smooth val="0"/>
          <c:extLst xmlns:c16r2="http://schemas.microsoft.com/office/drawing/2015/06/chart">
            <c:ext xmlns:c16="http://schemas.microsoft.com/office/drawing/2014/chart" uri="{C3380CC4-5D6E-409C-BE32-E72D297353CC}">
              <c16:uniqueId val="{00000003-54A1-4EE1-9A21-96C43BFE01B1}"/>
            </c:ext>
          </c:extLst>
        </c:ser>
        <c:ser>
          <c:idx val="4"/>
          <c:order val="4"/>
          <c:tx>
            <c:strRef>
              <c:f>'[Chart in Microsoft Word]Sheet2'!$F$2</c:f>
              <c:strCache>
                <c:ptCount val="1"/>
                <c:pt idx="0">
                  <c:v>Goal (maximum)</c:v>
                </c:pt>
              </c:strCache>
            </c:strRef>
          </c:tx>
          <c:marker>
            <c:symbol val="none"/>
          </c:marker>
          <c:cat>
            <c:strRef>
              <c:f>'[Chart in Microsoft Word]Sheet2'!$A$3:$A$31</c:f>
              <c:strCache>
                <c:ptCount val="17"/>
                <c:pt idx="0">
                  <c:v>Dec 2000</c:v>
                </c:pt>
                <c:pt idx="1">
                  <c:v>Dec 2001</c:v>
                </c:pt>
                <c:pt idx="2">
                  <c:v>Dec 2002</c:v>
                </c:pt>
                <c:pt idx="3">
                  <c:v>Dec 2003</c:v>
                </c:pt>
                <c:pt idx="4">
                  <c:v>Dec 2004</c:v>
                </c:pt>
                <c:pt idx="5">
                  <c:v>Dec 2005</c:v>
                </c:pt>
                <c:pt idx="6">
                  <c:v>Dec 2006</c:v>
                </c:pt>
                <c:pt idx="7">
                  <c:v>Dec 2007</c:v>
                </c:pt>
                <c:pt idx="8">
                  <c:v>Dec 2008</c:v>
                </c:pt>
                <c:pt idx="9">
                  <c:v>Dec 2009</c:v>
                </c:pt>
                <c:pt idx="10">
                  <c:v>Dec 2010</c:v>
                </c:pt>
                <c:pt idx="11">
                  <c:v>Dec 2011</c:v>
                </c:pt>
                <c:pt idx="12">
                  <c:v>Dec 2012</c:v>
                </c:pt>
                <c:pt idx="13">
                  <c:v>Dec 2013</c:v>
                </c:pt>
                <c:pt idx="14">
                  <c:v>Dec 2014</c:v>
                </c:pt>
                <c:pt idx="15">
                  <c:v>Dec 2015</c:v>
                </c:pt>
                <c:pt idx="16">
                  <c:v>Dec 2016</c:v>
                </c:pt>
              </c:strCache>
            </c:strRef>
          </c:cat>
          <c:val>
            <c:numRef>
              <c:f>'[Chart in Microsoft Word]Sheet2'!$F$3:$F$31</c:f>
              <c:numCache>
                <c:formatCode>0.0%</c:formatCode>
                <c:ptCount val="17"/>
                <c:pt idx="0">
                  <c:v>5.5E-2</c:v>
                </c:pt>
                <c:pt idx="1">
                  <c:v>5.5E-2</c:v>
                </c:pt>
                <c:pt idx="2">
                  <c:v>5.5E-2</c:v>
                </c:pt>
                <c:pt idx="3">
                  <c:v>5.5E-2</c:v>
                </c:pt>
                <c:pt idx="4">
                  <c:v>5.5E-2</c:v>
                </c:pt>
                <c:pt idx="5">
                  <c:v>5.5E-2</c:v>
                </c:pt>
                <c:pt idx="6">
                  <c:v>5.5E-2</c:v>
                </c:pt>
                <c:pt idx="7">
                  <c:v>5.5E-2</c:v>
                </c:pt>
                <c:pt idx="8">
                  <c:v>5.5E-2</c:v>
                </c:pt>
                <c:pt idx="9">
                  <c:v>5.5E-2</c:v>
                </c:pt>
                <c:pt idx="10">
                  <c:v>5.5E-2</c:v>
                </c:pt>
                <c:pt idx="11">
                  <c:v>5.5E-2</c:v>
                </c:pt>
                <c:pt idx="12">
                  <c:v>5.5E-2</c:v>
                </c:pt>
                <c:pt idx="13">
                  <c:v>5.5E-2</c:v>
                </c:pt>
                <c:pt idx="14">
                  <c:v>5.5E-2</c:v>
                </c:pt>
                <c:pt idx="15">
                  <c:v>5.5E-2</c:v>
                </c:pt>
                <c:pt idx="16">
                  <c:v>5.5E-2</c:v>
                </c:pt>
              </c:numCache>
            </c:numRef>
          </c:val>
          <c:smooth val="0"/>
          <c:extLst xmlns:c16r2="http://schemas.microsoft.com/office/drawing/2015/06/chart">
            <c:ext xmlns:c16="http://schemas.microsoft.com/office/drawing/2014/chart" uri="{C3380CC4-5D6E-409C-BE32-E72D297353CC}">
              <c16:uniqueId val="{00000004-54A1-4EE1-9A21-96C43BFE01B1}"/>
            </c:ext>
          </c:extLst>
        </c:ser>
        <c:dLbls>
          <c:showLegendKey val="0"/>
          <c:showVal val="0"/>
          <c:showCatName val="0"/>
          <c:showSerName val="0"/>
          <c:showPercent val="0"/>
          <c:showBubbleSize val="0"/>
        </c:dLbls>
        <c:smooth val="0"/>
        <c:axId val="193476480"/>
        <c:axId val="193476872"/>
      </c:lineChart>
      <c:catAx>
        <c:axId val="193476480"/>
        <c:scaling>
          <c:orientation val="minMax"/>
        </c:scaling>
        <c:delete val="0"/>
        <c:axPos val="b"/>
        <c:numFmt formatCode="General" sourceLinked="0"/>
        <c:majorTickMark val="out"/>
        <c:minorTickMark val="none"/>
        <c:tickLblPos val="nextTo"/>
        <c:crossAx val="193476872"/>
        <c:crosses val="autoZero"/>
        <c:auto val="1"/>
        <c:lblAlgn val="ctr"/>
        <c:lblOffset val="100"/>
        <c:noMultiLvlLbl val="0"/>
      </c:catAx>
      <c:valAx>
        <c:axId val="193476872"/>
        <c:scaling>
          <c:orientation val="minMax"/>
        </c:scaling>
        <c:delete val="0"/>
        <c:axPos val="l"/>
        <c:majorGridlines/>
        <c:numFmt formatCode="0.0%" sourceLinked="1"/>
        <c:majorTickMark val="out"/>
        <c:minorTickMark val="none"/>
        <c:tickLblPos val="nextTo"/>
        <c:crossAx val="193476480"/>
        <c:crosses val="autoZero"/>
        <c:crossBetween val="between"/>
      </c:valAx>
    </c:plotArea>
    <c:legend>
      <c:legendPos val="r"/>
      <c:layout>
        <c:manualLayout>
          <c:xMode val="edge"/>
          <c:yMode val="edge"/>
          <c:x val="0.72047973902759599"/>
          <c:y val="0.132053380710309"/>
          <c:w val="0.24378603428340301"/>
          <c:h val="0.21625967772565399"/>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0.91791</cdr:y>
    </cdr:from>
    <cdr:to>
      <cdr:x>0.36947</cdr:x>
      <cdr:y>1</cdr:y>
    </cdr:to>
    <cdr:sp macro="" textlink="">
      <cdr:nvSpPr>
        <cdr:cNvPr id="2" name="TextBox 1"/>
        <cdr:cNvSpPr txBox="1"/>
      </cdr:nvSpPr>
      <cdr:spPr>
        <a:xfrm xmlns:a="http://schemas.openxmlformats.org/drawingml/2006/main">
          <a:off x="0" y="2799649"/>
          <a:ext cx="3450770" cy="2503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Sources:</a:t>
          </a:r>
          <a:r>
            <a:rPr lang="en-US" sz="1100" baseline="0"/>
            <a:t> AFFH Table 2 and 2011-2015 ACS Table B11003</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0.10508</cdr:x>
      <cdr:y>0.06129</cdr:y>
    </cdr:from>
    <cdr:to>
      <cdr:x>0.68644</cdr:x>
      <cdr:y>0.23548</cdr:y>
    </cdr:to>
    <cdr:sp macro="" textlink="">
      <cdr:nvSpPr>
        <cdr:cNvPr id="2" name="TextBox 1"/>
        <cdr:cNvSpPr txBox="1"/>
      </cdr:nvSpPr>
      <cdr:spPr>
        <a:xfrm xmlns:a="http://schemas.openxmlformats.org/drawingml/2006/main">
          <a:off x="656167" y="201084"/>
          <a:ext cx="3630083" cy="571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0.19264</cdr:x>
      <cdr:y>0.07386</cdr:y>
    </cdr:from>
    <cdr:to>
      <cdr:x>0.88925</cdr:x>
      <cdr:y>0.15698</cdr:y>
    </cdr:to>
    <cdr:sp macro="" textlink="">
      <cdr:nvSpPr>
        <cdr:cNvPr id="3" name="TextBox 2"/>
        <cdr:cNvSpPr txBox="1"/>
      </cdr:nvSpPr>
      <cdr:spPr>
        <a:xfrm xmlns:a="http://schemas.openxmlformats.org/drawingml/2006/main">
          <a:off x="1017854" y="242001"/>
          <a:ext cx="3680772" cy="2723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t>Burlington Residential Foreclosures</a:t>
          </a:r>
          <a:endParaRPr lang="en-US" sz="1100" b="1"/>
        </a:p>
      </cdr:txBody>
    </cdr: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2006/documentManagement/types"/>
    <ds:schemaRef ds:uri="http://purl.org/dc/dcmitype/"/>
    <ds:schemaRef ds:uri="http://schemas.microsoft.com/office/infopath/2007/PartnerControls"/>
    <ds:schemaRef ds:uri="http://www.w3.org/XML/1998/namespace"/>
    <ds:schemaRef ds:uri="4873beb7-5857-4685-be1f-d57550cc96cc"/>
    <ds:schemaRef ds:uri="http://schemas.openxmlformats.org/package/2006/metadata/core-properties"/>
    <ds:schemaRef ds:uri="http://purl.org/dc/terms/"/>
    <ds:schemaRef ds:uri="http://purl.org/dc/elements/1.1/"/>
  </ds:schemaRefs>
</ds:datastoreItem>
</file>

<file path=customXml/itemProps4.xml><?xml version="1.0" encoding="utf-8"?>
<ds:datastoreItem xmlns:ds="http://schemas.openxmlformats.org/officeDocument/2006/customXml" ds:itemID="{830B5E62-3752-4F0B-BA45-2684B1E8C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15</TotalTime>
  <Pages>144</Pages>
  <Words>41985</Words>
  <Characters>239321</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Middleman, Michael</dc:creator>
  <cp:lastModifiedBy>Marcy Krumbine Esbjerg</cp:lastModifiedBy>
  <cp:revision>10</cp:revision>
  <cp:lastPrinted>2017-09-21T14:17:00Z</cp:lastPrinted>
  <dcterms:created xsi:type="dcterms:W3CDTF">2017-12-27T15:20:00Z</dcterms:created>
  <dcterms:modified xsi:type="dcterms:W3CDTF">2017-12-27T17:12:00Z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