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4A4C" w14:textId="77777777" w:rsidR="00626EF4" w:rsidRDefault="00626EF4" w:rsidP="00626EF4">
      <w:pPr>
        <w:pStyle w:val="Subheading"/>
      </w:pPr>
      <w:r>
        <w:rPr>
          <w:noProof/>
          <w14:textOutline w14:w="0" w14:cap="rnd" w14:cmpd="sng" w14:algn="ctr">
            <w14:noFill/>
            <w14:prstDash w14:val="solid"/>
            <w14:bevel/>
          </w14:textOutline>
        </w:rPr>
        <w:drawing>
          <wp:inline distT="0" distB="0" distL="0" distR="0" wp14:anchorId="1EDF986F" wp14:editId="3C66C42C">
            <wp:extent cx="2311200" cy="444859"/>
            <wp:effectExtent l="0" t="0" r="635"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2985" cy="450977"/>
                    </a:xfrm>
                    <a:prstGeom prst="rect">
                      <a:avLst/>
                    </a:prstGeom>
                  </pic:spPr>
                </pic:pic>
              </a:graphicData>
            </a:graphic>
          </wp:inline>
        </w:drawing>
      </w:r>
    </w:p>
    <w:p w14:paraId="25DD5D64" w14:textId="08C0D859" w:rsidR="00FF08B1" w:rsidRDefault="00FF08B1" w:rsidP="00626EF4">
      <w:pPr>
        <w:pStyle w:val="Subheading"/>
      </w:pPr>
      <w:r>
        <w:rPr>
          <w:noProof/>
          <w14:textOutline w14:w="0" w14:cap="rnd" w14:cmpd="sng" w14:algn="ctr">
            <w14:noFill/>
            <w14:prstDash w14:val="solid"/>
            <w14:bevel/>
          </w14:textOutline>
        </w:rPr>
        <w:drawing>
          <wp:anchor distT="0" distB="0" distL="114300" distR="114300" simplePos="0" relativeHeight="251658240" behindDoc="0" locked="0" layoutInCell="1" allowOverlap="1" wp14:anchorId="34F9D99E" wp14:editId="527B4ED3">
            <wp:simplePos x="0" y="0"/>
            <wp:positionH relativeFrom="column">
              <wp:posOffset>3175</wp:posOffset>
            </wp:positionH>
            <wp:positionV relativeFrom="paragraph">
              <wp:posOffset>834420</wp:posOffset>
            </wp:positionV>
            <wp:extent cx="6573520" cy="410337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l="15499" b="29665"/>
                    <a:stretch/>
                  </pic:blipFill>
                  <pic:spPr bwMode="auto">
                    <a:xfrm>
                      <a:off x="0" y="0"/>
                      <a:ext cx="6573520" cy="4103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6EF4">
        <w:t>www.carolinefundvt.org</w:t>
      </w:r>
    </w:p>
    <w:p w14:paraId="452E923C" w14:textId="77777777" w:rsidR="00FF08B1" w:rsidRDefault="00FF08B1">
      <w:pPr>
        <w:pStyle w:val="Title"/>
      </w:pPr>
    </w:p>
    <w:p w14:paraId="2405BDCC" w14:textId="7CEE679A" w:rsidR="00626EF4" w:rsidRPr="00626EF4" w:rsidRDefault="001F2696">
      <w:pPr>
        <w:pStyle w:val="Title"/>
        <w:rPr>
          <w:b/>
          <w:bCs/>
          <w:sz w:val="44"/>
          <w:szCs w:val="44"/>
        </w:rPr>
      </w:pPr>
      <w:r w:rsidRPr="001F2696">
        <w:rPr>
          <w:b/>
          <w:bCs/>
          <w:sz w:val="44"/>
          <w:szCs w:val="44"/>
        </w:rPr>
        <w:t xml:space="preserve">People’s Legal Services and Education Program </w:t>
      </w:r>
    </w:p>
    <w:p w14:paraId="3279886B" w14:textId="61096F1C" w:rsidR="00611042" w:rsidRDefault="00000000">
      <w:pPr>
        <w:pStyle w:val="Title"/>
        <w:rPr>
          <w:sz w:val="48"/>
          <w:szCs w:val="48"/>
        </w:rPr>
      </w:pPr>
      <w:r w:rsidRPr="00626EF4">
        <w:rPr>
          <w:sz w:val="48"/>
          <w:szCs w:val="48"/>
        </w:rPr>
        <w:t>Proposal</w:t>
      </w:r>
    </w:p>
    <w:p w14:paraId="73BE21A1" w14:textId="77777777" w:rsidR="00626EF4" w:rsidRPr="00626EF4" w:rsidRDefault="00626EF4" w:rsidP="00626EF4">
      <w:pPr>
        <w:pStyle w:val="Body2"/>
      </w:pPr>
    </w:p>
    <w:p w14:paraId="7B732CA9" w14:textId="18F6A690" w:rsidR="00611042" w:rsidRDefault="00000000">
      <w:pPr>
        <w:pStyle w:val="Body"/>
      </w:pPr>
      <w:r>
        <w:t xml:space="preserve">Prepared for: </w:t>
      </w:r>
      <w:r w:rsidR="008F46C9">
        <w:t>Burlington City Government</w:t>
      </w:r>
    </w:p>
    <w:p w14:paraId="0C854DA7" w14:textId="6698AF2A" w:rsidR="00611042" w:rsidRDefault="00000000">
      <w:pPr>
        <w:pStyle w:val="Body"/>
      </w:pPr>
      <w:r>
        <w:t xml:space="preserve">Prepared by: </w:t>
      </w:r>
      <w:proofErr w:type="spellStart"/>
      <w:r>
        <w:rPr>
          <w:lang w:val="fr-FR"/>
        </w:rPr>
        <w:t>Eric</w:t>
      </w:r>
      <w:proofErr w:type="spellEnd"/>
      <w:r>
        <w:rPr>
          <w:lang w:val="fr-FR"/>
        </w:rPr>
        <w:t xml:space="preserve"> </w:t>
      </w:r>
      <w:proofErr w:type="spellStart"/>
      <w:r>
        <w:rPr>
          <w:lang w:val="fr-FR"/>
        </w:rPr>
        <w:t>Agnero</w:t>
      </w:r>
      <w:proofErr w:type="spellEnd"/>
      <w:r>
        <w:t>,</w:t>
      </w:r>
      <w:r w:rsidR="008F46C9">
        <w:t xml:space="preserve"> Development Coordinator</w:t>
      </w:r>
      <w:r w:rsidR="00626EF4">
        <w:t>, The Caroline Fund</w:t>
      </w:r>
    </w:p>
    <w:p w14:paraId="7100B5B0" w14:textId="363DDC09" w:rsidR="00611042" w:rsidRDefault="001F2696">
      <w:pPr>
        <w:pStyle w:val="Body"/>
      </w:pPr>
      <w:r>
        <w:t>April, 25</w:t>
      </w:r>
      <w:r w:rsidRPr="001F2696">
        <w:rPr>
          <w:vertAlign w:val="superscript"/>
        </w:rPr>
        <w:t>th</w:t>
      </w:r>
      <w:r>
        <w:t xml:space="preserve"> 2023</w:t>
      </w:r>
    </w:p>
    <w:p w14:paraId="43471FB7" w14:textId="6E751712" w:rsidR="00611042" w:rsidRDefault="00000000">
      <w:pPr>
        <w:pStyle w:val="Body"/>
      </w:pPr>
      <w:r>
        <w:t xml:space="preserve">Proposal number: </w:t>
      </w:r>
      <w:r w:rsidR="008F46C9">
        <w:t>BVT-001</w:t>
      </w:r>
    </w:p>
    <w:p w14:paraId="1A989636" w14:textId="77777777" w:rsidR="00611042" w:rsidRDefault="00611042">
      <w:pPr>
        <w:pStyle w:val="Body"/>
        <w:sectPr w:rsidR="00611042">
          <w:headerReference w:type="default" r:id="rId10"/>
          <w:footerReference w:type="default" r:id="rId11"/>
          <w:pgSz w:w="12240" w:h="15840"/>
          <w:pgMar w:top="1080" w:right="1200" w:bottom="1800" w:left="1200" w:header="720" w:footer="1040" w:gutter="0"/>
          <w:cols w:space="720"/>
        </w:sectPr>
      </w:pPr>
    </w:p>
    <w:p w14:paraId="7A770D73" w14:textId="7FD69201" w:rsidR="00611042" w:rsidRDefault="00626EF4">
      <w:pPr>
        <w:pStyle w:val="Heading"/>
      </w:pPr>
      <w:r>
        <w:rPr>
          <w:rFonts w:ascii="Helvetica Neue" w:eastAsia="Arial Unicode MS" w:hAnsi="Helvetica Neue" w:cs="Arial Unicode MS"/>
          <w:b/>
          <w:bCs/>
          <w:color w:val="367DA2"/>
          <w:spacing w:val="4"/>
          <w:sz w:val="22"/>
          <w:szCs w:val="22"/>
        </w:rPr>
        <w:lastRenderedPageBreak/>
        <w:t xml:space="preserve">the </w:t>
      </w:r>
      <w:r w:rsidRPr="00626EF4">
        <w:rPr>
          <w:rFonts w:ascii="Helvetica Neue" w:eastAsia="Arial Unicode MS" w:hAnsi="Helvetica Neue" w:cs="Arial Unicode MS"/>
          <w:b/>
          <w:bCs/>
          <w:color w:val="367DA2"/>
          <w:spacing w:val="4"/>
          <w:sz w:val="22"/>
          <w:szCs w:val="22"/>
        </w:rPr>
        <w:t xml:space="preserve">People’s Legal Services and Education </w:t>
      </w:r>
      <w:r w:rsidR="001F2696">
        <w:rPr>
          <w:rFonts w:ascii="Helvetica Neue" w:eastAsia="Arial Unicode MS" w:hAnsi="Helvetica Neue" w:cs="Arial Unicode MS"/>
          <w:b/>
          <w:bCs/>
          <w:color w:val="367DA2"/>
          <w:spacing w:val="4"/>
          <w:sz w:val="22"/>
          <w:szCs w:val="22"/>
        </w:rPr>
        <w:t>Program</w:t>
      </w:r>
      <w:r w:rsidRPr="00626EF4">
        <w:rPr>
          <w:rFonts w:ascii="Helvetica Neue" w:eastAsia="Arial Unicode MS" w:hAnsi="Helvetica Neue" w:cs="Arial Unicode MS"/>
          <w:b/>
          <w:bCs/>
          <w:color w:val="367DA2"/>
          <w:spacing w:val="4"/>
          <w:sz w:val="22"/>
          <w:szCs w:val="22"/>
        </w:rPr>
        <w:t xml:space="preserve"> (The </w:t>
      </w:r>
      <w:r w:rsidR="001F2696">
        <w:rPr>
          <w:rFonts w:ascii="Helvetica Neue" w:eastAsia="Arial Unicode MS" w:hAnsi="Helvetica Neue" w:cs="Arial Unicode MS"/>
          <w:b/>
          <w:bCs/>
          <w:color w:val="367DA2"/>
          <w:spacing w:val="4"/>
          <w:sz w:val="22"/>
          <w:szCs w:val="22"/>
        </w:rPr>
        <w:t>program</w:t>
      </w:r>
      <w:r w:rsidRPr="00626EF4">
        <w:rPr>
          <w:rFonts w:ascii="Helvetica Neue" w:eastAsia="Arial Unicode MS" w:hAnsi="Helvetica Neue" w:cs="Arial Unicode MS"/>
          <w:b/>
          <w:bCs/>
          <w:color w:val="367DA2"/>
          <w:spacing w:val="4"/>
          <w:sz w:val="22"/>
          <w:szCs w:val="22"/>
        </w:rPr>
        <w:t>)</w:t>
      </w:r>
    </w:p>
    <w:p w14:paraId="444BDD27" w14:textId="77777777" w:rsidR="00611042" w:rsidRDefault="00611042">
      <w:pPr>
        <w:pStyle w:val="Heading"/>
      </w:pPr>
    </w:p>
    <w:p w14:paraId="2D6FFC0F" w14:textId="77777777" w:rsidR="00611042" w:rsidRPr="00626EF4" w:rsidRDefault="00000000">
      <w:pPr>
        <w:pStyle w:val="Heading"/>
        <w:rPr>
          <w:sz w:val="28"/>
          <w:szCs w:val="28"/>
        </w:rPr>
      </w:pPr>
      <w:r w:rsidRPr="00626EF4">
        <w:rPr>
          <w:rFonts w:eastAsia="Arial Unicode MS" w:cs="Arial Unicode MS"/>
          <w:sz w:val="28"/>
          <w:szCs w:val="28"/>
        </w:rPr>
        <w:t>Executive Summary</w:t>
      </w:r>
    </w:p>
    <w:p w14:paraId="3C258B97" w14:textId="77777777" w:rsidR="00611042" w:rsidRPr="00AB0AD4" w:rsidRDefault="00611042">
      <w:pPr>
        <w:pStyle w:val="Body"/>
      </w:pPr>
    </w:p>
    <w:p w14:paraId="0768E5EB" w14:textId="68AE9345" w:rsidR="00611042" w:rsidRDefault="00000000">
      <w:pPr>
        <w:pStyle w:val="Body"/>
      </w:pPr>
      <w:r w:rsidRPr="00AB0AD4">
        <w:t>Significant numbers of people living in the City of Burlington and surrounding communities face serious challenges in accessing justice. The Burlington Area has a growing BIPOC population, including many refugees and immigrants. The legal needs of this community, particularly the needs of women of color</w:t>
      </w:r>
      <w:r w:rsidR="00A325AC">
        <w:t>, poor women, mothers</w:t>
      </w:r>
      <w:r w:rsidRPr="00AB0AD4">
        <w:t xml:space="preserve"> and their children, are not being well met by the traditional providers of legal services. For the past year, The Caroline Fund Sandy Baird Esq. has provided legal services on an ad-hoc basis to this population in collaboration with the AALV (formerly the Association of Africans Living in Vermont).  In response to these challenges, </w:t>
      </w:r>
      <w:r w:rsidR="001F2696">
        <w:t xml:space="preserve">the </w:t>
      </w:r>
      <w:r w:rsidR="00626EF4">
        <w:t>People’s</w:t>
      </w:r>
      <w:r w:rsidRPr="00AB0AD4">
        <w:t xml:space="preserve"> Legal Services and Education </w:t>
      </w:r>
      <w:r w:rsidR="000C211B">
        <w:t>Program</w:t>
      </w:r>
      <w:r w:rsidRPr="00AB0AD4">
        <w:t xml:space="preserve"> is designed to: </w:t>
      </w:r>
    </w:p>
    <w:p w14:paraId="753D8919" w14:textId="77777777" w:rsidR="00AB0AD4" w:rsidRPr="00AB0AD4" w:rsidRDefault="00AB0AD4">
      <w:pPr>
        <w:pStyle w:val="Body"/>
      </w:pPr>
    </w:p>
    <w:p w14:paraId="1EA95A18" w14:textId="738EAA81" w:rsidR="00AB0AD4" w:rsidRPr="00AB0AD4" w:rsidRDefault="00000000" w:rsidP="00AB0AD4">
      <w:pPr>
        <w:pStyle w:val="Body"/>
        <w:numPr>
          <w:ilvl w:val="0"/>
          <w:numId w:val="2"/>
        </w:numPr>
      </w:pPr>
      <w:r w:rsidRPr="00AB0AD4">
        <w:t xml:space="preserve">Institutionalize and make permanent a Program delivering legal services to unserved and underserved members of the Burlington-area community, with a particular focus on the needs of women and their children , and </w:t>
      </w:r>
    </w:p>
    <w:p w14:paraId="34C9D07F" w14:textId="7FF066D2" w:rsidR="00611042" w:rsidRPr="00AB0AD4" w:rsidRDefault="00000000" w:rsidP="00AB0AD4">
      <w:pPr>
        <w:pStyle w:val="Body"/>
        <w:numPr>
          <w:ilvl w:val="0"/>
          <w:numId w:val="2"/>
        </w:numPr>
      </w:pPr>
      <w:r w:rsidRPr="00AB0AD4">
        <w:t>Ensure that New Americans, refuges, the BIPOC community, low-income women, and other marginalized populations have access to legal services and access to the justice sys</w:t>
      </w:r>
      <w:r w:rsidR="00A325AC">
        <w:t>tem, especially in the Family Courts</w:t>
      </w:r>
      <w:r w:rsidRPr="00AB0AD4">
        <w:t xml:space="preserve"> and</w:t>
      </w:r>
    </w:p>
    <w:p w14:paraId="3D50768C" w14:textId="52ABC73F" w:rsidR="00611042" w:rsidRPr="00AB0AD4" w:rsidRDefault="00000000" w:rsidP="00AB0AD4">
      <w:pPr>
        <w:pStyle w:val="Body"/>
        <w:numPr>
          <w:ilvl w:val="0"/>
          <w:numId w:val="2"/>
        </w:numPr>
      </w:pPr>
      <w:r w:rsidRPr="00AB0AD4">
        <w:t xml:space="preserve">Strengthen and deepen educational and cultural opportunities for the above-described community thereby enabling them to become more engaged and </w:t>
      </w:r>
      <w:r w:rsidR="00AB0AD4" w:rsidRPr="00AB0AD4">
        <w:t>better-informed</w:t>
      </w:r>
      <w:r w:rsidRPr="00AB0AD4">
        <w:t xml:space="preserve"> citizens. </w:t>
      </w:r>
    </w:p>
    <w:p w14:paraId="52E0AD9A" w14:textId="7C5113BD" w:rsidR="00611042" w:rsidRPr="00AB0AD4" w:rsidRDefault="00000000" w:rsidP="00AB0AD4">
      <w:pPr>
        <w:pStyle w:val="Body"/>
        <w:numPr>
          <w:ilvl w:val="0"/>
          <w:numId w:val="2"/>
        </w:numPr>
      </w:pPr>
      <w:r w:rsidRPr="00AB0AD4">
        <w:t xml:space="preserve">The Center would partner with other organizations such as </w:t>
      </w:r>
      <w:proofErr w:type="gramStart"/>
      <w:r w:rsidRPr="00AB0AD4">
        <w:t>AALV  and</w:t>
      </w:r>
      <w:proofErr w:type="gramEnd"/>
      <w:r w:rsidRPr="00AB0AD4">
        <w:t xml:space="preserve"> will ensure maximum impact, while avoiding redundancy and duplication of effort, by collaborating with </w:t>
      </w:r>
      <w:r w:rsidR="00AB0AD4" w:rsidRPr="00AB0AD4">
        <w:t>other</w:t>
      </w:r>
      <w:r w:rsidRPr="00AB0AD4">
        <w:t xml:space="preserve"> organizations operating in the legal services/community justice</w:t>
      </w:r>
      <w:r w:rsidR="000D0522">
        <w:t>, and educational</w:t>
      </w:r>
      <w:r w:rsidRPr="00AB0AD4">
        <w:t xml:space="preserve"> sector.</w:t>
      </w:r>
    </w:p>
    <w:p w14:paraId="1070D77F" w14:textId="5EDCA34E" w:rsidR="00611042" w:rsidRPr="00AB0AD4" w:rsidRDefault="00611042">
      <w:pPr>
        <w:pStyle w:val="Body"/>
      </w:pPr>
    </w:p>
    <w:p w14:paraId="11593F8D" w14:textId="7FB59B49" w:rsidR="00D80B53" w:rsidRPr="00AB0AD4" w:rsidRDefault="00D80B53">
      <w:pPr>
        <w:pStyle w:val="Body"/>
      </w:pPr>
      <w:r w:rsidRPr="00AB0AD4">
        <w:t>For the year 202</w:t>
      </w:r>
      <w:r w:rsidR="00BB2CE2">
        <w:t>4</w:t>
      </w:r>
      <w:r w:rsidRPr="00AB0AD4">
        <w:t>, We intend to provide:</w:t>
      </w:r>
    </w:p>
    <w:p w14:paraId="5171CC0A" w14:textId="4499EE68" w:rsidR="00D80B53" w:rsidRPr="00AB0AD4" w:rsidRDefault="00D80B53" w:rsidP="00AB0AD4">
      <w:pPr>
        <w:pStyle w:val="Body"/>
        <w:numPr>
          <w:ilvl w:val="0"/>
          <w:numId w:val="2"/>
        </w:numPr>
      </w:pPr>
      <w:r w:rsidRPr="00AB0AD4">
        <w:t>legal service for more</w:t>
      </w:r>
      <w:r w:rsidR="000D0522">
        <w:t xml:space="preserve"> than</w:t>
      </w:r>
      <w:r w:rsidR="000C211B">
        <w:t xml:space="preserve"> 40</w:t>
      </w:r>
      <w:r w:rsidRPr="00AB0AD4">
        <w:t xml:space="preserve"> clients </w:t>
      </w:r>
    </w:p>
    <w:p w14:paraId="714BBD5E" w14:textId="294830F8" w:rsidR="00D80B53" w:rsidRPr="00AB0AD4" w:rsidRDefault="00D80B53" w:rsidP="00AB0AD4">
      <w:pPr>
        <w:pStyle w:val="Body"/>
        <w:numPr>
          <w:ilvl w:val="0"/>
          <w:numId w:val="2"/>
        </w:numPr>
      </w:pPr>
      <w:r w:rsidRPr="00AB0AD4">
        <w:t xml:space="preserve">organize </w:t>
      </w:r>
      <w:r w:rsidR="000D0522">
        <w:t>and least 4</w:t>
      </w:r>
      <w:r w:rsidRPr="00AB0AD4">
        <w:t xml:space="preserve"> Community Education Event</w:t>
      </w:r>
      <w:r w:rsidR="000D0522">
        <w:t>s.</w:t>
      </w:r>
    </w:p>
    <w:p w14:paraId="55D27C34" w14:textId="77777777" w:rsidR="00D80B53" w:rsidRPr="00AB0AD4" w:rsidRDefault="00D80B53">
      <w:pPr>
        <w:pStyle w:val="Body"/>
      </w:pPr>
    </w:p>
    <w:p w14:paraId="2D5391A7" w14:textId="59FBBDDE" w:rsidR="00D80B53" w:rsidRPr="00AB0AD4" w:rsidRDefault="00D80B53">
      <w:pPr>
        <w:pStyle w:val="Body"/>
      </w:pPr>
      <w:r w:rsidRPr="00AB0AD4">
        <w:t>The total funding need or 202</w:t>
      </w:r>
      <w:r w:rsidR="00BB2CE2">
        <w:t>4</w:t>
      </w:r>
      <w:r w:rsidRPr="00AB0AD4">
        <w:t xml:space="preserve"> is $ </w:t>
      </w:r>
      <w:r w:rsidR="00BB2CE2">
        <w:t>100</w:t>
      </w:r>
      <w:r w:rsidRPr="00AB0AD4">
        <w:t>,000. The Caroline Fund will provide $</w:t>
      </w:r>
      <w:r w:rsidR="00BB2CE2">
        <w:t>50</w:t>
      </w:r>
      <w:r w:rsidRPr="00AB0AD4">
        <w:t>,000, and the expected funding from Burlington City</w:t>
      </w:r>
      <w:r w:rsidR="000C211B">
        <w:t xml:space="preserve"> is</w:t>
      </w:r>
      <w:r w:rsidRPr="00AB0AD4">
        <w:t xml:space="preserve"> $</w:t>
      </w:r>
      <w:r w:rsidR="00BB2CE2">
        <w:t xml:space="preserve"> </w:t>
      </w:r>
      <w:r w:rsidRPr="00AB0AD4">
        <w:t>50,000</w:t>
      </w:r>
    </w:p>
    <w:p w14:paraId="2B925E17" w14:textId="77777777" w:rsidR="00BB2CE2" w:rsidRPr="00AB0AD4" w:rsidRDefault="00BB2CE2">
      <w:pPr>
        <w:pStyle w:val="Body"/>
      </w:pPr>
    </w:p>
    <w:p w14:paraId="66D302BE" w14:textId="09E1C2DD" w:rsidR="00611042" w:rsidRDefault="00000000">
      <w:pPr>
        <w:pStyle w:val="Body"/>
      </w:pPr>
      <w:r w:rsidRPr="00AB0AD4">
        <w:t>The Caroline Fund</w:t>
      </w:r>
    </w:p>
    <w:p w14:paraId="6A733175" w14:textId="7E00D4A5" w:rsidR="000D0522" w:rsidRPr="00AB0AD4" w:rsidRDefault="000D0522">
      <w:pPr>
        <w:pStyle w:val="Body"/>
      </w:pPr>
      <w:r>
        <w:t xml:space="preserve">The Caroline Baird </w:t>
      </w:r>
      <w:proofErr w:type="spellStart"/>
      <w:r>
        <w:t>Crichfield</w:t>
      </w:r>
      <w:proofErr w:type="spellEnd"/>
      <w:r>
        <w:t xml:space="preserve"> Fund was founded in 1998 when Caroline </w:t>
      </w:r>
      <w:proofErr w:type="spellStart"/>
      <w:r>
        <w:t>Crichfield</w:t>
      </w:r>
      <w:proofErr w:type="spellEnd"/>
      <w:r>
        <w:t xml:space="preserve">, an African- American daughter of Sandy Baird and Grant </w:t>
      </w:r>
      <w:proofErr w:type="spellStart"/>
      <w:r>
        <w:t>Crichfield</w:t>
      </w:r>
      <w:proofErr w:type="spellEnd"/>
      <w:r>
        <w:t xml:space="preserve"> was murdered by her domestic partner. The Fund has two missions: to help women and their families with emergency funds to meet the needs of these families in crisis; and, to help support and develop projects like the People’s Legal Services and Education Program which assist women and their families to live safe, creative and free lives.</w:t>
      </w:r>
    </w:p>
    <w:p w14:paraId="481D1315" w14:textId="77777777" w:rsidR="00611042" w:rsidRPr="00AB0AD4" w:rsidRDefault="00000000">
      <w:pPr>
        <w:pStyle w:val="Body"/>
      </w:pPr>
      <w:r w:rsidRPr="00AB0AD4">
        <w:t>This Burlington-based nonprofit organization supports women and their families in emergency situations. The Fund also endeavors to offer free legal advice to anyone seeking guidance. It is envisioned that the Caroline Fund would be the overarching organization of Center and would underwrite/contribute to the activities of the Center.</w:t>
      </w:r>
    </w:p>
    <w:p w14:paraId="1E71E13A" w14:textId="77777777" w:rsidR="00611042" w:rsidRPr="00AB0AD4" w:rsidRDefault="00611042">
      <w:pPr>
        <w:pStyle w:val="Body"/>
      </w:pPr>
    </w:p>
    <w:p w14:paraId="11DA2452" w14:textId="178FE3B1" w:rsidR="00611042" w:rsidRPr="00AB0AD4" w:rsidRDefault="00611042">
      <w:pPr>
        <w:pStyle w:val="Body"/>
      </w:pPr>
    </w:p>
    <w:p w14:paraId="061EB93F" w14:textId="63B56559" w:rsidR="00D80B53" w:rsidRPr="00AB0AD4" w:rsidRDefault="00D80B53">
      <w:pPr>
        <w:pStyle w:val="Body"/>
      </w:pPr>
    </w:p>
    <w:p w14:paraId="40FE01C4" w14:textId="34FD49AA" w:rsidR="00D80B53" w:rsidRDefault="00D80B53">
      <w:pPr>
        <w:pStyle w:val="Body"/>
      </w:pPr>
    </w:p>
    <w:p w14:paraId="4C8ED2AD" w14:textId="77777777" w:rsidR="00F77A7C" w:rsidRDefault="00F77A7C">
      <w:pPr>
        <w:pStyle w:val="Body"/>
      </w:pPr>
    </w:p>
    <w:p w14:paraId="7338B3D7" w14:textId="77777777" w:rsidR="00F77A7C" w:rsidRDefault="00F77A7C">
      <w:pPr>
        <w:pStyle w:val="Body"/>
      </w:pPr>
    </w:p>
    <w:p w14:paraId="1247E273" w14:textId="77777777" w:rsidR="00F77A7C" w:rsidRPr="00AB0AD4" w:rsidRDefault="00F77A7C">
      <w:pPr>
        <w:pStyle w:val="Body"/>
      </w:pPr>
    </w:p>
    <w:p w14:paraId="73FFCD21" w14:textId="77777777" w:rsidR="00D80B53" w:rsidRPr="00AB0AD4" w:rsidRDefault="00D80B53">
      <w:pPr>
        <w:pStyle w:val="Body"/>
      </w:pPr>
    </w:p>
    <w:p w14:paraId="78B024BE" w14:textId="77777777" w:rsidR="00611042" w:rsidRPr="00626EF4" w:rsidRDefault="00000000" w:rsidP="00626EF4">
      <w:pPr>
        <w:pStyle w:val="Heading"/>
        <w:rPr>
          <w:rFonts w:eastAsia="Arial Unicode MS" w:cs="Arial Unicode MS"/>
          <w:sz w:val="28"/>
          <w:szCs w:val="28"/>
        </w:rPr>
      </w:pPr>
      <w:r w:rsidRPr="00626EF4">
        <w:rPr>
          <w:rFonts w:eastAsia="Arial Unicode MS" w:cs="Arial Unicode MS"/>
          <w:sz w:val="28"/>
          <w:szCs w:val="28"/>
        </w:rPr>
        <w:t>Background and Rationale</w:t>
      </w:r>
    </w:p>
    <w:p w14:paraId="187E8DC1" w14:textId="77777777" w:rsidR="00611042" w:rsidRPr="00AB0AD4" w:rsidRDefault="00611042">
      <w:pPr>
        <w:pStyle w:val="Body"/>
      </w:pPr>
    </w:p>
    <w:p w14:paraId="4A10DAFD" w14:textId="67563A22" w:rsidR="00611042" w:rsidRPr="00AB0AD4" w:rsidRDefault="00000000" w:rsidP="00AB0AD4">
      <w:pPr>
        <w:pStyle w:val="Body"/>
        <w:numPr>
          <w:ilvl w:val="0"/>
          <w:numId w:val="2"/>
        </w:numPr>
      </w:pPr>
      <w:r w:rsidRPr="00AB0AD4">
        <w:t xml:space="preserve"> Legal services and immigration counseling are currently provided by AALV</w:t>
      </w:r>
      <w:r w:rsidR="00BB2CE2">
        <w:t xml:space="preserve"> and The Caroline Fund</w:t>
      </w:r>
      <w:r w:rsidRPr="00AB0AD4">
        <w:t>.  However, the demand for these services far exceeds the resources available.</w:t>
      </w:r>
    </w:p>
    <w:p w14:paraId="03ADE665" w14:textId="470CBFEA" w:rsidR="00611042" w:rsidRPr="00AB0AD4" w:rsidRDefault="00AB0AD4" w:rsidP="00AB0AD4">
      <w:pPr>
        <w:pStyle w:val="Body"/>
        <w:numPr>
          <w:ilvl w:val="0"/>
          <w:numId w:val="2"/>
        </w:numPr>
      </w:pPr>
      <w:r>
        <w:t xml:space="preserve"> </w:t>
      </w:r>
      <w:r w:rsidRPr="00AB0AD4">
        <w:t>The efforts of The Caroline Fund and Sandy Baird, in partnership with AALV, to staff a Legal Clinic and provide free legal advice</w:t>
      </w:r>
      <w:r w:rsidR="005041E2">
        <w:t xml:space="preserve"> and all legal assistance</w:t>
      </w:r>
      <w:r w:rsidRPr="00AB0AD4">
        <w:t xml:space="preserve"> to marginalized individuals are not sustainable</w:t>
      </w:r>
      <w:r w:rsidR="0012047D">
        <w:t xml:space="preserve"> as most of that work is provided on a low </w:t>
      </w:r>
      <w:proofErr w:type="gramStart"/>
      <w:r w:rsidR="0012047D">
        <w:t>bono(</w:t>
      </w:r>
      <w:proofErr w:type="gramEnd"/>
      <w:r w:rsidR="0012047D">
        <w:t xml:space="preserve">reduced </w:t>
      </w:r>
      <w:r w:rsidR="005041E2">
        <w:t>fees)</w:t>
      </w:r>
      <w:r w:rsidR="0012047D">
        <w:t xml:space="preserve"> or pro bono( </w:t>
      </w:r>
      <w:r w:rsidR="005041E2">
        <w:t>free) basis.</w:t>
      </w:r>
    </w:p>
    <w:p w14:paraId="416C52EF" w14:textId="45DCADC8" w:rsidR="00611042" w:rsidRPr="00AB0AD4" w:rsidRDefault="00AB0AD4" w:rsidP="00AB0AD4">
      <w:pPr>
        <w:pStyle w:val="Body"/>
        <w:numPr>
          <w:ilvl w:val="0"/>
          <w:numId w:val="2"/>
        </w:numPr>
      </w:pPr>
      <w:r>
        <w:t xml:space="preserve"> </w:t>
      </w:r>
      <w:r w:rsidRPr="00AB0AD4">
        <w:t xml:space="preserve">There are gaps in legal services provided by Vermont Legal Aid.  Services are not provided for issues </w:t>
      </w:r>
      <w:proofErr w:type="gramStart"/>
      <w:r w:rsidRPr="00AB0AD4">
        <w:t xml:space="preserve">related </w:t>
      </w:r>
      <w:r>
        <w:t xml:space="preserve"> </w:t>
      </w:r>
      <w:r w:rsidRPr="00AB0AD4">
        <w:t>to</w:t>
      </w:r>
      <w:proofErr w:type="gramEnd"/>
      <w:r w:rsidRPr="00AB0AD4">
        <w:t xml:space="preserve"> family law and involving Family Court, including divorce, child custody,</w:t>
      </w:r>
      <w:r w:rsidR="005041E2">
        <w:t xml:space="preserve"> parentage,</w:t>
      </w:r>
      <w:r w:rsidRPr="00AB0AD4">
        <w:t xml:space="preserve"> domestic violence, and child support. Gaps also exist in the provision of legal services related to immigration and asylum</w:t>
      </w:r>
      <w:r w:rsidR="005041E2">
        <w:t>, the problems connected with landlords and tenants, some criminal matters and the expungement of criminal records.</w:t>
      </w:r>
    </w:p>
    <w:p w14:paraId="73B67509" w14:textId="150E1274" w:rsidR="00611042" w:rsidRPr="00AB0AD4" w:rsidRDefault="00000000" w:rsidP="00AB0AD4">
      <w:pPr>
        <w:pStyle w:val="Body"/>
        <w:numPr>
          <w:ilvl w:val="0"/>
          <w:numId w:val="2"/>
        </w:numPr>
      </w:pPr>
      <w:r w:rsidRPr="00AB0AD4">
        <w:t xml:space="preserve">The legal services provided by AALV and the Legal Clinic are a </w:t>
      </w:r>
      <w:r w:rsidRPr="00AB0AD4">
        <w:rPr>
          <w:rtl/>
        </w:rPr>
        <w:t>“</w:t>
      </w:r>
      <w:r w:rsidRPr="00AB0AD4">
        <w:t>last resort” for most current beneficiaries.</w:t>
      </w:r>
    </w:p>
    <w:p w14:paraId="39B4CEC9" w14:textId="64028CD0" w:rsidR="00611042" w:rsidRPr="00AB0AD4" w:rsidRDefault="00000000" w:rsidP="00AB0AD4">
      <w:pPr>
        <w:pStyle w:val="Body"/>
        <w:numPr>
          <w:ilvl w:val="0"/>
          <w:numId w:val="2"/>
        </w:numPr>
      </w:pPr>
      <w:r w:rsidRPr="00AB0AD4">
        <w:t>Funding is required to help people seeking legal advice</w:t>
      </w:r>
      <w:r w:rsidR="00770747">
        <w:t xml:space="preserve"> and legal services especially </w:t>
      </w:r>
      <w:proofErr w:type="spellStart"/>
      <w:r w:rsidR="00770747">
        <w:t>tn</w:t>
      </w:r>
      <w:proofErr w:type="spellEnd"/>
      <w:r w:rsidR="00770747">
        <w:t xml:space="preserve"> the Family Courts.</w:t>
      </w:r>
    </w:p>
    <w:p w14:paraId="16F05A80" w14:textId="04A6DE06" w:rsidR="00611042" w:rsidRPr="00AB0AD4" w:rsidRDefault="00000000">
      <w:pPr>
        <w:pStyle w:val="Body"/>
      </w:pPr>
      <w:r w:rsidRPr="00AB0AD4">
        <w:t> </w:t>
      </w:r>
    </w:p>
    <w:p w14:paraId="036CF42A" w14:textId="77777777" w:rsidR="00626EF4" w:rsidRDefault="00626EF4" w:rsidP="00626EF4">
      <w:pPr>
        <w:pStyle w:val="Heading"/>
        <w:rPr>
          <w:rFonts w:eastAsia="Arial Unicode MS" w:cs="Arial Unicode MS"/>
        </w:rPr>
      </w:pPr>
    </w:p>
    <w:p w14:paraId="4F130FF0" w14:textId="74EEACED" w:rsidR="00611042" w:rsidRPr="00626EF4" w:rsidRDefault="00000000" w:rsidP="00626EF4">
      <w:pPr>
        <w:pStyle w:val="Heading"/>
        <w:rPr>
          <w:rFonts w:eastAsia="Arial Unicode MS" w:cs="Arial Unicode MS"/>
          <w:sz w:val="28"/>
          <w:szCs w:val="28"/>
        </w:rPr>
      </w:pPr>
      <w:r w:rsidRPr="00626EF4">
        <w:rPr>
          <w:rFonts w:eastAsia="Arial Unicode MS" w:cs="Arial Unicode MS"/>
          <w:sz w:val="28"/>
          <w:szCs w:val="28"/>
        </w:rPr>
        <w:t>Overall Goal</w:t>
      </w:r>
    </w:p>
    <w:p w14:paraId="2CE1FE8A" w14:textId="77777777" w:rsidR="00626EF4" w:rsidRPr="00626EF4" w:rsidRDefault="00626EF4" w:rsidP="00626EF4">
      <w:pPr>
        <w:pStyle w:val="Body2"/>
      </w:pPr>
    </w:p>
    <w:p w14:paraId="1291E0F6" w14:textId="0363B449" w:rsidR="00611042" w:rsidRPr="00AB0AD4" w:rsidRDefault="00000000" w:rsidP="00D80B53">
      <w:pPr>
        <w:pStyle w:val="Body"/>
      </w:pPr>
      <w:r w:rsidRPr="00AB0AD4">
        <w:t>The aim of the People</w:t>
      </w:r>
      <w:r w:rsidRPr="00AB0AD4">
        <w:rPr>
          <w:rtl/>
        </w:rPr>
        <w:t>’</w:t>
      </w:r>
      <w:r w:rsidRPr="00AB0AD4">
        <w:t xml:space="preserve">s Legal Services &amp; Education </w:t>
      </w:r>
      <w:r w:rsidR="00BB2CE2">
        <w:t>Program</w:t>
      </w:r>
      <w:r w:rsidRPr="00AB0AD4">
        <w:t xml:space="preserve"> is to provide access to the justice system for our community</w:t>
      </w:r>
      <w:r w:rsidRPr="00AB0AD4">
        <w:rPr>
          <w:rtl/>
        </w:rPr>
        <w:t>’</w:t>
      </w:r>
      <w:r w:rsidRPr="00AB0AD4">
        <w:t>s most vulnerable through the provision of no-</w:t>
      </w:r>
      <w:proofErr w:type="gramStart"/>
      <w:r w:rsidRPr="00AB0AD4">
        <w:t xml:space="preserve">cost </w:t>
      </w:r>
      <w:r w:rsidR="00770747">
        <w:t xml:space="preserve"> and</w:t>
      </w:r>
      <w:proofErr w:type="gramEnd"/>
      <w:r w:rsidR="00770747">
        <w:t xml:space="preserve"> low cost </w:t>
      </w:r>
      <w:r w:rsidRPr="00AB0AD4">
        <w:t xml:space="preserve">legal </w:t>
      </w:r>
      <w:r w:rsidR="001F2696" w:rsidRPr="00AB0AD4">
        <w:t>services.</w:t>
      </w:r>
      <w:r w:rsidRPr="00AB0AD4">
        <w:t xml:space="preserve">  </w:t>
      </w:r>
    </w:p>
    <w:p w14:paraId="53E27492" w14:textId="77777777" w:rsidR="00FF08B1" w:rsidRDefault="00FF08B1" w:rsidP="00FF08B1">
      <w:pPr>
        <w:pStyle w:val="Body"/>
      </w:pPr>
    </w:p>
    <w:p w14:paraId="016FF9D7" w14:textId="507AE939" w:rsidR="00611042" w:rsidRPr="00AB0AD4" w:rsidRDefault="00000000" w:rsidP="00FF08B1">
      <w:pPr>
        <w:pStyle w:val="Body"/>
      </w:pPr>
      <w:r w:rsidRPr="00AB0AD4">
        <w:t xml:space="preserve">Specific objectives of the People’s Legal Services and Education </w:t>
      </w:r>
      <w:r w:rsidR="000C211B">
        <w:t>Program</w:t>
      </w:r>
      <w:r w:rsidRPr="00AB0AD4">
        <w:t xml:space="preserve"> are:</w:t>
      </w:r>
    </w:p>
    <w:p w14:paraId="3FD0509F" w14:textId="48514E00" w:rsidR="00611042" w:rsidRPr="00AB0AD4" w:rsidRDefault="00000000" w:rsidP="00FF08B1">
      <w:pPr>
        <w:pStyle w:val="Body"/>
        <w:numPr>
          <w:ilvl w:val="0"/>
          <w:numId w:val="2"/>
        </w:numPr>
      </w:pPr>
      <w:r w:rsidRPr="00AB0AD4">
        <w:t xml:space="preserve"> Enhance the capacity of the AALV to better serve New American and refugees. </w:t>
      </w:r>
    </w:p>
    <w:p w14:paraId="3A7AD126" w14:textId="23C6D0C4" w:rsidR="00BB2CE2" w:rsidRPr="00AB0AD4" w:rsidRDefault="00000000" w:rsidP="00BB2CE2">
      <w:pPr>
        <w:pStyle w:val="Body"/>
        <w:numPr>
          <w:ilvl w:val="0"/>
          <w:numId w:val="2"/>
        </w:numPr>
      </w:pPr>
      <w:r w:rsidRPr="00AB0AD4">
        <w:t xml:space="preserve"> Provide needed legal services and advice to all marginalized people irrespective of their race, sex, ethnicity, and income. </w:t>
      </w:r>
    </w:p>
    <w:p w14:paraId="7F53539D" w14:textId="7B65B19F" w:rsidR="00611042" w:rsidRPr="00AB0AD4" w:rsidRDefault="00000000" w:rsidP="00FF08B1">
      <w:pPr>
        <w:pStyle w:val="Body"/>
        <w:numPr>
          <w:ilvl w:val="0"/>
          <w:numId w:val="2"/>
        </w:numPr>
      </w:pPr>
      <w:r w:rsidRPr="00AB0AD4">
        <w:t xml:space="preserve">Identify and recruit lawyers with the experience and expertise required to serve the targeted beneficiaries of The Center. </w:t>
      </w:r>
    </w:p>
    <w:p w14:paraId="3ABB9789" w14:textId="6E3FD44B" w:rsidR="00611042" w:rsidRPr="00AB0AD4" w:rsidRDefault="00000000" w:rsidP="00FF08B1">
      <w:pPr>
        <w:pStyle w:val="Body"/>
        <w:numPr>
          <w:ilvl w:val="0"/>
          <w:numId w:val="2"/>
        </w:numPr>
      </w:pPr>
      <w:r w:rsidRPr="00AB0AD4">
        <w:t xml:space="preserve">Link individuals volunteering for The Center with individuals requiring support and assistance. </w:t>
      </w:r>
    </w:p>
    <w:p w14:paraId="49B13304" w14:textId="4AA532E2" w:rsidR="00611042" w:rsidRPr="00AB0AD4" w:rsidRDefault="00000000" w:rsidP="00FF08B1">
      <w:pPr>
        <w:pStyle w:val="Body"/>
        <w:numPr>
          <w:ilvl w:val="0"/>
          <w:numId w:val="2"/>
        </w:numPr>
      </w:pPr>
      <w:r w:rsidRPr="00AB0AD4">
        <w:t xml:space="preserve"> Better coordinate the delivery of legal services to New Americans, refugees,</w:t>
      </w:r>
      <w:r w:rsidR="00770747">
        <w:t xml:space="preserve"> poor and </w:t>
      </w:r>
      <w:proofErr w:type="gramStart"/>
      <w:r w:rsidR="00770747">
        <w:t>low income</w:t>
      </w:r>
      <w:proofErr w:type="gramEnd"/>
      <w:r w:rsidR="00770747">
        <w:t xml:space="preserve"> people,</w:t>
      </w:r>
      <w:r w:rsidRPr="00AB0AD4">
        <w:t xml:space="preserve"> and other marginalized populations. </w:t>
      </w:r>
    </w:p>
    <w:p w14:paraId="2DFF0EE6" w14:textId="77777777" w:rsidR="00611042" w:rsidRPr="00626EF4" w:rsidRDefault="00611042">
      <w:pPr>
        <w:pStyle w:val="Body"/>
        <w:rPr>
          <w:sz w:val="16"/>
          <w:szCs w:val="16"/>
        </w:rPr>
      </w:pPr>
    </w:p>
    <w:p w14:paraId="4AFA983D" w14:textId="77777777" w:rsidR="00626EF4" w:rsidRDefault="00626EF4" w:rsidP="00626EF4">
      <w:pPr>
        <w:pStyle w:val="Heading"/>
        <w:rPr>
          <w:rFonts w:eastAsia="Arial Unicode MS" w:cs="Arial Unicode MS"/>
          <w:sz w:val="28"/>
          <w:szCs w:val="28"/>
        </w:rPr>
      </w:pPr>
    </w:p>
    <w:p w14:paraId="7C2F6741" w14:textId="1DC14438" w:rsidR="00626EF4" w:rsidRDefault="00000000" w:rsidP="00170D3B">
      <w:pPr>
        <w:pStyle w:val="Heading"/>
        <w:rPr>
          <w:rFonts w:eastAsia="Arial Unicode MS" w:cs="Arial Unicode MS"/>
          <w:sz w:val="28"/>
          <w:szCs w:val="28"/>
        </w:rPr>
      </w:pPr>
      <w:r w:rsidRPr="00626EF4">
        <w:rPr>
          <w:rFonts w:eastAsia="Arial Unicode MS" w:cs="Arial Unicode MS"/>
          <w:sz w:val="28"/>
          <w:szCs w:val="28"/>
        </w:rPr>
        <w:t>Expected Results</w:t>
      </w:r>
    </w:p>
    <w:p w14:paraId="1A62DE8E" w14:textId="77777777" w:rsidR="00170D3B" w:rsidRPr="00170D3B" w:rsidRDefault="00170D3B" w:rsidP="00170D3B">
      <w:pPr>
        <w:pStyle w:val="Body2"/>
      </w:pPr>
    </w:p>
    <w:p w14:paraId="5C6930B1" w14:textId="4E6AF677" w:rsidR="00611042" w:rsidRPr="00AB0AD4" w:rsidRDefault="00000000">
      <w:pPr>
        <w:pStyle w:val="Body"/>
      </w:pPr>
      <w:r w:rsidRPr="00AB0AD4">
        <w:t xml:space="preserve">The </w:t>
      </w:r>
      <w:r w:rsidR="00BB2CE2">
        <w:t>Program</w:t>
      </w:r>
      <w:r w:rsidRPr="00AB0AD4">
        <w:t xml:space="preserve"> is expected to:</w:t>
      </w:r>
    </w:p>
    <w:p w14:paraId="4792E999" w14:textId="19B14186" w:rsidR="00AB0AD4" w:rsidRDefault="00000000" w:rsidP="00FF08B1">
      <w:pPr>
        <w:pStyle w:val="Body"/>
        <w:numPr>
          <w:ilvl w:val="0"/>
          <w:numId w:val="2"/>
        </w:numPr>
      </w:pPr>
      <w:r w:rsidRPr="00AB0AD4">
        <w:t>Provide advice and free</w:t>
      </w:r>
      <w:r w:rsidR="00770747">
        <w:t xml:space="preserve"> and low fee</w:t>
      </w:r>
      <w:r w:rsidRPr="00AB0AD4">
        <w:t xml:space="preserve"> legal assistance to</w:t>
      </w:r>
      <w:r w:rsidR="00770747">
        <w:t xml:space="preserve"> individuals and families, and community members</w:t>
      </w:r>
    </w:p>
    <w:p w14:paraId="4A7DDED3" w14:textId="402B8107" w:rsidR="00611042" w:rsidRPr="00AB0AD4" w:rsidRDefault="00AB0AD4" w:rsidP="00FF08B1">
      <w:pPr>
        <w:pStyle w:val="Body"/>
        <w:numPr>
          <w:ilvl w:val="0"/>
          <w:numId w:val="2"/>
        </w:numPr>
      </w:pPr>
      <w:r>
        <w:t>Organize</w:t>
      </w:r>
      <w:r w:rsidR="00770747">
        <w:t xml:space="preserve"> at least</w:t>
      </w:r>
      <w:r>
        <w:t xml:space="preserve"> </w:t>
      </w:r>
      <w:r w:rsidR="001F2696">
        <w:t>4</w:t>
      </w:r>
      <w:r>
        <w:t xml:space="preserve"> Community Education Events</w:t>
      </w:r>
      <w:r w:rsidRPr="00AB0AD4">
        <w:t> </w:t>
      </w:r>
    </w:p>
    <w:p w14:paraId="1C3B686F" w14:textId="77777777" w:rsidR="00AB0AD4" w:rsidRDefault="00AB0AD4">
      <w:pPr>
        <w:pStyle w:val="Body"/>
      </w:pPr>
    </w:p>
    <w:p w14:paraId="220C9FB6" w14:textId="77777777" w:rsidR="00611042" w:rsidRPr="00AB0AD4" w:rsidRDefault="00611042">
      <w:pPr>
        <w:pStyle w:val="Body"/>
      </w:pPr>
    </w:p>
    <w:p w14:paraId="45F6E36F" w14:textId="77777777" w:rsidR="00611042" w:rsidRDefault="00611042">
      <w:pPr>
        <w:pStyle w:val="Heading2"/>
      </w:pPr>
    </w:p>
    <w:p w14:paraId="761BD150" w14:textId="77777777" w:rsidR="000C211B" w:rsidRPr="000C211B" w:rsidRDefault="000C211B" w:rsidP="000C211B">
      <w:pPr>
        <w:pStyle w:val="Body2"/>
      </w:pPr>
    </w:p>
    <w:p w14:paraId="2B7FFACF" w14:textId="479F2BE4" w:rsidR="00611042" w:rsidRPr="00626EF4" w:rsidRDefault="00000000" w:rsidP="00626EF4">
      <w:pPr>
        <w:pStyle w:val="Heading"/>
        <w:rPr>
          <w:rFonts w:eastAsia="Arial Unicode MS" w:cs="Arial Unicode MS"/>
          <w:sz w:val="28"/>
          <w:szCs w:val="28"/>
        </w:rPr>
      </w:pPr>
      <w:r w:rsidRPr="00626EF4">
        <w:rPr>
          <w:rFonts w:eastAsia="Arial Unicode MS" w:cs="Arial Unicode MS"/>
          <w:sz w:val="28"/>
          <w:szCs w:val="28"/>
        </w:rPr>
        <w:t>Approach,Governance/Partners/</w:t>
      </w:r>
      <w:r w:rsidR="00D80B53" w:rsidRPr="00626EF4">
        <w:rPr>
          <w:rFonts w:eastAsia="Arial Unicode MS" w:cs="Arial Unicode MS"/>
          <w:sz w:val="28"/>
          <w:szCs w:val="28"/>
        </w:rPr>
        <w:t>Collaborators</w:t>
      </w:r>
    </w:p>
    <w:p w14:paraId="67C596BC" w14:textId="77777777" w:rsidR="00611042" w:rsidRPr="00AB0AD4" w:rsidRDefault="00000000">
      <w:pPr>
        <w:pStyle w:val="Heading2"/>
      </w:pPr>
      <w:r w:rsidRPr="00AB0AD4">
        <w:tab/>
        <w:t>Governance</w:t>
      </w:r>
    </w:p>
    <w:p w14:paraId="2234ABB3" w14:textId="33528318" w:rsidR="00611042" w:rsidRPr="00AB0AD4" w:rsidRDefault="00000000">
      <w:pPr>
        <w:pStyle w:val="Body"/>
      </w:pPr>
      <w:r w:rsidRPr="00AB0AD4">
        <w:t xml:space="preserve">The Caroline Fund would be the overarching organization of the </w:t>
      </w:r>
      <w:r w:rsidR="000C211B">
        <w:t>program</w:t>
      </w:r>
      <w:r w:rsidRPr="00AB0AD4">
        <w:t xml:space="preserve"> and would underwrite/contribute to the activities of the </w:t>
      </w:r>
      <w:r w:rsidR="000C211B">
        <w:t>program</w:t>
      </w:r>
      <w:r w:rsidRPr="00AB0AD4">
        <w:t>.</w:t>
      </w:r>
      <w:r w:rsidR="00770747">
        <w:t xml:space="preserve"> The Caroline is a non-profit, Board governed, volunteer organization in existence since 1998 funded by donations from those who are committed to the two missions.</w:t>
      </w:r>
    </w:p>
    <w:p w14:paraId="59ABC01A" w14:textId="77777777" w:rsidR="00611042" w:rsidRPr="00AB0AD4" w:rsidRDefault="00000000">
      <w:pPr>
        <w:pStyle w:val="Heading2"/>
      </w:pPr>
      <w:r w:rsidRPr="00AB0AD4">
        <w:t xml:space="preserve">             Partners</w:t>
      </w:r>
    </w:p>
    <w:p w14:paraId="2CF589A0" w14:textId="1685FCE8" w:rsidR="00611042" w:rsidRDefault="00000000" w:rsidP="00FF08B1">
      <w:pPr>
        <w:pStyle w:val="Body"/>
      </w:pPr>
      <w:r w:rsidRPr="00AB0AD4">
        <w:t xml:space="preserve">The </w:t>
      </w:r>
      <w:r w:rsidR="000C211B">
        <w:t>Program</w:t>
      </w:r>
      <w:r w:rsidRPr="00AB0AD4">
        <w:t xml:space="preserve"> would partner with other organizations, some of whom include:</w:t>
      </w:r>
    </w:p>
    <w:p w14:paraId="06F3F761" w14:textId="77777777" w:rsidR="00FF08B1" w:rsidRPr="00AB0AD4" w:rsidRDefault="00FF08B1" w:rsidP="00FF08B1">
      <w:pPr>
        <w:pStyle w:val="Body"/>
      </w:pPr>
    </w:p>
    <w:p w14:paraId="62AD9358" w14:textId="2222A7A7" w:rsidR="00611042" w:rsidRPr="00AB0AD4" w:rsidRDefault="00000000" w:rsidP="00FF08B1">
      <w:pPr>
        <w:pStyle w:val="Body"/>
        <w:numPr>
          <w:ilvl w:val="0"/>
          <w:numId w:val="2"/>
        </w:numPr>
      </w:pPr>
      <w:r w:rsidRPr="00AB0AD4">
        <w:t xml:space="preserve">AALV-The </w:t>
      </w:r>
      <w:r w:rsidR="001F2696">
        <w:t xml:space="preserve">Program </w:t>
      </w:r>
      <w:r w:rsidRPr="00AB0AD4">
        <w:t>will be embedded in the Burlington-offices of AALV. AALV, a nonprofit organization located in the Old North End Community Center, helps New Americans from all parts of the world gain independence in their new Vermont communities. The range of integration services include case management for refugees, behavioral health awareness, workforce development, and interpretation.  Limited legal services are also provided.</w:t>
      </w:r>
    </w:p>
    <w:p w14:paraId="37FA771A" w14:textId="2D96120B" w:rsidR="00611042" w:rsidRPr="00AB0AD4" w:rsidRDefault="00000000" w:rsidP="00FF08B1">
      <w:pPr>
        <w:pStyle w:val="Body"/>
        <w:ind w:left="720"/>
      </w:pPr>
      <w:r w:rsidRPr="00AB0AD4">
        <w:t>  </w:t>
      </w:r>
    </w:p>
    <w:p w14:paraId="1EB7FC03" w14:textId="6BFCC13A" w:rsidR="00611042" w:rsidRPr="00AB0AD4" w:rsidRDefault="00000000" w:rsidP="00FF08B1">
      <w:pPr>
        <w:pStyle w:val="Body"/>
        <w:numPr>
          <w:ilvl w:val="0"/>
          <w:numId w:val="2"/>
        </w:numPr>
      </w:pPr>
      <w:r w:rsidRPr="00AB0AD4">
        <w:t>The Vermont Institute for Community and International Involvement-VICII is a nonprofit educational organization based in Burlington with a vision to build a vibrant and just community with engaged citizens through dialog, education, debate, discussion, and friendship.  VICII would continue to support educational programs aligned with the Center</w:t>
      </w:r>
      <w:r w:rsidRPr="00AB0AD4">
        <w:rPr>
          <w:rtl/>
        </w:rPr>
        <w:t>’</w:t>
      </w:r>
      <w:r w:rsidRPr="00AB0AD4">
        <w:t xml:space="preserve">s mission. The Paralegal Program and the Law Clerkship Program are currently programs of VICII. These activities </w:t>
      </w:r>
      <w:r w:rsidR="00F77A7C">
        <w:t xml:space="preserve"> will become part </w:t>
      </w:r>
      <w:r w:rsidRPr="00AB0AD4">
        <w:t xml:space="preserve">of </w:t>
      </w:r>
      <w:r w:rsidR="00F77A7C" w:rsidRPr="00F77A7C">
        <w:rPr>
          <w:b/>
          <w:bCs/>
        </w:rPr>
        <w:t>the People’s Legal Services and Education Program</w:t>
      </w:r>
      <w:r w:rsidRPr="00AB0AD4">
        <w:t>.  </w:t>
      </w:r>
    </w:p>
    <w:p w14:paraId="134BB138" w14:textId="77777777" w:rsidR="00611042" w:rsidRPr="00AB0AD4" w:rsidRDefault="00611042" w:rsidP="00FF08B1">
      <w:pPr>
        <w:pStyle w:val="Body"/>
        <w:ind w:left="720"/>
      </w:pPr>
    </w:p>
    <w:p w14:paraId="2D545BB1" w14:textId="612575E0" w:rsidR="00611042" w:rsidRPr="00AB0AD4" w:rsidRDefault="00000000" w:rsidP="00FF08B1">
      <w:pPr>
        <w:pStyle w:val="Body"/>
        <w:numPr>
          <w:ilvl w:val="0"/>
          <w:numId w:val="2"/>
        </w:numPr>
      </w:pPr>
      <w:r w:rsidRPr="00AB0AD4">
        <w:t>The People</w:t>
      </w:r>
      <w:r w:rsidRPr="00AB0AD4">
        <w:rPr>
          <w:rtl/>
        </w:rPr>
        <w:t>’</w:t>
      </w:r>
      <w:r w:rsidRPr="00AB0AD4">
        <w:t>s Law School-Launched by Vermont</w:t>
      </w:r>
      <w:r w:rsidRPr="00AB0AD4">
        <w:rPr>
          <w:rtl/>
        </w:rPr>
        <w:t>’</w:t>
      </w:r>
      <w:r w:rsidRPr="00AB0AD4">
        <w:t>s Attorney General T.J. Donovan in March 2021</w:t>
      </w:r>
      <w:r w:rsidR="00F014CF">
        <w:t>.</w:t>
      </w:r>
      <w:r w:rsidRPr="00AB0AD4">
        <w:t xml:space="preserve"> </w:t>
      </w:r>
      <w:r w:rsidR="00D54763">
        <w:t>T</w:t>
      </w:r>
      <w:r w:rsidRPr="00AB0AD4">
        <w:t>he People</w:t>
      </w:r>
      <w:r w:rsidRPr="00AB0AD4">
        <w:rPr>
          <w:rtl/>
        </w:rPr>
        <w:t>’</w:t>
      </w:r>
      <w:r w:rsidRPr="00AB0AD4">
        <w:t>s Law School provides a series of free presentations on contemporary topics impacting the lives of Vermonters. In 2021 practical information was provided on a range of topics, including: the Fourth Amendment, representing yourself in Small Claims Court, tenant rights, understanding eligibility for public benefits, and family law. The program is a</w:t>
      </w:r>
      <w:r w:rsidR="00D54763">
        <w:t>n evolving project with</w:t>
      </w:r>
      <w:r w:rsidRPr="00AB0AD4">
        <w:t xml:space="preserve"> AALV, the Vermont Racial Justice Alliance, and the VICII </w:t>
      </w:r>
      <w:proofErr w:type="gramStart"/>
      <w:r w:rsidRPr="00AB0AD4">
        <w:t>and  The</w:t>
      </w:r>
      <w:proofErr w:type="gramEnd"/>
      <w:r w:rsidRPr="00AB0AD4">
        <w:t xml:space="preserve"> Caroline Fund. The People</w:t>
      </w:r>
      <w:r w:rsidRPr="00AB0AD4">
        <w:rPr>
          <w:rtl/>
        </w:rPr>
        <w:t>’</w:t>
      </w:r>
      <w:r w:rsidRPr="00AB0AD4">
        <w:t xml:space="preserve">s Law School would serve as a core educational component of The </w:t>
      </w:r>
      <w:r w:rsidR="001F2696">
        <w:t>Program</w:t>
      </w:r>
    </w:p>
    <w:p w14:paraId="114A4970" w14:textId="00161FE6" w:rsidR="00611042" w:rsidRPr="00AB0AD4" w:rsidRDefault="00000000" w:rsidP="00626EF4">
      <w:pPr>
        <w:pStyle w:val="Heading2"/>
      </w:pPr>
      <w:r w:rsidRPr="00AB0AD4">
        <w:lastRenderedPageBreak/>
        <w:t xml:space="preserve">           Collaborator</w:t>
      </w:r>
      <w:r w:rsidR="00D80B53" w:rsidRPr="00AB0AD4">
        <w:t>s</w:t>
      </w:r>
    </w:p>
    <w:p w14:paraId="69F00CED" w14:textId="49D0258F" w:rsidR="00611042" w:rsidRPr="00AB0AD4" w:rsidRDefault="00000000">
      <w:pPr>
        <w:pStyle w:val="Body"/>
      </w:pPr>
      <w:r w:rsidRPr="00AB0AD4">
        <w:t xml:space="preserve">The </w:t>
      </w:r>
      <w:r w:rsidR="000C211B">
        <w:t>Program</w:t>
      </w:r>
      <w:r w:rsidRPr="00AB0AD4">
        <w:t xml:space="preserve"> will ensure maximum impact, while avoiding redundancy and duplication of effort, by collaborating with other organizations operating in the legal services/community justice sector, including:</w:t>
      </w:r>
    </w:p>
    <w:p w14:paraId="392CC5A0" w14:textId="35D02575" w:rsidR="00611042" w:rsidRPr="00AB0AD4" w:rsidRDefault="00000000" w:rsidP="00FF08B1">
      <w:pPr>
        <w:pStyle w:val="Body"/>
        <w:numPr>
          <w:ilvl w:val="0"/>
          <w:numId w:val="2"/>
        </w:numPr>
      </w:pPr>
      <w:r w:rsidRPr="00AB0AD4">
        <w:t xml:space="preserve"> Vermont Legal Aid</w:t>
      </w:r>
    </w:p>
    <w:p w14:paraId="05A669B0" w14:textId="7D179807" w:rsidR="00611042" w:rsidRPr="00AB0AD4" w:rsidRDefault="00FF08B1" w:rsidP="00FF08B1">
      <w:pPr>
        <w:pStyle w:val="Body"/>
        <w:numPr>
          <w:ilvl w:val="0"/>
          <w:numId w:val="2"/>
        </w:numPr>
      </w:pPr>
      <w:r>
        <w:t xml:space="preserve"> </w:t>
      </w:r>
      <w:r w:rsidRPr="00AB0AD4">
        <w:t>Legal Services Vermont</w:t>
      </w:r>
    </w:p>
    <w:p w14:paraId="5C314141" w14:textId="0E79D458" w:rsidR="00611042" w:rsidRPr="00AB0AD4" w:rsidRDefault="00FF08B1" w:rsidP="00FF08B1">
      <w:pPr>
        <w:pStyle w:val="Body"/>
        <w:numPr>
          <w:ilvl w:val="0"/>
          <w:numId w:val="2"/>
        </w:numPr>
      </w:pPr>
      <w:r>
        <w:t xml:space="preserve"> </w:t>
      </w:r>
      <w:r w:rsidRPr="00AB0AD4">
        <w:t>Vermont Volunteer Lawyers Project</w:t>
      </w:r>
    </w:p>
    <w:p w14:paraId="68A13CEB" w14:textId="72D3E45F" w:rsidR="00611042" w:rsidRPr="00AB0AD4" w:rsidRDefault="00000000" w:rsidP="00FF08B1">
      <w:pPr>
        <w:pStyle w:val="Body"/>
        <w:numPr>
          <w:ilvl w:val="0"/>
          <w:numId w:val="2"/>
        </w:numPr>
      </w:pPr>
      <w:r w:rsidRPr="00AB0AD4">
        <w:t>Vermont Bar Association</w:t>
      </w:r>
    </w:p>
    <w:p w14:paraId="0CAAE934" w14:textId="45ECF763" w:rsidR="00611042" w:rsidRPr="00AB0AD4" w:rsidRDefault="00000000" w:rsidP="00FF08B1">
      <w:pPr>
        <w:pStyle w:val="Body"/>
        <w:numPr>
          <w:ilvl w:val="0"/>
          <w:numId w:val="2"/>
        </w:numPr>
      </w:pPr>
      <w:r w:rsidRPr="00AB0AD4">
        <w:t>Vermont Law School</w:t>
      </w:r>
    </w:p>
    <w:p w14:paraId="13C11D9A" w14:textId="2EDB79F1" w:rsidR="00611042" w:rsidRPr="00AB0AD4" w:rsidRDefault="00000000" w:rsidP="00FF08B1">
      <w:pPr>
        <w:pStyle w:val="Body"/>
        <w:numPr>
          <w:ilvl w:val="0"/>
          <w:numId w:val="2"/>
        </w:numPr>
      </w:pPr>
      <w:r w:rsidRPr="00AB0AD4">
        <w:t>Chittenden County State</w:t>
      </w:r>
      <w:r w:rsidRPr="00AB0AD4">
        <w:rPr>
          <w:rtl/>
        </w:rPr>
        <w:t>’</w:t>
      </w:r>
      <w:r w:rsidRPr="00AB0AD4">
        <w:t>s Attorney Office</w:t>
      </w:r>
    </w:p>
    <w:p w14:paraId="729948C7" w14:textId="34E1D863" w:rsidR="00611042" w:rsidRPr="00AB0AD4" w:rsidRDefault="00000000" w:rsidP="00FF08B1">
      <w:pPr>
        <w:pStyle w:val="Body"/>
        <w:numPr>
          <w:ilvl w:val="0"/>
          <w:numId w:val="2"/>
        </w:numPr>
      </w:pPr>
      <w:r w:rsidRPr="00AB0AD4">
        <w:t>Community Justice Centers</w:t>
      </w:r>
    </w:p>
    <w:p w14:paraId="6BDE7D7F" w14:textId="77777777" w:rsidR="00611042" w:rsidRDefault="00000000" w:rsidP="00FF08B1">
      <w:pPr>
        <w:pStyle w:val="Body"/>
        <w:numPr>
          <w:ilvl w:val="0"/>
          <w:numId w:val="2"/>
        </w:numPr>
      </w:pPr>
      <w:r w:rsidRPr="00AB0AD4">
        <w:t>Catholic Legal Immigration Network</w:t>
      </w:r>
    </w:p>
    <w:p w14:paraId="073E0B8B" w14:textId="0C122513" w:rsidR="003E202A" w:rsidRDefault="003E202A" w:rsidP="00FF08B1">
      <w:pPr>
        <w:pStyle w:val="Body"/>
        <w:numPr>
          <w:ilvl w:val="0"/>
          <w:numId w:val="2"/>
        </w:numPr>
      </w:pPr>
      <w:r>
        <w:t>Attorney General’s Office</w:t>
      </w:r>
    </w:p>
    <w:p w14:paraId="3A8EF319" w14:textId="4BF3D616" w:rsidR="003E202A" w:rsidRDefault="003E202A" w:rsidP="00FF08B1">
      <w:pPr>
        <w:pStyle w:val="Body"/>
        <w:numPr>
          <w:ilvl w:val="0"/>
          <w:numId w:val="2"/>
        </w:numPr>
      </w:pPr>
      <w:r>
        <w:t>STEPS (formerly Women Helping Battered Women)</w:t>
      </w:r>
    </w:p>
    <w:p w14:paraId="7D89DE18" w14:textId="14A3D2E6" w:rsidR="003E202A" w:rsidRPr="00AB0AD4" w:rsidRDefault="003E202A" w:rsidP="003E202A">
      <w:pPr>
        <w:pStyle w:val="Body"/>
        <w:sectPr w:rsidR="003E202A" w:rsidRPr="00AB0AD4">
          <w:headerReference w:type="default" r:id="rId12"/>
          <w:pgSz w:w="12240" w:h="15840"/>
          <w:pgMar w:top="1080" w:right="1200" w:bottom="1800" w:left="1200" w:header="720" w:footer="1040" w:gutter="0"/>
          <w:cols w:space="720"/>
        </w:sectPr>
      </w:pPr>
    </w:p>
    <w:p w14:paraId="2D1A3CD3" w14:textId="77777777" w:rsidR="00611042" w:rsidRPr="00AB0AD4" w:rsidRDefault="00000000">
      <w:pPr>
        <w:pStyle w:val="Subheading"/>
      </w:pPr>
      <w:r w:rsidRPr="00AB0AD4">
        <w:lastRenderedPageBreak/>
        <w:t>Company Name</w:t>
      </w:r>
    </w:p>
    <w:p w14:paraId="629C391A" w14:textId="77777777" w:rsidR="00611042" w:rsidRPr="00AB0AD4" w:rsidRDefault="00611042">
      <w:pPr>
        <w:pStyle w:val="Heading"/>
      </w:pPr>
    </w:p>
    <w:p w14:paraId="1E477B1B" w14:textId="77777777" w:rsidR="00611042" w:rsidRPr="00AB0AD4" w:rsidRDefault="00611042">
      <w:pPr>
        <w:pStyle w:val="Heading"/>
      </w:pPr>
    </w:p>
    <w:p w14:paraId="374A7A6C" w14:textId="77777777" w:rsidR="00611042" w:rsidRPr="00626EF4" w:rsidRDefault="00000000">
      <w:pPr>
        <w:pStyle w:val="Heading"/>
        <w:rPr>
          <w:sz w:val="28"/>
          <w:szCs w:val="28"/>
        </w:rPr>
      </w:pPr>
      <w:r w:rsidRPr="00626EF4">
        <w:rPr>
          <w:rFonts w:eastAsia="Arial Unicode MS" w:cs="Arial Unicode MS"/>
          <w:sz w:val="28"/>
          <w:szCs w:val="28"/>
        </w:rPr>
        <w:t>Budget</w:t>
      </w:r>
    </w:p>
    <w:p w14:paraId="3F47633E" w14:textId="77777777" w:rsidR="00611042" w:rsidRPr="00AB0AD4" w:rsidRDefault="00611042">
      <w:pPr>
        <w:pStyle w:val="Body"/>
      </w:pPr>
    </w:p>
    <w:p w14:paraId="30B70B7B" w14:textId="7BDF6436" w:rsidR="00611042" w:rsidRDefault="00000000">
      <w:pPr>
        <w:pStyle w:val="Body"/>
      </w:pPr>
      <w:r w:rsidRPr="00AB0AD4">
        <w:t xml:space="preserve">The budget for the People’s Legal Services and Educational </w:t>
      </w:r>
      <w:r w:rsidR="000C211B">
        <w:t>Program</w:t>
      </w:r>
      <w:r w:rsidRPr="00AB0AD4">
        <w:t xml:space="preserve"> will be modest and is currently projected to be approximately $</w:t>
      </w:r>
      <w:r w:rsidR="000C211B">
        <w:t>10</w:t>
      </w:r>
      <w:r w:rsidRPr="00AB0AD4">
        <w:t xml:space="preserve">0,000 in the first year of operation. The most significant expense relates to the hiring of a Coordinator for The </w:t>
      </w:r>
      <w:r w:rsidR="001F2696">
        <w:t>Program</w:t>
      </w:r>
      <w:r w:rsidRPr="00AB0AD4">
        <w:t xml:space="preserve">. Lawyers providing services will serve as volunteers, providing pro/low-bono services. </w:t>
      </w:r>
      <w:r w:rsidR="001F2696">
        <w:t xml:space="preserve">The </w:t>
      </w:r>
      <w:r w:rsidRPr="00AB0AD4">
        <w:t xml:space="preserve">program </w:t>
      </w:r>
      <w:r w:rsidR="001F2696">
        <w:t>is run by</w:t>
      </w:r>
      <w:r w:rsidRPr="00AB0AD4">
        <w:t xml:space="preserve"> the Caroline Fund with AALV providing </w:t>
      </w:r>
      <w:r w:rsidR="001F2696">
        <w:t xml:space="preserve">the </w:t>
      </w:r>
      <w:r w:rsidRPr="00AB0AD4">
        <w:t xml:space="preserve">space and utilities required. </w:t>
      </w:r>
    </w:p>
    <w:p w14:paraId="36CF197A" w14:textId="421138BC" w:rsidR="00626EF4" w:rsidRDefault="00626EF4">
      <w:pPr>
        <w:pStyle w:val="Body"/>
      </w:pPr>
    </w:p>
    <w:p w14:paraId="29BA4EDA" w14:textId="5CCF4247" w:rsidR="00626EF4" w:rsidRPr="00AB0AD4" w:rsidRDefault="00626EF4">
      <w:pPr>
        <w:pStyle w:val="Body"/>
      </w:pPr>
      <w:r>
        <w:t>Total Budget Description</w:t>
      </w:r>
    </w:p>
    <w:p w14:paraId="79402BDF" w14:textId="77777777" w:rsidR="00611042" w:rsidRPr="00AB0AD4" w:rsidRDefault="00611042">
      <w:pPr>
        <w:pStyle w:val="Body"/>
      </w:pPr>
    </w:p>
    <w:tbl>
      <w:tblPr>
        <w:tblW w:w="9820" w:type="dxa"/>
        <w:tblInd w:w="108" w:type="dxa"/>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ayout w:type="fixed"/>
        <w:tblLook w:val="04A0" w:firstRow="1" w:lastRow="0" w:firstColumn="1" w:lastColumn="0" w:noHBand="0" w:noVBand="1"/>
      </w:tblPr>
      <w:tblGrid>
        <w:gridCol w:w="5440"/>
        <w:gridCol w:w="1460"/>
        <w:gridCol w:w="1460"/>
        <w:gridCol w:w="1460"/>
      </w:tblGrid>
      <w:tr w:rsidR="00611042" w:rsidRPr="00AB0AD4" w14:paraId="1D5E73CA" w14:textId="77777777">
        <w:trPr>
          <w:trHeight w:val="248"/>
          <w:tblHeader/>
        </w:trPr>
        <w:tc>
          <w:tcPr>
            <w:tcW w:w="5440" w:type="dxa"/>
            <w:tcBorders>
              <w:top w:val="single" w:sz="2" w:space="0" w:color="919191"/>
              <w:left w:val="single" w:sz="2" w:space="0" w:color="919191"/>
              <w:bottom w:val="single" w:sz="4" w:space="0" w:color="000000"/>
              <w:right w:val="single" w:sz="2" w:space="0" w:color="214E66"/>
            </w:tcBorders>
            <w:shd w:val="clear" w:color="auto" w:fill="357CA2"/>
            <w:tcMar>
              <w:top w:w="80" w:type="dxa"/>
              <w:left w:w="80" w:type="dxa"/>
              <w:bottom w:w="80" w:type="dxa"/>
              <w:right w:w="80" w:type="dxa"/>
            </w:tcMar>
          </w:tcPr>
          <w:p w14:paraId="2DE00113" w14:textId="77777777" w:rsidR="00611042" w:rsidRPr="00AB0AD4" w:rsidRDefault="00000000">
            <w:pPr>
              <w:pStyle w:val="TableStyle1"/>
              <w:rPr>
                <w:lang w:val="en-US"/>
              </w:rPr>
            </w:pPr>
            <w:r w:rsidRPr="00AB0AD4">
              <w:rPr>
                <w:lang w:val="en-US"/>
              </w:rPr>
              <w:t>Description</w:t>
            </w:r>
          </w:p>
        </w:tc>
        <w:tc>
          <w:tcPr>
            <w:tcW w:w="1460" w:type="dxa"/>
            <w:tcBorders>
              <w:top w:val="single" w:sz="2" w:space="0" w:color="919191"/>
              <w:left w:val="single" w:sz="2" w:space="0" w:color="214E66"/>
              <w:bottom w:val="single" w:sz="4" w:space="0" w:color="000000"/>
              <w:right w:val="single" w:sz="2" w:space="0" w:color="214E66"/>
            </w:tcBorders>
            <w:shd w:val="clear" w:color="auto" w:fill="357CA2"/>
            <w:tcMar>
              <w:top w:w="80" w:type="dxa"/>
              <w:left w:w="80" w:type="dxa"/>
              <w:bottom w:w="80" w:type="dxa"/>
              <w:right w:w="80" w:type="dxa"/>
            </w:tcMar>
          </w:tcPr>
          <w:p w14:paraId="05960182" w14:textId="77777777" w:rsidR="00611042" w:rsidRPr="00AB0AD4" w:rsidRDefault="00000000">
            <w:pPr>
              <w:pStyle w:val="TableStyle1"/>
              <w:rPr>
                <w:lang w:val="en-US"/>
              </w:rPr>
            </w:pPr>
            <w:r w:rsidRPr="00AB0AD4">
              <w:rPr>
                <w:lang w:val="en-US"/>
              </w:rPr>
              <w:t>Quantity</w:t>
            </w:r>
          </w:p>
        </w:tc>
        <w:tc>
          <w:tcPr>
            <w:tcW w:w="1460" w:type="dxa"/>
            <w:tcBorders>
              <w:top w:val="single" w:sz="2" w:space="0" w:color="919191"/>
              <w:left w:val="single" w:sz="2" w:space="0" w:color="214E66"/>
              <w:bottom w:val="single" w:sz="4" w:space="0" w:color="000000"/>
              <w:right w:val="single" w:sz="2" w:space="0" w:color="214E66"/>
            </w:tcBorders>
            <w:shd w:val="clear" w:color="auto" w:fill="357CA2"/>
            <w:tcMar>
              <w:top w:w="80" w:type="dxa"/>
              <w:left w:w="80" w:type="dxa"/>
              <w:bottom w:w="80" w:type="dxa"/>
              <w:right w:w="80" w:type="dxa"/>
            </w:tcMar>
          </w:tcPr>
          <w:p w14:paraId="66C49644" w14:textId="77777777" w:rsidR="00611042" w:rsidRPr="00AB0AD4" w:rsidRDefault="00000000">
            <w:pPr>
              <w:pStyle w:val="TableStyle1"/>
              <w:rPr>
                <w:lang w:val="en-US"/>
              </w:rPr>
            </w:pPr>
            <w:r w:rsidRPr="00AB0AD4">
              <w:rPr>
                <w:lang w:val="en-US"/>
              </w:rPr>
              <w:t>Unit Price</w:t>
            </w:r>
          </w:p>
        </w:tc>
        <w:tc>
          <w:tcPr>
            <w:tcW w:w="1460" w:type="dxa"/>
            <w:tcBorders>
              <w:top w:val="single" w:sz="2" w:space="0" w:color="919191"/>
              <w:left w:val="single" w:sz="2" w:space="0" w:color="214E66"/>
              <w:bottom w:val="single" w:sz="4" w:space="0" w:color="000000"/>
              <w:right w:val="single" w:sz="2" w:space="0" w:color="919191"/>
            </w:tcBorders>
            <w:shd w:val="clear" w:color="auto" w:fill="357CA2"/>
            <w:tcMar>
              <w:top w:w="80" w:type="dxa"/>
              <w:left w:w="80" w:type="dxa"/>
              <w:bottom w:w="80" w:type="dxa"/>
              <w:right w:w="80" w:type="dxa"/>
            </w:tcMar>
          </w:tcPr>
          <w:p w14:paraId="1EC597D4" w14:textId="77777777" w:rsidR="00611042" w:rsidRPr="00AB0AD4" w:rsidRDefault="00000000">
            <w:pPr>
              <w:pStyle w:val="TableStyle1"/>
              <w:rPr>
                <w:lang w:val="en-US"/>
              </w:rPr>
            </w:pPr>
            <w:r w:rsidRPr="00AB0AD4">
              <w:rPr>
                <w:lang w:val="en-US"/>
              </w:rPr>
              <w:t>Cost</w:t>
            </w:r>
          </w:p>
        </w:tc>
      </w:tr>
      <w:tr w:rsidR="00611042" w:rsidRPr="000C211B" w14:paraId="74D14D32" w14:textId="77777777">
        <w:tblPrEx>
          <w:shd w:val="clear" w:color="auto" w:fill="auto"/>
        </w:tblPrEx>
        <w:trPr>
          <w:trHeight w:val="253"/>
        </w:trPr>
        <w:tc>
          <w:tcPr>
            <w:tcW w:w="5440" w:type="dxa"/>
            <w:tcBorders>
              <w:top w:val="single" w:sz="4" w:space="0" w:color="000000"/>
              <w:left w:val="single" w:sz="2" w:space="0" w:color="919191"/>
              <w:bottom w:val="dotted" w:sz="6" w:space="0" w:color="919191"/>
              <w:right w:val="dotted" w:sz="6" w:space="0" w:color="919191"/>
            </w:tcBorders>
            <w:shd w:val="clear" w:color="auto" w:fill="auto"/>
            <w:tcMar>
              <w:top w:w="80" w:type="dxa"/>
              <w:left w:w="80" w:type="dxa"/>
              <w:bottom w:w="80" w:type="dxa"/>
              <w:right w:w="80" w:type="dxa"/>
            </w:tcMar>
          </w:tcPr>
          <w:p w14:paraId="4B8CC2B5" w14:textId="77777777" w:rsidR="00611042" w:rsidRPr="000C211B" w:rsidRDefault="00000000">
            <w:pPr>
              <w:pStyle w:val="TableStyle2"/>
              <w:rPr>
                <w:rFonts w:ascii="Avenir Next" w:hAnsi="Avenir Next"/>
              </w:rPr>
            </w:pPr>
            <w:r w:rsidRPr="000C211B">
              <w:rPr>
                <w:rFonts w:ascii="Avenir Next" w:eastAsia="Arial Unicode MS" w:hAnsi="Avenir Next" w:cs="Arial Unicode MS"/>
              </w:rPr>
              <w:t>Legal services to individuals</w:t>
            </w:r>
          </w:p>
        </w:tc>
        <w:tc>
          <w:tcPr>
            <w:tcW w:w="1460" w:type="dxa"/>
            <w:tcBorders>
              <w:top w:val="single" w:sz="4" w:space="0" w:color="000000"/>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721667AD" w14:textId="59A413A5" w:rsidR="00611042" w:rsidRPr="000C211B" w:rsidRDefault="000C211B">
            <w:pPr>
              <w:tabs>
                <w:tab w:val="right" w:pos="1267"/>
                <w:tab w:val="right" w:pos="1333"/>
              </w:tabs>
              <w:jc w:val="right"/>
              <w:rPr>
                <w:rFonts w:ascii="Avenir Next" w:hAnsi="Avenir Next"/>
              </w:rPr>
            </w:pPr>
            <w:r w:rsidRPr="000C211B">
              <w:rPr>
                <w:rFonts w:ascii="Avenir Next" w:hAnsi="Avenir Next" w:cs="Arial Unicode MS"/>
                <w:color w:val="000000"/>
                <w:sz w:val="20"/>
                <w:szCs w:val="20"/>
                <w14:textOutline w14:w="0" w14:cap="flat" w14:cmpd="sng" w14:algn="ctr">
                  <w14:noFill/>
                  <w14:prstDash w14:val="solid"/>
                  <w14:bevel/>
                </w14:textOutline>
              </w:rPr>
              <w:t>40</w:t>
            </w:r>
          </w:p>
        </w:tc>
        <w:tc>
          <w:tcPr>
            <w:tcW w:w="1460" w:type="dxa"/>
            <w:tcBorders>
              <w:top w:val="single" w:sz="4" w:space="0" w:color="000000"/>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60945474" w14:textId="26F0D3B1" w:rsidR="00611042" w:rsidRPr="000C211B" w:rsidRDefault="00000000">
            <w:pPr>
              <w:tabs>
                <w:tab w:val="right" w:pos="1267"/>
                <w:tab w:val="right" w:pos="1333"/>
              </w:tabs>
              <w:jc w:val="right"/>
              <w:rPr>
                <w:rFonts w:ascii="Avenir Next" w:hAnsi="Avenir Next"/>
              </w:rPr>
            </w:pPr>
            <w:r w:rsidRPr="000C211B">
              <w:rPr>
                <w:rFonts w:ascii="Avenir Next" w:hAnsi="Avenir Next" w:cs="Arial Unicode MS"/>
                <w:color w:val="000000"/>
                <w:sz w:val="20"/>
                <w:szCs w:val="20"/>
                <w14:textOutline w14:w="0" w14:cap="flat" w14:cmpd="sng" w14:algn="ctr">
                  <w14:noFill/>
                  <w14:prstDash w14:val="solid"/>
                  <w14:bevel/>
                </w14:textOutline>
              </w:rPr>
              <w:t>$</w:t>
            </w:r>
            <w:r w:rsidR="000C211B" w:rsidRPr="000C211B">
              <w:rPr>
                <w:rFonts w:ascii="Avenir Next" w:hAnsi="Avenir Next" w:cs="Arial Unicode MS"/>
                <w:color w:val="000000"/>
                <w:sz w:val="20"/>
                <w:szCs w:val="20"/>
                <w14:textOutline w14:w="0" w14:cap="flat" w14:cmpd="sng" w14:algn="ctr">
                  <w14:noFill/>
                  <w14:prstDash w14:val="solid"/>
                  <w14:bevel/>
                </w14:textOutline>
              </w:rPr>
              <w:t>2,000</w:t>
            </w:r>
          </w:p>
        </w:tc>
        <w:tc>
          <w:tcPr>
            <w:tcW w:w="1460" w:type="dxa"/>
            <w:tcBorders>
              <w:top w:val="single" w:sz="4" w:space="0" w:color="000000"/>
              <w:left w:val="dotted" w:sz="6" w:space="0" w:color="919191"/>
              <w:bottom w:val="dotted" w:sz="6" w:space="0" w:color="919191"/>
              <w:right w:val="single" w:sz="2" w:space="0" w:color="919191"/>
            </w:tcBorders>
            <w:shd w:val="clear" w:color="auto" w:fill="auto"/>
            <w:tcMar>
              <w:top w:w="80" w:type="dxa"/>
              <w:left w:w="80" w:type="dxa"/>
              <w:bottom w:w="80" w:type="dxa"/>
              <w:right w:w="80" w:type="dxa"/>
            </w:tcMar>
          </w:tcPr>
          <w:p w14:paraId="3578C2AE" w14:textId="54D91469" w:rsidR="00611042" w:rsidRPr="000C211B" w:rsidRDefault="00000000">
            <w:pPr>
              <w:tabs>
                <w:tab w:val="right" w:pos="1267"/>
                <w:tab w:val="right" w:pos="1333"/>
              </w:tabs>
              <w:jc w:val="right"/>
              <w:rPr>
                <w:rFonts w:ascii="Avenir Next" w:hAnsi="Avenir Next"/>
              </w:rPr>
            </w:pPr>
            <w:r w:rsidRPr="000C211B">
              <w:rPr>
                <w:rFonts w:ascii="Avenir Next" w:hAnsi="Avenir Next"/>
              </w:rPr>
              <w:fldChar w:fldCharType="begin"/>
            </w:r>
            <w:r w:rsidRPr="000C211B">
              <w:rPr>
                <w:rFonts w:ascii="Avenir Next" w:hAnsi="Avenir Next"/>
              </w:rPr>
              <w:instrText xml:space="preserve"> = B2*C2 \# "USD,0;(USD,0)" \* MERGEFORMAT</w:instrText>
            </w:r>
            <w:r w:rsidRPr="000C211B">
              <w:rPr>
                <w:rFonts w:ascii="Avenir Next" w:hAnsi="Avenir Next"/>
              </w:rPr>
              <w:fldChar w:fldCharType="separate"/>
            </w:r>
            <w:r w:rsidRPr="000C211B">
              <w:rPr>
                <w:rFonts w:ascii="Avenir Next" w:hAnsi="Avenir Next" w:cs="Arial Unicode MS"/>
                <w:color w:val="000000"/>
                <w:sz w:val="20"/>
                <w:szCs w:val="20"/>
                <w14:textOutline w14:w="0" w14:cap="flat" w14:cmpd="sng" w14:algn="ctr">
                  <w14:noFill/>
                  <w14:prstDash w14:val="solid"/>
                  <w14:bevel/>
                </w14:textOutline>
              </w:rPr>
              <w:t>$</w:t>
            </w:r>
            <w:r w:rsidR="000C211B" w:rsidRPr="000C211B">
              <w:rPr>
                <w:rFonts w:ascii="Avenir Next" w:hAnsi="Avenir Next" w:cs="Arial Unicode MS"/>
                <w:color w:val="000000"/>
                <w:sz w:val="20"/>
                <w:szCs w:val="20"/>
                <w14:textOutline w14:w="0" w14:cap="flat" w14:cmpd="sng" w14:algn="ctr">
                  <w14:noFill/>
                  <w14:prstDash w14:val="solid"/>
                  <w14:bevel/>
                </w14:textOutline>
              </w:rPr>
              <w:t>8</w:t>
            </w:r>
            <w:r w:rsidRPr="000C211B">
              <w:rPr>
                <w:rFonts w:ascii="Avenir Next" w:hAnsi="Avenir Next" w:cs="Arial Unicode MS"/>
                <w:color w:val="000000"/>
                <w:sz w:val="20"/>
                <w:szCs w:val="20"/>
                <w14:textOutline w14:w="0" w14:cap="flat" w14:cmpd="sng" w14:algn="ctr">
                  <w14:noFill/>
                  <w14:prstDash w14:val="solid"/>
                  <w14:bevel/>
                </w14:textOutline>
              </w:rPr>
              <w:t>0,000</w:t>
            </w:r>
            <w:r w:rsidRPr="000C211B">
              <w:rPr>
                <w:rFonts w:ascii="Avenir Next" w:hAnsi="Avenir Next"/>
              </w:rPr>
              <w:fldChar w:fldCharType="end"/>
            </w:r>
          </w:p>
        </w:tc>
      </w:tr>
      <w:tr w:rsidR="00611042" w:rsidRPr="000C211B" w14:paraId="4A39D8D9" w14:textId="77777777">
        <w:tblPrEx>
          <w:shd w:val="clear" w:color="auto" w:fill="auto"/>
        </w:tblPrEx>
        <w:trPr>
          <w:trHeight w:val="255"/>
        </w:trPr>
        <w:tc>
          <w:tcPr>
            <w:tcW w:w="5440" w:type="dxa"/>
            <w:tcBorders>
              <w:top w:val="dotted" w:sz="6" w:space="0" w:color="919191"/>
              <w:left w:val="single" w:sz="2" w:space="0" w:color="919191"/>
              <w:bottom w:val="dotted" w:sz="6" w:space="0" w:color="919191"/>
              <w:right w:val="dotted" w:sz="6" w:space="0" w:color="919191"/>
            </w:tcBorders>
            <w:shd w:val="clear" w:color="auto" w:fill="auto"/>
            <w:tcMar>
              <w:top w:w="80" w:type="dxa"/>
              <w:left w:w="80" w:type="dxa"/>
              <w:bottom w:w="80" w:type="dxa"/>
              <w:right w:w="80" w:type="dxa"/>
            </w:tcMar>
          </w:tcPr>
          <w:p w14:paraId="456B8A99" w14:textId="77777777" w:rsidR="00611042" w:rsidRPr="000C211B" w:rsidRDefault="00000000">
            <w:pPr>
              <w:pStyle w:val="TableStyle2"/>
              <w:rPr>
                <w:rFonts w:ascii="Avenir Next" w:hAnsi="Avenir Next"/>
              </w:rPr>
            </w:pPr>
            <w:r w:rsidRPr="000C211B">
              <w:rPr>
                <w:rFonts w:ascii="Avenir Next" w:eastAsia="Arial Unicode MS" w:hAnsi="Avenir Next" w:cs="Arial Unicode MS"/>
              </w:rPr>
              <w:t>Community Education Events</w:t>
            </w:r>
          </w:p>
        </w:tc>
        <w:tc>
          <w:tcPr>
            <w:tcW w:w="1460" w:type="dxa"/>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49B0DCE8" w14:textId="6A795FFE" w:rsidR="00611042" w:rsidRPr="000C211B" w:rsidRDefault="000C211B">
            <w:pPr>
              <w:tabs>
                <w:tab w:val="right" w:pos="1267"/>
                <w:tab w:val="right" w:pos="1333"/>
              </w:tabs>
              <w:jc w:val="right"/>
              <w:rPr>
                <w:rFonts w:ascii="Avenir Next" w:hAnsi="Avenir Next"/>
              </w:rPr>
            </w:pPr>
            <w:r w:rsidRPr="000C211B">
              <w:rPr>
                <w:rFonts w:ascii="Avenir Next" w:hAnsi="Avenir Next" w:cs="Arial Unicode MS"/>
                <w:color w:val="000000"/>
                <w:sz w:val="20"/>
                <w:szCs w:val="20"/>
                <w14:textOutline w14:w="0" w14:cap="flat" w14:cmpd="sng" w14:algn="ctr">
                  <w14:noFill/>
                  <w14:prstDash w14:val="solid"/>
                  <w14:bevel/>
                </w14:textOutline>
              </w:rPr>
              <w:t>4</w:t>
            </w:r>
          </w:p>
        </w:tc>
        <w:tc>
          <w:tcPr>
            <w:tcW w:w="1460" w:type="dxa"/>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21179B81" w14:textId="2A2863EA" w:rsidR="00611042" w:rsidRPr="000C211B" w:rsidRDefault="000C211B">
            <w:pPr>
              <w:tabs>
                <w:tab w:val="right" w:pos="1267"/>
                <w:tab w:val="right" w:pos="1333"/>
              </w:tabs>
              <w:jc w:val="right"/>
              <w:rPr>
                <w:rFonts w:ascii="Avenir Next" w:hAnsi="Avenir Next"/>
                <w:sz w:val="22"/>
                <w:szCs w:val="22"/>
              </w:rPr>
            </w:pPr>
            <w:r w:rsidRPr="000C211B">
              <w:rPr>
                <w:rFonts w:ascii="Avenir Next" w:hAnsi="Avenir Next"/>
                <w:sz w:val="22"/>
                <w:szCs w:val="22"/>
              </w:rPr>
              <w:t>5,000</w:t>
            </w:r>
          </w:p>
        </w:tc>
        <w:tc>
          <w:tcPr>
            <w:tcW w:w="1460" w:type="dxa"/>
            <w:tcBorders>
              <w:top w:val="dotted" w:sz="6" w:space="0" w:color="919191"/>
              <w:left w:val="dotted" w:sz="6" w:space="0" w:color="919191"/>
              <w:bottom w:val="dotted" w:sz="6" w:space="0" w:color="919191"/>
              <w:right w:val="single" w:sz="2" w:space="0" w:color="919191"/>
            </w:tcBorders>
            <w:shd w:val="clear" w:color="auto" w:fill="auto"/>
            <w:tcMar>
              <w:top w:w="80" w:type="dxa"/>
              <w:left w:w="80" w:type="dxa"/>
              <w:bottom w:w="80" w:type="dxa"/>
              <w:right w:w="80" w:type="dxa"/>
            </w:tcMar>
          </w:tcPr>
          <w:p w14:paraId="21B57AEF" w14:textId="4FE8608C" w:rsidR="00611042" w:rsidRPr="000C211B" w:rsidRDefault="000C211B" w:rsidP="000C211B">
            <w:pPr>
              <w:tabs>
                <w:tab w:val="right" w:pos="1267"/>
                <w:tab w:val="right" w:pos="1333"/>
              </w:tabs>
              <w:jc w:val="right"/>
              <w:rPr>
                <w:rFonts w:ascii="Avenir Next" w:hAnsi="Avenir Next"/>
                <w:sz w:val="22"/>
                <w:szCs w:val="22"/>
              </w:rPr>
            </w:pPr>
            <w:r>
              <w:rPr>
                <w:rFonts w:ascii="Avenir Next" w:hAnsi="Avenir Next"/>
                <w:sz w:val="22"/>
                <w:szCs w:val="22"/>
              </w:rPr>
              <w:t>$</w:t>
            </w:r>
            <w:r w:rsidRPr="000C211B">
              <w:rPr>
                <w:rFonts w:ascii="Avenir Next" w:hAnsi="Avenir Next"/>
                <w:sz w:val="22"/>
                <w:szCs w:val="22"/>
              </w:rPr>
              <w:t>20,000</w:t>
            </w:r>
          </w:p>
        </w:tc>
      </w:tr>
      <w:tr w:rsidR="00611042" w:rsidRPr="000C211B" w14:paraId="6132C91B" w14:textId="77777777">
        <w:tblPrEx>
          <w:shd w:val="clear" w:color="auto" w:fill="auto"/>
        </w:tblPrEx>
        <w:trPr>
          <w:trHeight w:val="253"/>
        </w:trPr>
        <w:tc>
          <w:tcPr>
            <w:tcW w:w="5440" w:type="dxa"/>
            <w:tcBorders>
              <w:top w:val="dotted" w:sz="6" w:space="0" w:color="919191"/>
              <w:left w:val="single" w:sz="2" w:space="0" w:color="919191"/>
              <w:bottom w:val="single" w:sz="4" w:space="0" w:color="000000"/>
              <w:right w:val="dotted" w:sz="6" w:space="0" w:color="919191"/>
            </w:tcBorders>
            <w:shd w:val="clear" w:color="auto" w:fill="auto"/>
            <w:tcMar>
              <w:top w:w="80" w:type="dxa"/>
              <w:left w:w="80" w:type="dxa"/>
              <w:bottom w:w="80" w:type="dxa"/>
              <w:right w:w="80" w:type="dxa"/>
            </w:tcMar>
          </w:tcPr>
          <w:p w14:paraId="2840D540" w14:textId="77777777" w:rsidR="00611042" w:rsidRPr="000C211B" w:rsidRDefault="00611042">
            <w:pPr>
              <w:rPr>
                <w:rFonts w:ascii="Avenir Next" w:hAnsi="Avenir Next"/>
              </w:rPr>
            </w:pPr>
          </w:p>
        </w:tc>
        <w:tc>
          <w:tcPr>
            <w:tcW w:w="1460" w:type="dxa"/>
            <w:tcBorders>
              <w:top w:val="dotted" w:sz="6" w:space="0" w:color="919191"/>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5A41B89D" w14:textId="77777777" w:rsidR="00611042" w:rsidRPr="000C211B" w:rsidRDefault="00611042">
            <w:pPr>
              <w:rPr>
                <w:rFonts w:ascii="Avenir Next" w:hAnsi="Avenir Next"/>
              </w:rPr>
            </w:pPr>
          </w:p>
        </w:tc>
        <w:tc>
          <w:tcPr>
            <w:tcW w:w="1460" w:type="dxa"/>
            <w:tcBorders>
              <w:top w:val="dotted" w:sz="6" w:space="0" w:color="919191"/>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26543A00" w14:textId="77777777" w:rsidR="00611042" w:rsidRPr="000C211B" w:rsidRDefault="00611042">
            <w:pPr>
              <w:rPr>
                <w:rFonts w:ascii="Avenir Next" w:hAnsi="Avenir Next"/>
                <w:sz w:val="22"/>
                <w:szCs w:val="22"/>
              </w:rPr>
            </w:pPr>
          </w:p>
        </w:tc>
        <w:tc>
          <w:tcPr>
            <w:tcW w:w="1460" w:type="dxa"/>
            <w:tcBorders>
              <w:top w:val="dotted" w:sz="6" w:space="0" w:color="919191"/>
              <w:left w:val="dotted" w:sz="6" w:space="0" w:color="919191"/>
              <w:bottom w:val="single" w:sz="4" w:space="0" w:color="000000"/>
              <w:right w:val="single" w:sz="2" w:space="0" w:color="919191"/>
            </w:tcBorders>
            <w:shd w:val="clear" w:color="auto" w:fill="auto"/>
            <w:tcMar>
              <w:top w:w="80" w:type="dxa"/>
              <w:left w:w="80" w:type="dxa"/>
              <w:bottom w:w="80" w:type="dxa"/>
              <w:right w:w="80" w:type="dxa"/>
            </w:tcMar>
          </w:tcPr>
          <w:p w14:paraId="0841D91C" w14:textId="77777777" w:rsidR="00611042" w:rsidRPr="000C211B" w:rsidRDefault="00611042">
            <w:pPr>
              <w:rPr>
                <w:rFonts w:ascii="Avenir Next" w:hAnsi="Avenir Next"/>
                <w:sz w:val="22"/>
                <w:szCs w:val="22"/>
              </w:rPr>
            </w:pPr>
          </w:p>
        </w:tc>
      </w:tr>
      <w:tr w:rsidR="00611042" w:rsidRPr="000C211B" w14:paraId="0EDDED90" w14:textId="77777777">
        <w:tblPrEx>
          <w:shd w:val="clear" w:color="auto" w:fill="auto"/>
        </w:tblPrEx>
        <w:trPr>
          <w:trHeight w:val="250"/>
        </w:trPr>
        <w:tc>
          <w:tcPr>
            <w:tcW w:w="5440" w:type="dxa"/>
            <w:tcBorders>
              <w:top w:val="single" w:sz="4" w:space="0" w:color="000000"/>
              <w:left w:val="single" w:sz="2" w:space="0" w:color="919191"/>
              <w:bottom w:val="single" w:sz="4" w:space="0" w:color="000000"/>
              <w:right w:val="dotted" w:sz="6" w:space="0" w:color="919191"/>
            </w:tcBorders>
            <w:shd w:val="clear" w:color="auto" w:fill="auto"/>
            <w:tcMar>
              <w:top w:w="80" w:type="dxa"/>
              <w:left w:w="80" w:type="dxa"/>
              <w:bottom w:w="80" w:type="dxa"/>
              <w:right w:w="80" w:type="dxa"/>
            </w:tcMar>
          </w:tcPr>
          <w:p w14:paraId="745A0B04" w14:textId="77777777" w:rsidR="00611042" w:rsidRPr="000C211B" w:rsidRDefault="00000000">
            <w:pPr>
              <w:pStyle w:val="TableStyle3"/>
              <w:rPr>
                <w:rFonts w:ascii="Avenir Next" w:hAnsi="Avenir Next"/>
              </w:rPr>
            </w:pPr>
            <w:r w:rsidRPr="000C211B">
              <w:rPr>
                <w:rFonts w:ascii="Avenir Next" w:hAnsi="Avenir Next"/>
              </w:rPr>
              <w:t>Total</w:t>
            </w:r>
          </w:p>
        </w:tc>
        <w:tc>
          <w:tcPr>
            <w:tcW w:w="1460" w:type="dxa"/>
            <w:tcBorders>
              <w:top w:val="single" w:sz="4" w:space="0" w:color="000000"/>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3D657C1C" w14:textId="77777777" w:rsidR="00611042" w:rsidRPr="000C211B" w:rsidRDefault="00611042">
            <w:pPr>
              <w:rPr>
                <w:rFonts w:ascii="Avenir Next" w:hAnsi="Avenir Next"/>
              </w:rPr>
            </w:pPr>
          </w:p>
        </w:tc>
        <w:tc>
          <w:tcPr>
            <w:tcW w:w="1460" w:type="dxa"/>
            <w:tcBorders>
              <w:top w:val="single" w:sz="4" w:space="0" w:color="000000"/>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7957081F" w14:textId="77777777" w:rsidR="00611042" w:rsidRPr="000C211B" w:rsidRDefault="00611042">
            <w:pPr>
              <w:rPr>
                <w:rFonts w:ascii="Avenir Next" w:hAnsi="Avenir Next"/>
                <w:sz w:val="22"/>
                <w:szCs w:val="22"/>
              </w:rPr>
            </w:pPr>
          </w:p>
        </w:tc>
        <w:tc>
          <w:tcPr>
            <w:tcW w:w="1460" w:type="dxa"/>
            <w:tcBorders>
              <w:top w:val="single" w:sz="4" w:space="0" w:color="000000"/>
              <w:left w:val="dotted" w:sz="6" w:space="0" w:color="919191"/>
              <w:bottom w:val="single" w:sz="4" w:space="0" w:color="000000"/>
              <w:right w:val="single" w:sz="2" w:space="0" w:color="919191"/>
            </w:tcBorders>
            <w:shd w:val="clear" w:color="auto" w:fill="auto"/>
            <w:tcMar>
              <w:top w:w="80" w:type="dxa"/>
              <w:left w:w="80" w:type="dxa"/>
              <w:bottom w:w="80" w:type="dxa"/>
              <w:right w:w="80" w:type="dxa"/>
            </w:tcMar>
          </w:tcPr>
          <w:p w14:paraId="1ADF982E" w14:textId="4F11E689" w:rsidR="00611042" w:rsidRPr="000C211B" w:rsidRDefault="00000000">
            <w:pPr>
              <w:tabs>
                <w:tab w:val="right" w:pos="1267"/>
                <w:tab w:val="right" w:pos="1333"/>
              </w:tabs>
              <w:jc w:val="right"/>
              <w:rPr>
                <w:rFonts w:ascii="Avenir Next" w:hAnsi="Avenir Next"/>
                <w:sz w:val="22"/>
                <w:szCs w:val="22"/>
              </w:rPr>
            </w:pPr>
            <w:r w:rsidRPr="000C211B">
              <w:rPr>
                <w:rFonts w:ascii="Avenir Next" w:hAnsi="Avenir Next"/>
                <w:sz w:val="22"/>
                <w:szCs w:val="22"/>
              </w:rPr>
              <w:fldChar w:fldCharType="begin"/>
            </w:r>
            <w:r w:rsidRPr="000C211B">
              <w:rPr>
                <w:rFonts w:ascii="Avenir Next" w:hAnsi="Avenir Next"/>
                <w:sz w:val="22"/>
                <w:szCs w:val="22"/>
              </w:rPr>
              <w:instrText xml:space="preserve"> = SUM(D2:D5) \# "USD,0" \* MERGEFORMAT</w:instrText>
            </w:r>
            <w:r w:rsidRPr="000C211B">
              <w:rPr>
                <w:rFonts w:ascii="Avenir Next" w:hAnsi="Avenir Next"/>
                <w:sz w:val="22"/>
                <w:szCs w:val="22"/>
              </w:rPr>
              <w:fldChar w:fldCharType="separate"/>
            </w:r>
            <w:r w:rsidRPr="000C211B">
              <w:rPr>
                <w:rFonts w:ascii="Avenir Next" w:hAnsi="Avenir Next" w:cs="Arial Unicode MS"/>
                <w:b/>
                <w:bCs/>
                <w:color w:val="000000"/>
                <w:sz w:val="22"/>
                <w:szCs w:val="22"/>
                <w14:textOutline w14:w="0" w14:cap="flat" w14:cmpd="sng" w14:algn="ctr">
                  <w14:noFill/>
                  <w14:prstDash w14:val="solid"/>
                  <w14:bevel/>
                </w14:textOutline>
              </w:rPr>
              <w:t>$</w:t>
            </w:r>
            <w:r w:rsidR="000C211B" w:rsidRPr="000C211B">
              <w:rPr>
                <w:rFonts w:ascii="Avenir Next" w:hAnsi="Avenir Next" w:cs="Arial Unicode MS"/>
                <w:b/>
                <w:bCs/>
                <w:color w:val="000000"/>
                <w:sz w:val="22"/>
                <w:szCs w:val="22"/>
                <w14:textOutline w14:w="0" w14:cap="flat" w14:cmpd="sng" w14:algn="ctr">
                  <w14:noFill/>
                  <w14:prstDash w14:val="solid"/>
                  <w14:bevel/>
                </w14:textOutline>
              </w:rPr>
              <w:t>100,0</w:t>
            </w:r>
            <w:r w:rsidRPr="000C211B">
              <w:rPr>
                <w:rFonts w:ascii="Avenir Next" w:hAnsi="Avenir Next" w:cs="Arial Unicode MS"/>
                <w:b/>
                <w:bCs/>
                <w:color w:val="000000"/>
                <w:sz w:val="22"/>
                <w:szCs w:val="22"/>
                <w14:textOutline w14:w="0" w14:cap="flat" w14:cmpd="sng" w14:algn="ctr">
                  <w14:noFill/>
                  <w14:prstDash w14:val="solid"/>
                  <w14:bevel/>
                </w14:textOutline>
              </w:rPr>
              <w:t>00</w:t>
            </w:r>
            <w:r w:rsidRPr="000C211B">
              <w:rPr>
                <w:rFonts w:ascii="Avenir Next" w:hAnsi="Avenir Next"/>
                <w:sz w:val="22"/>
                <w:szCs w:val="22"/>
              </w:rPr>
              <w:fldChar w:fldCharType="end"/>
            </w:r>
          </w:p>
        </w:tc>
      </w:tr>
      <w:tr w:rsidR="00611042" w:rsidRPr="000C211B" w14:paraId="62448417" w14:textId="77777777">
        <w:tblPrEx>
          <w:shd w:val="clear" w:color="auto" w:fill="auto"/>
        </w:tblPrEx>
        <w:trPr>
          <w:trHeight w:val="250"/>
        </w:trPr>
        <w:tc>
          <w:tcPr>
            <w:tcW w:w="5440" w:type="dxa"/>
            <w:tcBorders>
              <w:top w:val="single" w:sz="4" w:space="0" w:color="000000"/>
              <w:left w:val="single" w:sz="2" w:space="0" w:color="919191"/>
              <w:bottom w:val="single" w:sz="4" w:space="0" w:color="000000"/>
              <w:right w:val="dotted" w:sz="6" w:space="0" w:color="919191"/>
            </w:tcBorders>
            <w:shd w:val="clear" w:color="auto" w:fill="auto"/>
            <w:tcMar>
              <w:top w:w="80" w:type="dxa"/>
              <w:left w:w="80" w:type="dxa"/>
              <w:bottom w:w="80" w:type="dxa"/>
              <w:right w:w="80" w:type="dxa"/>
            </w:tcMar>
          </w:tcPr>
          <w:p w14:paraId="6499D37A" w14:textId="77777777" w:rsidR="00611042" w:rsidRPr="000C211B" w:rsidRDefault="00000000">
            <w:pPr>
              <w:pStyle w:val="TableStyle3"/>
              <w:rPr>
                <w:rFonts w:ascii="Avenir Next" w:hAnsi="Avenir Next"/>
              </w:rPr>
            </w:pPr>
            <w:r w:rsidRPr="000C211B">
              <w:rPr>
                <w:rFonts w:ascii="Avenir Next" w:hAnsi="Avenir Next"/>
              </w:rPr>
              <w:t>Expected Funds from Burlington City</w:t>
            </w:r>
          </w:p>
        </w:tc>
        <w:tc>
          <w:tcPr>
            <w:tcW w:w="1460" w:type="dxa"/>
            <w:tcBorders>
              <w:top w:val="single" w:sz="4" w:space="0" w:color="000000"/>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7C52DBE3" w14:textId="77777777" w:rsidR="00611042" w:rsidRPr="000C211B" w:rsidRDefault="00611042">
            <w:pPr>
              <w:rPr>
                <w:rFonts w:ascii="Avenir Next" w:hAnsi="Avenir Next"/>
              </w:rPr>
            </w:pPr>
          </w:p>
        </w:tc>
        <w:tc>
          <w:tcPr>
            <w:tcW w:w="1460" w:type="dxa"/>
            <w:tcBorders>
              <w:top w:val="single" w:sz="4" w:space="0" w:color="000000"/>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11CA9B3D" w14:textId="77777777" w:rsidR="00611042" w:rsidRPr="000C211B" w:rsidRDefault="00611042">
            <w:pPr>
              <w:rPr>
                <w:rFonts w:ascii="Avenir Next" w:hAnsi="Avenir Next"/>
                <w:sz w:val="22"/>
                <w:szCs w:val="22"/>
              </w:rPr>
            </w:pPr>
          </w:p>
        </w:tc>
        <w:tc>
          <w:tcPr>
            <w:tcW w:w="1460" w:type="dxa"/>
            <w:tcBorders>
              <w:top w:val="single" w:sz="4" w:space="0" w:color="000000"/>
              <w:left w:val="dotted" w:sz="6" w:space="0" w:color="919191"/>
              <w:bottom w:val="single" w:sz="4" w:space="0" w:color="000000"/>
              <w:right w:val="single" w:sz="2" w:space="0" w:color="919191"/>
            </w:tcBorders>
            <w:shd w:val="clear" w:color="auto" w:fill="auto"/>
            <w:tcMar>
              <w:top w:w="80" w:type="dxa"/>
              <w:left w:w="80" w:type="dxa"/>
              <w:bottom w:w="80" w:type="dxa"/>
              <w:right w:w="80" w:type="dxa"/>
            </w:tcMar>
          </w:tcPr>
          <w:p w14:paraId="24B22BBC" w14:textId="7CC5E890" w:rsidR="00611042" w:rsidRPr="000C211B" w:rsidRDefault="00000000">
            <w:pPr>
              <w:tabs>
                <w:tab w:val="right" w:pos="1267"/>
                <w:tab w:val="right" w:pos="1333"/>
              </w:tabs>
              <w:jc w:val="right"/>
              <w:rPr>
                <w:rFonts w:ascii="Avenir Next" w:hAnsi="Avenir Next"/>
                <w:sz w:val="22"/>
                <w:szCs w:val="22"/>
              </w:rPr>
            </w:pPr>
            <w:r w:rsidRPr="000C211B">
              <w:rPr>
                <w:rFonts w:ascii="Avenir Next" w:hAnsi="Avenir Next" w:cs="Arial Unicode MS"/>
                <w:b/>
                <w:bCs/>
                <w:color w:val="000000"/>
                <w:sz w:val="22"/>
                <w:szCs w:val="22"/>
                <w14:textOutline w14:w="0" w14:cap="flat" w14:cmpd="sng" w14:algn="ctr">
                  <w14:noFill/>
                  <w14:prstDash w14:val="solid"/>
                  <w14:bevel/>
                </w14:textOutline>
              </w:rPr>
              <w:t>$50,000</w:t>
            </w:r>
          </w:p>
        </w:tc>
      </w:tr>
    </w:tbl>
    <w:p w14:paraId="798C5A6B" w14:textId="77777777" w:rsidR="00611042" w:rsidRPr="000C211B" w:rsidRDefault="00611042">
      <w:pPr>
        <w:pStyle w:val="Body"/>
        <w:rPr>
          <w:rFonts w:ascii="Avenir Next" w:hAnsi="Avenir Next"/>
        </w:rPr>
      </w:pPr>
    </w:p>
    <w:sectPr w:rsidR="00611042" w:rsidRPr="000C211B">
      <w:headerReference w:type="default" r:id="rId13"/>
      <w:pgSz w:w="12240" w:h="15840"/>
      <w:pgMar w:top="1080" w:right="1200" w:bottom="1800" w:left="1200" w:header="72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1C0B" w14:textId="77777777" w:rsidR="00380473" w:rsidRDefault="00380473">
      <w:r>
        <w:separator/>
      </w:r>
    </w:p>
  </w:endnote>
  <w:endnote w:type="continuationSeparator" w:id="0">
    <w:p w14:paraId="5DA55CDB" w14:textId="77777777" w:rsidR="00380473" w:rsidRDefault="0038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Light">
    <w:altName w:val="Arial Nova Light"/>
    <w:charset w:val="00"/>
    <w:family w:val="auto"/>
    <w:pitch w:val="variable"/>
    <w:sig w:usb0="A00002FF" w:usb1="5000205B" w:usb2="00000002" w:usb3="00000000" w:csb0="00000007"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Neue UltraLight">
    <w:altName w:val="Arial"/>
    <w:charset w:val="00"/>
    <w:family w:val="auto"/>
    <w:pitch w:val="variable"/>
    <w:sig w:usb0="A00002FF" w:usb1="5000205B" w:usb2="00000002" w:usb3="00000000" w:csb0="00000001"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13AC" w14:textId="77777777" w:rsidR="00611042" w:rsidRDefault="006110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D6A7" w14:textId="77777777" w:rsidR="00380473" w:rsidRDefault="00380473">
      <w:r>
        <w:separator/>
      </w:r>
    </w:p>
  </w:footnote>
  <w:footnote w:type="continuationSeparator" w:id="0">
    <w:p w14:paraId="096CCDDC" w14:textId="77777777" w:rsidR="00380473" w:rsidRDefault="0038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6A36" w14:textId="77777777" w:rsidR="00611042" w:rsidRDefault="00000000">
    <w:r>
      <w:rPr>
        <w:noProof/>
      </w:rPr>
      <mc:AlternateContent>
        <mc:Choice Requires="wps">
          <w:drawing>
            <wp:anchor distT="152400" distB="152400" distL="152400" distR="152400" simplePos="0" relativeHeight="251656704" behindDoc="1" locked="0" layoutInCell="1" allowOverlap="1" wp14:anchorId="2DC47BA9" wp14:editId="65C8C89A">
              <wp:simplePos x="0" y="0"/>
              <wp:positionH relativeFrom="page">
                <wp:posOffset>762000</wp:posOffset>
              </wp:positionH>
              <wp:positionV relativeFrom="page">
                <wp:posOffset>9169400</wp:posOffset>
              </wp:positionV>
              <wp:extent cx="6248400" cy="3"/>
              <wp:effectExtent l="0" t="0" r="0" b="0"/>
              <wp:wrapNone/>
              <wp:docPr id="1073741825" name="officeArt object" descr="Line"/>
              <wp:cNvGraphicFramePr/>
              <a:graphic xmlns:a="http://schemas.openxmlformats.org/drawingml/2006/main">
                <a:graphicData uri="http://schemas.microsoft.com/office/word/2010/wordprocessingShape">
                  <wps:wsp>
                    <wps:cNvCnPr/>
                    <wps:spPr>
                      <a:xfrm>
                        <a:off x="0" y="0"/>
                        <a:ext cx="62484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26" style="visibility:visible;position:absolute;margin-left:60.0pt;margin-top:722.0pt;width:492.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17E4" w14:textId="77777777" w:rsidR="00611042" w:rsidRDefault="00000000">
    <w:r>
      <w:rPr>
        <w:noProof/>
      </w:rPr>
      <mc:AlternateContent>
        <mc:Choice Requires="wps">
          <w:drawing>
            <wp:anchor distT="152400" distB="152400" distL="152400" distR="152400" simplePos="0" relativeHeight="251657728" behindDoc="1" locked="0" layoutInCell="1" allowOverlap="1" wp14:anchorId="62C49D5A" wp14:editId="2BD564A2">
              <wp:simplePos x="0" y="0"/>
              <wp:positionH relativeFrom="page">
                <wp:posOffset>762000</wp:posOffset>
              </wp:positionH>
              <wp:positionV relativeFrom="page">
                <wp:posOffset>9169400</wp:posOffset>
              </wp:positionV>
              <wp:extent cx="6248400" cy="3"/>
              <wp:effectExtent l="0" t="0" r="0" b="0"/>
              <wp:wrapNone/>
              <wp:docPr id="1073741827" name="officeArt object" descr="Line"/>
              <wp:cNvGraphicFramePr/>
              <a:graphic xmlns:a="http://schemas.openxmlformats.org/drawingml/2006/main">
                <a:graphicData uri="http://schemas.microsoft.com/office/word/2010/wordprocessingShape">
                  <wps:wsp>
                    <wps:cNvCnPr/>
                    <wps:spPr>
                      <a:xfrm>
                        <a:off x="0" y="0"/>
                        <a:ext cx="62484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27" style="visibility:visible;position:absolute;margin-left:60.0pt;margin-top:722.0pt;width:492.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64B3" w14:textId="77777777" w:rsidR="00611042" w:rsidRDefault="00000000">
    <w:r>
      <w:rPr>
        <w:noProof/>
      </w:rPr>
      <mc:AlternateContent>
        <mc:Choice Requires="wps">
          <w:drawing>
            <wp:anchor distT="152400" distB="152400" distL="152400" distR="152400" simplePos="0" relativeHeight="251658752" behindDoc="1" locked="0" layoutInCell="1" allowOverlap="1" wp14:anchorId="348253A6" wp14:editId="06CFD502">
              <wp:simplePos x="0" y="0"/>
              <wp:positionH relativeFrom="page">
                <wp:posOffset>762000</wp:posOffset>
              </wp:positionH>
              <wp:positionV relativeFrom="page">
                <wp:posOffset>9169400</wp:posOffset>
              </wp:positionV>
              <wp:extent cx="6248400" cy="3"/>
              <wp:effectExtent l="0" t="0" r="0" b="0"/>
              <wp:wrapNone/>
              <wp:docPr id="1073741828" name="officeArt object" descr="Line"/>
              <wp:cNvGraphicFramePr/>
              <a:graphic xmlns:a="http://schemas.openxmlformats.org/drawingml/2006/main">
                <a:graphicData uri="http://schemas.microsoft.com/office/word/2010/wordprocessingShape">
                  <wps:wsp>
                    <wps:cNvCnPr/>
                    <wps:spPr>
                      <a:xfrm>
                        <a:off x="0" y="0"/>
                        <a:ext cx="62484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28" style="visibility:visible;position:absolute;margin-left:60.0pt;margin-top:722.0pt;width:492.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4755"/>
    <w:multiLevelType w:val="hybridMultilevel"/>
    <w:tmpl w:val="7306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65E3E"/>
    <w:multiLevelType w:val="hybridMultilevel"/>
    <w:tmpl w:val="D3060326"/>
    <w:lvl w:ilvl="0" w:tplc="15B4143E">
      <w:numFmt w:val="bullet"/>
      <w:lvlText w:val="·"/>
      <w:lvlJc w:val="left"/>
      <w:pPr>
        <w:ind w:left="740" w:hanging="380"/>
      </w:pPr>
      <w:rPr>
        <w:rFonts w:ascii="Helvetica Neue Light" w:eastAsia="Arial Unicode MS" w:hAnsi="Helvetica Neue Light"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22674"/>
    <w:multiLevelType w:val="hybridMultilevel"/>
    <w:tmpl w:val="F9C24C3A"/>
    <w:lvl w:ilvl="0" w:tplc="1AC0B158">
      <w:start w:val="1"/>
      <w:numFmt w:val="bullet"/>
      <w:lvlText w:val="•"/>
      <w:lvlJc w:val="left"/>
      <w:pPr>
        <w:ind w:left="720" w:hanging="360"/>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9450743">
    <w:abstractNumId w:val="0"/>
  </w:num>
  <w:num w:numId="2" w16cid:durableId="429736489">
    <w:abstractNumId w:val="2"/>
  </w:num>
  <w:num w:numId="3" w16cid:durableId="1104695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42"/>
    <w:rsid w:val="000C211B"/>
    <w:rsid w:val="000D0522"/>
    <w:rsid w:val="0012047D"/>
    <w:rsid w:val="00170D3B"/>
    <w:rsid w:val="001F2696"/>
    <w:rsid w:val="00337AFF"/>
    <w:rsid w:val="00380473"/>
    <w:rsid w:val="003E202A"/>
    <w:rsid w:val="004B52FD"/>
    <w:rsid w:val="005041E2"/>
    <w:rsid w:val="00540083"/>
    <w:rsid w:val="005B32C6"/>
    <w:rsid w:val="00611042"/>
    <w:rsid w:val="00626EF4"/>
    <w:rsid w:val="00770747"/>
    <w:rsid w:val="008F46C9"/>
    <w:rsid w:val="00A325AC"/>
    <w:rsid w:val="00AB0AD4"/>
    <w:rsid w:val="00BB2CE2"/>
    <w:rsid w:val="00C77045"/>
    <w:rsid w:val="00D54763"/>
    <w:rsid w:val="00D80B53"/>
    <w:rsid w:val="00E95156"/>
    <w:rsid w:val="00F014CF"/>
    <w:rsid w:val="00F77A7C"/>
    <w:rsid w:val="00F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A1A4"/>
  <w15:docId w15:val="{0E646808-B2A7-BC41-A2B1-AC82BF61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2"/>
    <w:uiPriority w:val="9"/>
    <w:unhideWhenUsed/>
    <w:qFormat/>
    <w:pPr>
      <w:spacing w:before="200" w:after="140"/>
      <w:outlineLvl w:val="1"/>
    </w:pPr>
    <w:rPr>
      <w:rFonts w:ascii="Helvetica Neue" w:hAnsi="Helvetica Neue" w:cs="Arial Unicode MS"/>
      <w:b/>
      <w:bCs/>
      <w:color w:val="367DA2"/>
      <w:sz w:val="22"/>
      <w:szCs w:val="2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ubheading">
    <w:name w:val="Subheading"/>
    <w:pPr>
      <w:pBdr>
        <w:top w:val="single" w:sz="24" w:space="1" w:color="357CA2"/>
      </w:pBdr>
      <w:spacing w:line="288" w:lineRule="auto"/>
      <w:outlineLvl w:val="0"/>
    </w:pPr>
    <w:rPr>
      <w:rFonts w:ascii="Helvetica Neue" w:hAnsi="Helvetica Neue" w:cs="Arial Unicode MS"/>
      <w:b/>
      <w:bCs/>
      <w:caps/>
      <w:color w:val="367DA2"/>
      <w:spacing w:val="4"/>
      <w:sz w:val="22"/>
      <w:szCs w:val="22"/>
      <w14:textOutline w14:w="0" w14:cap="flat" w14:cmpd="sng" w14:algn="ctr">
        <w14:noFill/>
        <w14:prstDash w14:val="solid"/>
        <w14:bevel/>
      </w14:textOutline>
    </w:rPr>
  </w:style>
  <w:style w:type="paragraph" w:styleId="Title">
    <w:name w:val="Title"/>
    <w:next w:val="Body2"/>
    <w:uiPriority w:val="10"/>
    <w:qFormat/>
    <w:pPr>
      <w:keepNext/>
      <w:spacing w:line="288" w:lineRule="auto"/>
    </w:pPr>
    <w:rPr>
      <w:rFonts w:ascii="Helvetica Neue UltraLight" w:hAnsi="Helvetica Neue UltraLight" w:cs="Arial Unicode MS"/>
      <w:color w:val="000000"/>
      <w:spacing w:val="16"/>
      <w:sz w:val="56"/>
      <w:szCs w:val="56"/>
      <w14:textOutline w14:w="0" w14:cap="flat" w14:cmpd="sng" w14:algn="ctr">
        <w14:noFill/>
        <w14:prstDash w14:val="solid"/>
        <w14:bevel/>
      </w14:textOutline>
    </w:rPr>
  </w:style>
  <w:style w:type="paragraph" w:customStyle="1" w:styleId="Body2">
    <w:name w:val="Body 2"/>
    <w:pPr>
      <w:suppressAutoHyphens/>
      <w:spacing w:after="180" w:line="288" w:lineRule="auto"/>
    </w:pPr>
    <w:rPr>
      <w:rFonts w:ascii="Helvetica Neue Light" w:hAnsi="Helvetica Neue Light" w:cs="Arial Unicode MS"/>
      <w:color w:val="000000"/>
      <w14:textOutline w14:w="0" w14:cap="flat" w14:cmpd="sng" w14:algn="ctr">
        <w14:noFill/>
        <w14:prstDash w14:val="solid"/>
        <w14:bevel/>
      </w14:textOutline>
    </w:rPr>
  </w:style>
  <w:style w:type="paragraph" w:customStyle="1" w:styleId="Body">
    <w:name w:val="Body"/>
    <w:pPr>
      <w:spacing w:line="312" w:lineRule="auto"/>
    </w:pPr>
    <w:rPr>
      <w:rFonts w:ascii="Helvetica Neue Light" w:hAnsi="Helvetica Neue Light" w:cs="Arial Unicode MS"/>
      <w:color w:val="000000"/>
      <w14:textOutline w14:w="0" w14:cap="flat" w14:cmpd="sng" w14:algn="ctr">
        <w14:noFill/>
        <w14:prstDash w14:val="solid"/>
        <w14:bevel/>
      </w14:textOutline>
    </w:rPr>
  </w:style>
  <w:style w:type="paragraph" w:customStyle="1" w:styleId="Heading">
    <w:name w:val="Heading"/>
    <w:next w:val="Body2"/>
    <w:pPr>
      <w:outlineLvl w:val="0"/>
    </w:pPr>
    <w:rPr>
      <w:rFonts w:ascii="Helvetica Neue Light" w:eastAsia="Helvetica Neue Light" w:hAnsi="Helvetica Neue Light" w:cs="Helvetica Neue Light"/>
      <w:caps/>
      <w:color w:val="444444"/>
      <w:spacing w:val="7"/>
      <w:sz w:val="36"/>
      <w:szCs w:val="36"/>
      <w14:textOutline w14:w="0" w14:cap="flat" w14:cmpd="sng" w14:algn="ctr">
        <w14:noFill/>
        <w14:prstDash w14:val="solid"/>
        <w14:bevel/>
      </w14:textOutline>
    </w:rPr>
  </w:style>
  <w:style w:type="paragraph" w:customStyle="1" w:styleId="TableStyle1">
    <w:name w:val="Table Style 1"/>
    <w:pPr>
      <w:tabs>
        <w:tab w:val="right" w:pos="1267"/>
        <w:tab w:val="right" w:pos="1333"/>
      </w:tabs>
      <w:spacing w:before="200" w:line="288" w:lineRule="auto"/>
    </w:pPr>
    <w:rPr>
      <w:rFonts w:ascii="Helvetica Neue" w:hAnsi="Helvetica Neue" w:cs="Arial Unicode MS"/>
      <w:b/>
      <w:bCs/>
      <w:color w:val="FFFFFF"/>
      <w:lang w:val="fr-FR"/>
      <w14:textOutline w14:w="0" w14:cap="flat" w14:cmpd="sng" w14:algn="ctr">
        <w14:noFill/>
        <w14:prstDash w14:val="solid"/>
        <w14:bevel/>
      </w14:textOutline>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14:textOutline w14:w="0" w14:cap="flat" w14:cmpd="sng" w14:algn="ctr">
        <w14:noFill/>
        <w14:prstDash w14:val="solid"/>
        <w14:bevel/>
      </w14:textOutline>
    </w:rPr>
  </w:style>
  <w:style w:type="paragraph" w:customStyle="1" w:styleId="TableStyle3">
    <w:name w:val="Table Style 3"/>
    <w:pPr>
      <w:tabs>
        <w:tab w:val="right" w:pos="1267"/>
        <w:tab w:val="right" w:pos="1333"/>
      </w:tabs>
    </w:pPr>
    <w:rPr>
      <w:rFonts w:ascii="Helvetica Neue" w:hAnsi="Helvetica Neue" w:cs="Arial Unicode MS"/>
      <w:b/>
      <w:bC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15EA-08B3-6C4D-B42D-35AC4A22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Baird</cp:lastModifiedBy>
  <cp:revision>8</cp:revision>
  <dcterms:created xsi:type="dcterms:W3CDTF">2023-04-25T11:57:00Z</dcterms:created>
  <dcterms:modified xsi:type="dcterms:W3CDTF">2023-04-25T19:44:00Z</dcterms:modified>
</cp:coreProperties>
</file>